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3B1F6B"/>
          <w:sz w:val="32"/>
          <w:szCs w:val="32"/>
        </w:rPr>
        <w:t xml:space="preserve">CodeCare AI: From Written Policy to Executable Rules</w:t>
      </w:r>
    </w:p>
    <w:p>
      <w:pPr>
        <w:spacing w:after="30"/>
      </w:pPr>
      <w:r>
        <w:rPr>
          <w:rFonts w:ascii="Calibri" w:cs="Calibri" w:eastAsia="Calibri" w:hAnsi="Calibri"/>
          <w:i/>
          <w:iCs/>
          <w:color w:val="000000"/>
          <w:sz w:val="22"/>
          <w:szCs w:val="22"/>
        </w:rPr>
        <w:t xml:space="preserve">An explainable coding copilot that turns ICD-10-CM guidelines into auditable, tested rules</w:t>
      </w:r>
    </w:p>
    <w:p>
      <w:pPr>
        <w:pBdr>
          <w:bottom w:val="single" w:color="3B1F6B" w:sz="6" w:space="4"/>
        </w:pBdr>
        <w:spacing w:after="100"/>
      </w:pPr>
      <w:r>
        <w:rPr>
          <w:rFonts w:ascii="Calibri" w:cs="Calibri" w:eastAsia="Calibri" w:hAnsi="Calibri"/>
          <w:color w:val="000000"/>
          <w:sz w:val="17"/>
          <w:szCs w:val="17"/>
        </w:rPr>
        <w:t xml:space="preserve">Sai Pavan Tej Bobba  |  Topic: Content Management in Health Care</w:t>
      </w:r>
    </w:p>
    <w:p>
      <w:pPr>
        <w:keepNext/>
        <w:spacing w:after="50" w:before="110"/>
      </w:pPr>
      <w:r>
        <w:rPr>
          <w:rFonts w:ascii="Calibri" w:cs="Calibri" w:eastAsia="Calibri" w:hAnsi="Calibri"/>
          <w:b/>
          <w:bCs/>
          <w:color w:val="3B1F6B"/>
          <w:sz w:val="23"/>
          <w:szCs w:val="23"/>
        </w:rPr>
        <w:t xml:space="preserve">1. The Topic</w:t>
      </w:r>
    </w:p>
    <w:p>
      <w:pPr>
        <w:spacing w:after="70" w:line="245"/>
      </w:pPr>
      <w:r>
        <w:rPr>
          <w:rFonts w:ascii="Calibri" w:cs="Calibri" w:eastAsia="Calibri" w:hAnsi="Calibri"/>
          <w:sz w:val="20"/>
          <w:szCs w:val="20"/>
        </w:rPr>
        <w:t xml:space="preserve">Payers and providers run on coding content: the ICD-10-CM Official Guidelines, National Correct Coding Initiative (NCCI) edits, and thousands of payer policies (CMS, 2026). Most of it arrives as prose. For every claim, a coder or a claims system must turn that prose into exact decisions. Which code does the note support? Which codes conflict? What documentation is missing? Coders and auditors still apply these rules by hand, and two people can read the same guideline two ways.</w:t>
      </w:r>
    </w:p>
    <w:p>
      <w:pPr>
        <w:spacing w:after="70" w:line="245"/>
      </w:pPr>
      <w:r>
        <w:rPr>
          <w:rFonts w:ascii="Calibri" w:cs="Calibri" w:eastAsia="Calibri" w:hAnsi="Calibri"/>
          <w:sz w:val="20"/>
          <w:szCs w:val="20"/>
        </w:rPr>
        <w:t xml:space="preserve">The OECD calls the alternative "rules as code," publishing a machine-executable version of a rule next to the human one (Mohun &amp; Roberts, 2020). This report asks how Cotiviti can turn coding policy into rules that software runs, auditors can trace, and teams can update each October.</w:t>
      </w:r>
    </w:p>
    <w:p>
      <w:pPr>
        <w:keepNext/>
        <w:spacing w:after="50" w:before="110"/>
      </w:pPr>
      <w:r>
        <w:rPr>
          <w:rFonts w:ascii="Calibri" w:cs="Calibri" w:eastAsia="Calibri" w:hAnsi="Calibri"/>
          <w:b/>
          <w:bCs/>
          <w:color w:val="3B1F6B"/>
          <w:sz w:val="23"/>
          <w:szCs w:val="23"/>
        </w:rPr>
        <w:t xml:space="preserve">2. Trends</w:t>
      </w:r>
    </w:p>
    <w:p>
      <w:pPr>
        <w:pStyle w:val="ListParagraph"/>
        <w:numPr>
          <w:ilvl w:val="0"/>
          <w:numId w:val="2"/>
        </w:numPr>
        <w:spacing w:after="30" w:line="245"/>
      </w:pPr>
      <w:r>
        <w:rPr>
          <w:rFonts w:ascii="Calibri" w:cs="Calibri" w:eastAsia="Calibri" w:hAnsi="Calibri"/>
          <w:b/>
          <w:bCs/>
          <w:sz w:val="20"/>
          <w:szCs w:val="20"/>
        </w:rPr>
        <w:t xml:space="preserve">Coding errors still cost billions. </w:t>
      </w:r>
      <w:r>
        <w:rPr>
          <w:rFonts w:ascii="Calibri" w:cs="Calibri" w:eastAsia="Calibri" w:hAnsi="Calibri"/>
          <w:sz w:val="20"/>
          <w:szCs w:val="20"/>
        </w:rPr>
        <w:t xml:space="preserve">CMS measured a 6.55% Medicare fee-for-service improper payment rate in FY 2025, or $28.83 billion, down from 7.66% the year before (ACDIS, 2026).</w:t>
      </w:r>
    </w:p>
    <w:p>
      <w:pPr>
        <w:pStyle w:val="ListParagraph"/>
        <w:numPr>
          <w:ilvl w:val="0"/>
          <w:numId w:val="2"/>
        </w:numPr>
        <w:spacing w:after="30" w:line="245"/>
      </w:pPr>
      <w:r>
        <w:rPr>
          <w:rFonts w:ascii="Calibri" w:cs="Calibri" w:eastAsia="Calibri" w:hAnsi="Calibri"/>
          <w:b/>
          <w:bCs/>
          <w:sz w:val="20"/>
          <w:szCs w:val="20"/>
        </w:rPr>
        <w:t xml:space="preserve">Providers see more denials. </w:t>
      </w:r>
      <w:r>
        <w:rPr>
          <w:rFonts w:ascii="Calibri" w:cs="Calibri" w:eastAsia="Calibri" w:hAnsi="Calibri"/>
          <w:sz w:val="20"/>
          <w:szCs w:val="20"/>
        </w:rPr>
        <w:t xml:space="preserve">In a 2025 survey of 250 revenue leaders, 41% reported denial rates of 10% or higher and 54% said claim errors are rising. Missing or inaccurate data drove half of all denials (Experian Health, 2025).</w:t>
      </w:r>
    </w:p>
    <w:p>
      <w:pPr>
        <w:pStyle w:val="ListParagraph"/>
        <w:numPr>
          <w:ilvl w:val="0"/>
          <w:numId w:val="2"/>
        </w:numPr>
        <w:spacing w:after="30" w:line="245"/>
      </w:pPr>
      <w:r>
        <w:rPr>
          <w:rFonts w:ascii="Calibri" w:cs="Calibri" w:eastAsia="Calibri" w:hAnsi="Calibri"/>
          <w:b/>
          <w:bCs/>
          <w:sz w:val="20"/>
          <w:szCs w:val="20"/>
        </w:rPr>
        <w:t xml:space="preserve">Providers want AI, but few use it. </w:t>
      </w:r>
      <w:r>
        <w:rPr>
          <w:rFonts w:ascii="Calibri" w:cs="Calibri" w:eastAsia="Calibri" w:hAnsi="Calibri"/>
          <w:sz w:val="20"/>
          <w:szCs w:val="20"/>
        </w:rPr>
        <w:t xml:space="preserve">67% believe AI can improve claims, yet 14% use it today. Among those users, 69% report fewer denials (Experian Health, 2025).</w:t>
      </w:r>
    </w:p>
    <w:p>
      <w:pPr>
        <w:pStyle w:val="ListParagraph"/>
        <w:numPr>
          <w:ilvl w:val="0"/>
          <w:numId w:val="2"/>
        </w:numPr>
        <w:spacing w:after="30" w:line="245"/>
      </w:pPr>
      <w:r>
        <w:rPr>
          <w:rFonts w:ascii="Calibri" w:cs="Calibri" w:eastAsia="Calibri" w:hAnsi="Calibri"/>
          <w:b/>
          <w:bCs/>
          <w:sz w:val="20"/>
          <w:szCs w:val="20"/>
        </w:rPr>
        <w:t xml:space="preserve">General LLMs make poor coders on their own. </w:t>
      </w:r>
      <w:r>
        <w:rPr>
          <w:rFonts w:ascii="Calibri" w:cs="Calibri" w:eastAsia="Calibri" w:hAnsi="Calibri"/>
          <w:sz w:val="20"/>
          <w:szCs w:val="20"/>
        </w:rPr>
        <w:t xml:space="preserve">Mount Sinai researchers tested GPT-4, GPT-3.5, Gemini Pro, and Llama-2-70B. The best model matched 33.9% of ICD-10-CM codes exactly and often returned plausible but wrong codes (Soroush et al., 2024).</w:t>
      </w:r>
    </w:p>
    <w:p>
      <w:pPr>
        <w:pStyle w:val="ListParagraph"/>
        <w:numPr>
          <w:ilvl w:val="0"/>
          <w:numId w:val="2"/>
        </w:numPr>
        <w:spacing w:after="30" w:line="245"/>
      </w:pPr>
      <w:r>
        <w:rPr>
          <w:rFonts w:ascii="Calibri" w:cs="Calibri" w:eastAsia="Calibri" w:hAnsi="Calibri"/>
          <w:b/>
          <w:bCs/>
          <w:sz w:val="20"/>
          <w:szCs w:val="20"/>
        </w:rPr>
        <w:t xml:space="preserve">Vendors are racing to automate coding and rule writing. </w:t>
      </w:r>
      <w:r>
        <w:rPr>
          <w:rFonts w:ascii="Calibri" w:cs="Calibri" w:eastAsia="Calibri" w:hAnsi="Calibri"/>
          <w:sz w:val="20"/>
          <w:szCs w:val="20"/>
        </w:rPr>
        <w:t xml:space="preserve">KLAS launched a 2026 category for autonomous coding (OmniMD, 2026), Arintra raised $25 million in August 2026 (Pennic, 2026), and Cotiviti added AI-assisted rule authoring to Payment Policy Management (Cotiviti, 2026).</w:t>
      </w:r>
    </w:p>
    <w:p>
      <w:pPr>
        <w:pStyle w:val="ListParagraph"/>
        <w:numPr>
          <w:ilvl w:val="0"/>
          <w:numId w:val="2"/>
        </w:numPr>
        <w:spacing w:after="30" w:line="245"/>
      </w:pPr>
      <w:r>
        <w:rPr>
          <w:rFonts w:ascii="Calibri" w:cs="Calibri" w:eastAsia="Calibri" w:hAnsi="Calibri"/>
          <w:b/>
          <w:bCs/>
          <w:sz w:val="20"/>
          <w:szCs w:val="20"/>
        </w:rPr>
        <w:t xml:space="preserve">Content changes on a fixed calendar. </w:t>
      </w:r>
      <w:r>
        <w:rPr>
          <w:rFonts w:ascii="Calibri" w:cs="Calibri" w:eastAsia="Calibri" w:hAnsi="Calibri"/>
          <w:sz w:val="20"/>
          <w:szCs w:val="20"/>
        </w:rPr>
        <w:t xml:space="preserve">ICD-10-CM updates every October 1, CPT every January 1, and NCCI every quarter. Each release can break rules written for the last one (CMS, 2026, n.d.).</w:t>
      </w:r>
    </w:p>
    <w:p>
      <w:pPr>
        <w:keepNext/>
        <w:spacing w:after="50" w:before="110"/>
      </w:pPr>
      <w:r>
        <w:rPr>
          <w:rFonts w:ascii="Calibri" w:cs="Calibri" w:eastAsia="Calibri" w:hAnsi="Calibri"/>
          <w:b/>
          <w:bCs/>
          <w:color w:val="3B1F6B"/>
          <w:sz w:val="23"/>
          <w:szCs w:val="23"/>
        </w:rPr>
        <w:t xml:space="preserve">3. Opportunities and Threats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single" w:color="C9C2D9" w:sz="4"/>
              <w:left w:val="single" w:color="C9C2D9" w:sz="4"/>
              <w:bottom w:val="single" w:color="C9C2D9" w:sz="4"/>
              <w:right w:val="single" w:color="C9C2D9" w:sz="4"/>
            </w:tcBorders>
            <w:shd w:fill="E8F4EC" w:color="auto" w:val="clear"/>
            <w:tcMar>
              <w:top w:type="dxa" w:w="50"/>
              <w:left w:type="dxa" w:w="90"/>
              <w:bottom w:type="dxa" w:w="50"/>
              <w:right w:type="dxa" w:w="90"/>
            </w:tcMar>
            <w:vAlign w:val="center"/>
          </w:tcPr>
          <w:p>
            <w:pPr>
              <w:keepNext/>
              <w:keepLines/>
              <w:spacing w:after="20" w:line="230"/>
            </w:pPr>
            <w:r>
              <w:rPr>
                <w:rFonts w:ascii="Calibri" w:cs="Calibri" w:eastAsia="Calibri" w:hAnsi="Calibri"/>
                <w:b/>
                <w:bCs/>
                <w:color w:val="1E7A4E"/>
                <w:sz w:val="18"/>
                <w:szCs w:val="18"/>
              </w:rPr>
              <w:t xml:space="preserve">Opportunities</w:t>
            </w:r>
          </w:p>
        </w:tc>
        <w:tc>
          <w:tcPr>
            <w:tcW w:type="dxa" w:w="4800"/>
            <w:tcBorders>
              <w:top w:val="single" w:color="C9C2D9" w:sz="4"/>
              <w:left w:val="single" w:color="C9C2D9" w:sz="4"/>
              <w:bottom w:val="single" w:color="C9C2D9" w:sz="4"/>
              <w:right w:val="single" w:color="C9C2D9" w:sz="4"/>
            </w:tcBorders>
            <w:shd w:fill="FBE9F0" w:color="auto" w:val="clear"/>
            <w:tcMar>
              <w:top w:type="dxa" w:w="50"/>
              <w:left w:type="dxa" w:w="90"/>
              <w:bottom w:type="dxa" w:w="50"/>
              <w:right w:type="dxa" w:w="90"/>
            </w:tcMar>
            <w:vAlign w:val="center"/>
          </w:tcPr>
          <w:p>
            <w:pPr>
              <w:keepNext/>
              <w:keepLines/>
              <w:spacing w:after="20" w:line="230"/>
            </w:pPr>
            <w:r>
              <w:rPr>
                <w:rFonts w:ascii="Calibri" w:cs="Calibri" w:eastAsia="Calibri" w:hAnsi="Calibri"/>
                <w:b/>
                <w:bCs/>
                <w:color w:val="B0185A"/>
                <w:sz w:val="18"/>
                <w:szCs w:val="18"/>
              </w:rPr>
              <w:t xml:space="preserve">Threats</w:t>
            </w:r>
          </w:p>
        </w:tc>
      </w:tr>
      <w:tr>
        <w:tc>
          <w:tcPr>
            <w:tcW w:type="dxa" w:w="4800"/>
            <w:tcBorders>
              <w:top w:val="single" w:color="C9C2D9" w:sz="4"/>
              <w:left w:val="single" w:color="C9C2D9" w:sz="4"/>
              <w:bottom w:val="single" w:color="C9C2D9" w:sz="4"/>
              <w:right w:val="single" w:color="C9C2D9" w:sz="4"/>
            </w:tcBorders>
            <w:tcMar>
              <w:top w:type="dxa" w:w="50"/>
              <w:left w:type="dxa" w:w="90"/>
              <w:bottom w:type="dxa" w:w="50"/>
              <w:right w:type="dxa" w:w="90"/>
            </w:tcMar>
            <w:vAlign w:val="center"/>
          </w:tcPr>
          <w:p>
            <w:pPr>
              <w:keepNext/>
              <w:keepLines/>
              <w:spacing w:after="20" w:line="230"/>
            </w:pPr>
            <w:r>
              <w:rPr>
                <w:rFonts w:ascii="Calibri" w:cs="Calibri" w:eastAsia="Calibri" w:hAnsi="Calibri"/>
                <w:b/>
                <w:bCs/>
                <w:sz w:val="18"/>
                <w:szCs w:val="18"/>
              </w:rPr>
              <w:t xml:space="preserve">Speed. </w:t>
            </w:r>
            <w:r>
              <w:rPr>
                <w:rFonts w:ascii="Calibri" w:cs="Calibri" w:eastAsia="Calibri" w:hAnsi="Calibri"/>
                <w:sz w:val="18"/>
                <w:szCs w:val="18"/>
              </w:rPr>
              <w:t xml:space="preserve">LLMs read clinical text and draft rule logic from policy language, cutting the time from new policy to live edit.</w:t>
            </w:r>
          </w:p>
        </w:tc>
        <w:tc>
          <w:tcPr>
            <w:tcW w:type="dxa" w:w="4800"/>
            <w:tcBorders>
              <w:top w:val="single" w:color="C9C2D9" w:sz="4"/>
              <w:left w:val="single" w:color="C9C2D9" w:sz="4"/>
              <w:bottom w:val="single" w:color="C9C2D9" w:sz="4"/>
              <w:right w:val="single" w:color="C9C2D9" w:sz="4"/>
            </w:tcBorders>
            <w:tcMar>
              <w:top w:type="dxa" w:w="50"/>
              <w:left w:type="dxa" w:w="90"/>
              <w:bottom w:type="dxa" w:w="50"/>
              <w:right w:type="dxa" w:w="90"/>
            </w:tcMar>
            <w:vAlign w:val="center"/>
          </w:tcPr>
          <w:p>
            <w:pPr>
              <w:keepNext/>
              <w:keepLines/>
              <w:spacing w:after="20" w:line="230"/>
            </w:pPr>
            <w:r>
              <w:rPr>
                <w:rFonts w:ascii="Calibri" w:cs="Calibri" w:eastAsia="Calibri" w:hAnsi="Calibri"/>
                <w:b/>
                <w:bCs/>
                <w:sz w:val="18"/>
                <w:szCs w:val="18"/>
              </w:rPr>
              <w:t xml:space="preserve">Regulators limit automated decisions. </w:t>
            </w:r>
            <w:r>
              <w:rPr>
                <w:rFonts w:ascii="Calibri" w:cs="Calibri" w:eastAsia="Calibri" w:hAnsi="Calibri"/>
                <w:sz w:val="18"/>
                <w:szCs w:val="18"/>
              </w:rPr>
              <w:t xml:space="preserve">CMS told Medicare Advantage plans that coverage decisions must rest on each patient's circumstances, not an algorithm alone (American Hospital Association, 2024). California's SB 1120 bars AI from denying, delaying, or modifying care on its own (Harned, 2024). Tools that act without human review carry legal risk.</w:t>
            </w:r>
          </w:p>
        </w:tc>
      </w:tr>
      <w:tr>
        <w:tc>
          <w:tcPr>
            <w:tcW w:type="dxa" w:w="4800"/>
            <w:tcBorders>
              <w:top w:val="single" w:color="C9C2D9" w:sz="4"/>
              <w:left w:val="single" w:color="C9C2D9" w:sz="4"/>
              <w:bottom w:val="single" w:color="C9C2D9" w:sz="4"/>
              <w:right w:val="single" w:color="C9C2D9" w:sz="4"/>
            </w:tcBorders>
            <w:tcMar>
              <w:top w:type="dxa" w:w="50"/>
              <w:left w:type="dxa" w:w="90"/>
              <w:bottom w:type="dxa" w:w="50"/>
              <w:right w:type="dxa" w:w="90"/>
            </w:tcMar>
            <w:vAlign w:val="center"/>
          </w:tcPr>
          <w:p>
            <w:pPr>
              <w:keepNext/>
              <w:keepLines/>
              <w:spacing w:after="20" w:line="230"/>
            </w:pPr>
            <w:r>
              <w:rPr>
                <w:rFonts w:ascii="Calibri" w:cs="Calibri" w:eastAsia="Calibri" w:hAnsi="Calibri"/>
                <w:b/>
                <w:bCs/>
                <w:sz w:val="18"/>
                <w:szCs w:val="18"/>
              </w:rPr>
              <w:t xml:space="preserve">Evidence. </w:t>
            </w:r>
            <w:r>
              <w:rPr>
                <w:rFonts w:ascii="Calibri" w:cs="Calibri" w:eastAsia="Calibri" w:hAnsi="Calibri"/>
                <w:sz w:val="18"/>
                <w:szCs w:val="18"/>
              </w:rPr>
              <w:t xml:space="preserve">Linking each code or edit to a chart sentence and a policy section makes findings easier to defend.</w:t>
            </w:r>
          </w:p>
        </w:tc>
        <w:tc>
          <w:tcPr>
            <w:tcW w:type="dxa" w:w="4800"/>
            <w:tcBorders>
              <w:top w:val="single" w:color="C9C2D9" w:sz="4"/>
              <w:left w:val="single" w:color="C9C2D9" w:sz="4"/>
              <w:bottom w:val="single" w:color="C9C2D9" w:sz="4"/>
              <w:right w:val="single" w:color="C9C2D9" w:sz="4"/>
            </w:tcBorders>
            <w:tcMar>
              <w:top w:type="dxa" w:w="50"/>
              <w:left w:type="dxa" w:w="90"/>
              <w:bottom w:type="dxa" w:w="50"/>
              <w:right w:type="dxa" w:w="90"/>
            </w:tcMar>
            <w:vAlign w:val="center"/>
          </w:tcPr>
          <w:p>
            <w:pPr>
              <w:keepNext/>
              <w:keepLines/>
              <w:spacing w:after="20" w:line="230"/>
            </w:pPr>
            <w:r>
              <w:rPr>
                <w:rFonts w:ascii="Calibri" w:cs="Calibri" w:eastAsia="Calibri" w:hAnsi="Calibri"/>
                <w:b/>
                <w:bCs/>
                <w:sz w:val="18"/>
                <w:szCs w:val="18"/>
              </w:rPr>
              <w:t xml:space="preserve">Provider AI raises coding intensity. </w:t>
            </w:r>
            <w:r>
              <w:rPr>
                <w:rFonts w:ascii="Calibri" w:cs="Calibri" w:eastAsia="Calibri" w:hAnsi="Calibri"/>
                <w:sz w:val="18"/>
                <w:szCs w:val="18"/>
              </w:rPr>
              <w:t xml:space="preserve">As providers adopt autonomous coding, claims arrive with more codes and higher specificity than manual review can keep up with. Cotiviti names AI-driven provider billing as an emerging payment integrity risk (Cotiviti, n.d.).</w:t>
            </w:r>
          </w:p>
        </w:tc>
      </w:tr>
      <w:tr>
        <w:tc>
          <w:tcPr>
            <w:tcW w:type="dxa" w:w="4800"/>
            <w:tcBorders>
              <w:top w:val="single" w:color="C9C2D9" w:sz="4"/>
              <w:left w:val="single" w:color="C9C2D9" w:sz="4"/>
              <w:bottom w:val="single" w:color="C9C2D9" w:sz="4"/>
              <w:right w:val="single" w:color="C9C2D9" w:sz="4"/>
            </w:tcBorders>
            <w:tcMar>
              <w:top w:type="dxa" w:w="50"/>
              <w:left w:type="dxa" w:w="90"/>
              <w:bottom w:type="dxa" w:w="50"/>
              <w:right w:type="dxa" w:w="90"/>
            </w:tcMar>
            <w:vAlign w:val="center"/>
          </w:tcPr>
          <w:p>
            <w:pPr>
              <w:keepNext/>
              <w:keepLines/>
              <w:spacing w:after="20" w:line="230"/>
            </w:pPr>
            <w:r>
              <w:rPr>
                <w:rFonts w:ascii="Calibri" w:cs="Calibri" w:eastAsia="Calibri" w:hAnsi="Calibri"/>
                <w:b/>
                <w:bCs/>
                <w:sz w:val="18"/>
                <w:szCs w:val="18"/>
              </w:rPr>
              <w:t xml:space="preserve">Prevention. </w:t>
            </w:r>
            <w:r>
              <w:rPr>
                <w:rFonts w:ascii="Calibri" w:cs="Calibri" w:eastAsia="Calibri" w:hAnsi="Calibri"/>
                <w:sz w:val="18"/>
                <w:szCs w:val="18"/>
              </w:rPr>
              <w:t xml:space="preserve">Flagging missing documentation before billing stops denials instead of recovering money later.</w:t>
            </w:r>
          </w:p>
        </w:tc>
        <w:tc>
          <w:tcPr>
            <w:tcW w:type="dxa" w:w="4800"/>
            <w:tcBorders>
              <w:top w:val="single" w:color="C9C2D9" w:sz="4"/>
              <w:left w:val="single" w:color="C9C2D9" w:sz="4"/>
              <w:bottom w:val="single" w:color="C9C2D9" w:sz="4"/>
              <w:right w:val="single" w:color="C9C2D9" w:sz="4"/>
            </w:tcBorders>
            <w:tcMar>
              <w:top w:type="dxa" w:w="50"/>
              <w:left w:type="dxa" w:w="90"/>
              <w:bottom w:type="dxa" w:w="50"/>
              <w:right w:type="dxa" w:w="90"/>
            </w:tcMar>
            <w:vAlign w:val="center"/>
          </w:tcPr>
          <w:p>
            <w:pPr>
              <w:keepNext/>
              <w:keepLines/>
              <w:spacing w:after="20" w:line="230"/>
            </w:pPr>
            <w:r>
              <w:rPr>
                <w:rFonts w:ascii="Calibri" w:cs="Calibri" w:eastAsia="Calibri" w:hAnsi="Calibri"/>
                <w:b/>
                <w:bCs/>
                <w:sz w:val="18"/>
                <w:szCs w:val="18"/>
              </w:rPr>
              <w:t xml:space="preserve">Drift. </w:t>
            </w:r>
            <w:r>
              <w:rPr>
                <w:rFonts w:ascii="Calibri" w:cs="Calibri" w:eastAsia="Calibri" w:hAnsi="Calibri"/>
                <w:sz w:val="18"/>
                <w:szCs w:val="18"/>
              </w:rPr>
              <w:t xml:space="preserve">A silent model or prompt update can change results unnoticed. CodeCare AI records the model, prompt, and code set on every run and replays saved outputs to catch changes.</w:t>
            </w:r>
          </w:p>
        </w:tc>
      </w:tr>
      <w:tr>
        <w:tc>
          <w:tcPr>
            <w:tcW w:type="dxa" w:w="4800"/>
            <w:tcBorders>
              <w:top w:val="single" w:color="C9C2D9" w:sz="4"/>
              <w:left w:val="single" w:color="C9C2D9" w:sz="4"/>
              <w:bottom w:val="single" w:color="C9C2D9" w:sz="4"/>
              <w:right w:val="single" w:color="C9C2D9" w:sz="4"/>
            </w:tcBorders>
            <w:tcMar>
              <w:top w:type="dxa" w:w="50"/>
              <w:left w:type="dxa" w:w="90"/>
              <w:bottom w:type="dxa" w:w="50"/>
              <w:right w:type="dxa" w:w="90"/>
            </w:tcMar>
            <w:vAlign w:val="center"/>
          </w:tcPr>
          <w:p>
            <w:pPr>
              <w:keepNext/>
              <w:keepLines/>
              <w:spacing w:after="20" w:line="230"/>
            </w:pPr>
            <w:r>
              <w:rPr>
                <w:rFonts w:ascii="Calibri" w:cs="Calibri" w:eastAsia="Calibri" w:hAnsi="Calibri"/>
                <w:b/>
                <w:bCs/>
                <w:sz w:val="18"/>
                <w:szCs w:val="18"/>
              </w:rPr>
              <w:t xml:space="preserve">Safer updates. </w:t>
            </w:r>
            <w:r>
              <w:rPr>
                <w:rFonts w:ascii="Calibri" w:cs="Calibri" w:eastAsia="Calibri" w:hAnsi="Calibri"/>
                <w:sz w:val="18"/>
                <w:szCs w:val="18"/>
              </w:rPr>
              <w:t xml:space="preserve">Versioned rules with regression tests make each October release predictable.</w:t>
            </w:r>
          </w:p>
        </w:tc>
        <w:tc>
          <w:tcPr>
            <w:tcW w:type="dxa" w:w="4800"/>
            <w:tcBorders>
              <w:top w:val="single" w:color="C9C2D9" w:sz="4"/>
              <w:left w:val="single" w:color="C9C2D9" w:sz="4"/>
              <w:bottom w:val="single" w:color="C9C2D9" w:sz="4"/>
              <w:right w:val="single" w:color="C9C2D9" w:sz="4"/>
            </w:tcBorders>
            <w:tcMar>
              <w:top w:type="dxa" w:w="50"/>
              <w:left w:type="dxa" w:w="90"/>
              <w:bottom w:type="dxa" w:w="50"/>
              <w:right w:type="dxa" w:w="90"/>
            </w:tcMar>
            <w:vAlign w:val="center"/>
          </w:tcPr>
          <w:p>
            <w:pPr>
              <w:keepNext/>
              <w:keepLines/>
              <w:spacing w:after="20" w:line="230"/>
            </w:pPr>
            <w:r>
              <w:rPr>
                <w:rFonts w:ascii="Calibri" w:cs="Calibri" w:eastAsia="Calibri" w:hAnsi="Calibri"/>
                <w:b/>
                <w:bCs/>
                <w:sz w:val="18"/>
                <w:szCs w:val="18"/>
              </w:rPr>
              <w:t xml:space="preserve">Data limits. </w:t>
            </w:r>
            <w:r>
              <w:rPr>
                <w:rFonts w:ascii="Calibri" w:cs="Calibri" w:eastAsia="Calibri" w:hAnsi="Calibri"/>
                <w:sz w:val="18"/>
                <w:szCs w:val="18"/>
              </w:rPr>
              <w:t xml:space="preserve">PHI rules and AMA-licensed CPT text restrict what data a model can use. CodeCare AI uses synthetic notes and public CMS data only.</w:t>
            </w:r>
          </w:p>
        </w:tc>
      </w:tr>
    </w:tbl>
    <w:p>
      <w:pPr>
        <w:keepNext/>
        <w:spacing w:after="50" w:before="110"/>
      </w:pPr>
      <w:r>
        <w:rPr>
          <w:rFonts w:ascii="Calibri" w:cs="Calibri" w:eastAsia="Calibri" w:hAnsi="Calibri"/>
          <w:b/>
          <w:bCs/>
          <w:color w:val="3B1F6B"/>
          <w:sz w:val="23"/>
          <w:szCs w:val="23"/>
        </w:rPr>
        <w:t xml:space="preserve">4. Proof of Concept: CodeCare AI</w:t>
      </w:r>
    </w:p>
    <w:p>
      <w:pPr>
        <w:spacing w:after="70" w:line="245"/>
      </w:pPr>
      <w:r>
        <w:rPr>
          <w:rFonts w:ascii="Calibri" w:cs="Calibri" w:eastAsia="Calibri" w:hAnsi="Calibri"/>
          <w:sz w:val="20"/>
          <w:szCs w:val="20"/>
        </w:rPr>
        <w:t xml:space="preserve">To test these ideas, I built CodeCare AI, a working prototype that codes synthetic outpatient notes for type 2 diabetes, chronic kidney disease (CKD), hypertension, and heart failure (Bobba, 2026). The design splits the work in two. </w:t>
      </w:r>
      <w:r>
        <w:rPr>
          <w:rFonts w:ascii="Calibri" w:cs="Calibri" w:eastAsia="Calibri" w:hAnsi="Calibri"/>
          <w:b/>
          <w:bCs/>
          <w:sz w:val="20"/>
          <w:szCs w:val="20"/>
        </w:rPr>
        <w:t xml:space="preserve">The LLM reads, and plain code checks.</w:t>
      </w:r>
      <w:r>
        <w:rPr>
          <w:rFonts w:ascii="Calibri" w:cs="Calibri" w:eastAsia="Calibri" w:hAnsi="Calibri"/>
          <w:sz w:val="20"/>
          <w:szCs w:val="20"/>
        </w:rPr>
        <w:t xml:space="preserve"> The LLM extracts each condition with the sentence that supports it, then picks codes from a candidate list drawn from the 98,403 codes in the official FY 2027 CMS tables, so it cannot invent a code. Twelve rules, written as tested Python functions that cite their guideline sections, then fix combination codes and flag gaps.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40"/>
        <w:gridCol w:w="192"/>
        <w:gridCol w:w="1440"/>
        <w:gridCol w:w="192"/>
        <w:gridCol w:w="1440"/>
        <w:gridCol w:w="192"/>
        <w:gridCol w:w="1440"/>
        <w:gridCol w:w="192"/>
        <w:gridCol w:w="1440"/>
        <w:gridCol w:w="192"/>
        <w:gridCol w:w="1440"/>
      </w:tblGrid>
      <w:tr>
        <w:tc>
          <w:tcPr>
            <w:tcW w:type="dxa" w:w="1440"/>
            <w:tcBorders>
              <w:top w:val="none" w:color="FFFFFF" w:sz="0"/>
              <w:left w:val="none" w:color="FFFFFF" w:sz="0"/>
              <w:bottom w:val="none" w:color="FFFFFF" w:sz="0"/>
              <w:right w:val="none" w:color="FFFFFF" w:sz="0"/>
            </w:tcBorders>
            <w:shd w:fill="EDE7F6" w:color="auto" w:val="clear"/>
            <w:tcMar>
              <w:top w:type="dxa" w:w="50"/>
              <w:left w:type="dxa" w:w="90"/>
              <w:bottom w:type="dxa" w:w="50"/>
              <w:right w:type="dxa" w:w="90"/>
            </w:tcMar>
            <w:vAlign w:val="center"/>
          </w:tcPr>
          <w:p>
            <w:pPr>
              <w:keepNext/>
              <w:keepLines/>
              <w:spacing w:after="20" w:line="230"/>
              <w:jc w:val="center"/>
            </w:pPr>
            <w:r>
              <w:rPr>
                <w:rFonts w:ascii="Calibri" w:cs="Calibri" w:eastAsia="Calibri" w:hAnsi="Calibri"/>
                <w:b/>
                <w:bCs/>
                <w:color w:val="3B1F6B"/>
                <w:sz w:val="18"/>
                <w:szCs w:val="18"/>
              </w:rPr>
              <w:t xml:space="preserve">Clinical note</w:t>
            </w:r>
          </w:p>
          <w:p>
            <w:pPr>
              <w:keepNext/>
              <w:keepLines/>
              <w:spacing w:after="20" w:line="230"/>
              <w:jc w:val="center"/>
            </w:pPr>
            <w:r>
              <w:rPr>
                <w:rFonts w:ascii="Calibri" w:cs="Calibri" w:eastAsia="Calibri" w:hAnsi="Calibri"/>
                <w:color w:val="4A4A4A"/>
                <w:sz w:val="18"/>
                <w:szCs w:val="18"/>
              </w:rPr>
              <w:t xml:space="preserve">numbered sentences</w:t>
            </w:r>
          </w:p>
        </w:tc>
        <w:tc>
          <w:tcPr>
            <w:tcW w:type="dxa" w:w="192"/>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spacing w:after="20" w:line="230"/>
              <w:jc w:val="center"/>
            </w:pPr>
            <w:r>
              <w:rPr>
                <w:rFonts w:ascii="Calibri" w:cs="Calibri" w:eastAsia="Calibri" w:hAnsi="Calibri"/>
                <w:color w:val="9A92B0"/>
                <w:sz w:val="18"/>
                <w:szCs w:val="18"/>
              </w:rPr>
              <w:t xml:space="preserve">▶</w:t>
            </w:r>
          </w:p>
        </w:tc>
        <w:tc>
          <w:tcPr>
            <w:tcW w:type="dxa" w:w="1440"/>
            <w:tcBorders>
              <w:top w:val="none" w:color="FFFFFF" w:sz="0"/>
              <w:left w:val="none" w:color="FFFFFF" w:sz="0"/>
              <w:bottom w:val="none" w:color="FFFFFF" w:sz="0"/>
              <w:right w:val="none" w:color="FFFFFF" w:sz="0"/>
            </w:tcBorders>
            <w:shd w:fill="F6D6E3" w:color="auto" w:val="clear"/>
            <w:tcMar>
              <w:top w:type="dxa" w:w="50"/>
              <w:left w:type="dxa" w:w="90"/>
              <w:bottom w:type="dxa" w:w="50"/>
              <w:right w:type="dxa" w:w="90"/>
            </w:tcMar>
            <w:vAlign w:val="center"/>
          </w:tcPr>
          <w:p>
            <w:pPr>
              <w:keepNext/>
              <w:keepLines/>
              <w:spacing w:after="20" w:line="230"/>
              <w:jc w:val="center"/>
            </w:pPr>
            <w:r>
              <w:rPr>
                <w:rFonts w:ascii="Calibri" w:cs="Calibri" w:eastAsia="Calibri" w:hAnsi="Calibri"/>
                <w:b/>
                <w:bCs/>
                <w:color w:val="3B1F6B"/>
                <w:sz w:val="18"/>
                <w:szCs w:val="18"/>
              </w:rPr>
              <w:t xml:space="preserve">Extract facts</w:t>
            </w:r>
          </w:p>
          <w:p>
            <w:pPr>
              <w:keepNext/>
              <w:keepLines/>
              <w:spacing w:after="20" w:line="230"/>
              <w:jc w:val="center"/>
            </w:pPr>
            <w:r>
              <w:rPr>
                <w:rFonts w:ascii="Calibri" w:cs="Calibri" w:eastAsia="Calibri" w:hAnsi="Calibri"/>
                <w:color w:val="4A4A4A"/>
                <w:sz w:val="18"/>
                <w:szCs w:val="18"/>
              </w:rPr>
              <w:t xml:space="preserve">LLM</w:t>
            </w:r>
          </w:p>
        </w:tc>
        <w:tc>
          <w:tcPr>
            <w:tcW w:type="dxa" w:w="192"/>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spacing w:after="20" w:line="230"/>
              <w:jc w:val="center"/>
            </w:pPr>
            <w:r>
              <w:rPr>
                <w:rFonts w:ascii="Calibri" w:cs="Calibri" w:eastAsia="Calibri" w:hAnsi="Calibri"/>
                <w:color w:val="9A92B0"/>
                <w:sz w:val="18"/>
                <w:szCs w:val="18"/>
              </w:rPr>
              <w:t xml:space="preserve">▶</w:t>
            </w:r>
          </w:p>
        </w:tc>
        <w:tc>
          <w:tcPr>
            <w:tcW w:type="dxa" w:w="1440"/>
            <w:tcBorders>
              <w:top w:val="none" w:color="FFFFFF" w:sz="0"/>
              <w:left w:val="none" w:color="FFFFFF" w:sz="0"/>
              <w:bottom w:val="none" w:color="FFFFFF" w:sz="0"/>
              <w:right w:val="none" w:color="FFFFFF" w:sz="0"/>
            </w:tcBorders>
            <w:shd w:fill="EDE7F6" w:color="auto" w:val="clear"/>
            <w:tcMar>
              <w:top w:type="dxa" w:w="50"/>
              <w:left w:type="dxa" w:w="90"/>
              <w:bottom w:type="dxa" w:w="50"/>
              <w:right w:type="dxa" w:w="90"/>
            </w:tcMar>
            <w:vAlign w:val="center"/>
          </w:tcPr>
          <w:p>
            <w:pPr>
              <w:keepNext/>
              <w:keepLines/>
              <w:spacing w:after="20" w:line="230"/>
              <w:jc w:val="center"/>
            </w:pPr>
            <w:r>
              <w:rPr>
                <w:rFonts w:ascii="Calibri" w:cs="Calibri" w:eastAsia="Calibri" w:hAnsi="Calibri"/>
                <w:b/>
                <w:bCs/>
                <w:color w:val="3B1F6B"/>
                <w:sz w:val="18"/>
                <w:szCs w:val="18"/>
              </w:rPr>
              <w:t xml:space="preserve">Candidate codes</w:t>
            </w:r>
          </w:p>
          <w:p>
            <w:pPr>
              <w:keepNext/>
              <w:keepLines/>
              <w:spacing w:after="20" w:line="230"/>
              <w:jc w:val="center"/>
            </w:pPr>
            <w:r>
              <w:rPr>
                <w:rFonts w:ascii="Calibri" w:cs="Calibri" w:eastAsia="Calibri" w:hAnsi="Calibri"/>
                <w:color w:val="4A4A4A"/>
                <w:sz w:val="18"/>
                <w:szCs w:val="18"/>
              </w:rPr>
              <w:t xml:space="preserve">98,403 CMS codes</w:t>
            </w:r>
          </w:p>
        </w:tc>
        <w:tc>
          <w:tcPr>
            <w:tcW w:type="dxa" w:w="192"/>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spacing w:after="20" w:line="230"/>
              <w:jc w:val="center"/>
            </w:pPr>
            <w:r>
              <w:rPr>
                <w:rFonts w:ascii="Calibri" w:cs="Calibri" w:eastAsia="Calibri" w:hAnsi="Calibri"/>
                <w:color w:val="9A92B0"/>
                <w:sz w:val="18"/>
                <w:szCs w:val="18"/>
              </w:rPr>
              <w:t xml:space="preserve">▶</w:t>
            </w:r>
          </w:p>
        </w:tc>
        <w:tc>
          <w:tcPr>
            <w:tcW w:type="dxa" w:w="1440"/>
            <w:tcBorders>
              <w:top w:val="none" w:color="FFFFFF" w:sz="0"/>
              <w:left w:val="none" w:color="FFFFFF" w:sz="0"/>
              <w:bottom w:val="none" w:color="FFFFFF" w:sz="0"/>
              <w:right w:val="none" w:color="FFFFFF" w:sz="0"/>
            </w:tcBorders>
            <w:shd w:fill="F6D6E3" w:color="auto" w:val="clear"/>
            <w:tcMar>
              <w:top w:type="dxa" w:w="50"/>
              <w:left w:type="dxa" w:w="90"/>
              <w:bottom w:type="dxa" w:w="50"/>
              <w:right w:type="dxa" w:w="90"/>
            </w:tcMar>
            <w:vAlign w:val="center"/>
          </w:tcPr>
          <w:p>
            <w:pPr>
              <w:keepNext/>
              <w:keepLines/>
              <w:spacing w:after="20" w:line="230"/>
              <w:jc w:val="center"/>
            </w:pPr>
            <w:r>
              <w:rPr>
                <w:rFonts w:ascii="Calibri" w:cs="Calibri" w:eastAsia="Calibri" w:hAnsi="Calibri"/>
                <w:b/>
                <w:bCs/>
                <w:color w:val="3B1F6B"/>
                <w:sz w:val="18"/>
                <w:szCs w:val="18"/>
              </w:rPr>
              <w:t xml:space="preserve">Pick codes</w:t>
            </w:r>
          </w:p>
          <w:p>
            <w:pPr>
              <w:keepNext/>
              <w:keepLines/>
              <w:spacing w:after="20" w:line="230"/>
              <w:jc w:val="center"/>
            </w:pPr>
            <w:r>
              <w:rPr>
                <w:rFonts w:ascii="Calibri" w:cs="Calibri" w:eastAsia="Calibri" w:hAnsi="Calibri"/>
                <w:color w:val="4A4A4A"/>
                <w:sz w:val="18"/>
                <w:szCs w:val="18"/>
              </w:rPr>
              <w:t xml:space="preserve">LLM, from list</w:t>
            </w:r>
          </w:p>
        </w:tc>
        <w:tc>
          <w:tcPr>
            <w:tcW w:type="dxa" w:w="192"/>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spacing w:after="20" w:line="230"/>
              <w:jc w:val="center"/>
            </w:pPr>
            <w:r>
              <w:rPr>
                <w:rFonts w:ascii="Calibri" w:cs="Calibri" w:eastAsia="Calibri" w:hAnsi="Calibri"/>
                <w:color w:val="9A92B0"/>
                <w:sz w:val="18"/>
                <w:szCs w:val="18"/>
              </w:rPr>
              <w:t xml:space="preserve">▶</w:t>
            </w:r>
          </w:p>
        </w:tc>
        <w:tc>
          <w:tcPr>
            <w:tcW w:type="dxa" w:w="1440"/>
            <w:tcBorders>
              <w:top w:val="none" w:color="FFFFFF" w:sz="0"/>
              <w:left w:val="none" w:color="FFFFFF" w:sz="0"/>
              <w:bottom w:val="none" w:color="FFFFFF" w:sz="0"/>
              <w:right w:val="none" w:color="FFFFFF" w:sz="0"/>
            </w:tcBorders>
            <w:shd w:fill="EDE7F6" w:color="auto" w:val="clear"/>
            <w:tcMar>
              <w:top w:type="dxa" w:w="50"/>
              <w:left w:type="dxa" w:w="90"/>
              <w:bottom w:type="dxa" w:w="50"/>
              <w:right w:type="dxa" w:w="90"/>
            </w:tcMar>
            <w:vAlign w:val="center"/>
          </w:tcPr>
          <w:p>
            <w:pPr>
              <w:keepNext/>
              <w:keepLines/>
              <w:spacing w:after="20" w:line="230"/>
              <w:jc w:val="center"/>
            </w:pPr>
            <w:r>
              <w:rPr>
                <w:rFonts w:ascii="Calibri" w:cs="Calibri" w:eastAsia="Calibri" w:hAnsi="Calibri"/>
                <w:b/>
                <w:bCs/>
                <w:color w:val="3B1F6B"/>
                <w:sz w:val="18"/>
                <w:szCs w:val="18"/>
              </w:rPr>
              <w:t xml:space="preserve">12 coding rules</w:t>
            </w:r>
          </w:p>
          <w:p>
            <w:pPr>
              <w:keepNext/>
              <w:keepLines/>
              <w:spacing w:after="20" w:line="230"/>
              <w:jc w:val="center"/>
            </w:pPr>
            <w:r>
              <w:rPr>
                <w:rFonts w:ascii="Calibri" w:cs="Calibri" w:eastAsia="Calibri" w:hAnsi="Calibri"/>
                <w:color w:val="4A4A4A"/>
                <w:sz w:val="18"/>
                <w:szCs w:val="18"/>
              </w:rPr>
              <w:t xml:space="preserve">tested Python</w:t>
            </w:r>
          </w:p>
        </w:tc>
        <w:tc>
          <w:tcPr>
            <w:tcW w:type="dxa" w:w="192"/>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spacing w:after="20" w:line="230"/>
              <w:jc w:val="center"/>
            </w:pPr>
            <w:r>
              <w:rPr>
                <w:rFonts w:ascii="Calibri" w:cs="Calibri" w:eastAsia="Calibri" w:hAnsi="Calibri"/>
                <w:color w:val="9A92B0"/>
                <w:sz w:val="18"/>
                <w:szCs w:val="18"/>
              </w:rPr>
              <w:t xml:space="preserve">▶</w:t>
            </w:r>
          </w:p>
        </w:tc>
        <w:tc>
          <w:tcPr>
            <w:tcW w:type="dxa" w:w="1440"/>
            <w:tcBorders>
              <w:top w:val="none" w:color="FFFFFF" w:sz="0"/>
              <w:left w:val="none" w:color="FFFFFF" w:sz="0"/>
              <w:bottom w:val="none" w:color="FFFFFF" w:sz="0"/>
              <w:right w:val="none" w:color="FFFFFF" w:sz="0"/>
            </w:tcBorders>
            <w:shd w:fill="EDE7F6" w:color="auto" w:val="clear"/>
            <w:tcMar>
              <w:top w:type="dxa" w:w="50"/>
              <w:left w:type="dxa" w:w="90"/>
              <w:bottom w:type="dxa" w:w="50"/>
              <w:right w:type="dxa" w:w="90"/>
            </w:tcMar>
            <w:vAlign w:val="center"/>
          </w:tcPr>
          <w:p>
            <w:pPr>
              <w:keepNext/>
              <w:keepLines/>
              <w:spacing w:after="20" w:line="230"/>
              <w:jc w:val="center"/>
            </w:pPr>
            <w:r>
              <w:rPr>
                <w:rFonts w:ascii="Calibri" w:cs="Calibri" w:eastAsia="Calibri" w:hAnsi="Calibri"/>
                <w:b/>
                <w:bCs/>
                <w:color w:val="3B1F6B"/>
                <w:sz w:val="18"/>
                <w:szCs w:val="18"/>
              </w:rPr>
              <w:t xml:space="preserve">Gaps + coder</w:t>
            </w:r>
          </w:p>
          <w:p>
            <w:pPr>
              <w:keepNext/>
              <w:keepLines/>
              <w:spacing w:after="20" w:line="230"/>
              <w:jc w:val="center"/>
            </w:pPr>
            <w:r>
              <w:rPr>
                <w:rFonts w:ascii="Calibri" w:cs="Calibri" w:eastAsia="Calibri" w:hAnsi="Calibri"/>
                <w:color w:val="4A4A4A"/>
                <w:sz w:val="18"/>
                <w:szCs w:val="18"/>
              </w:rPr>
              <w:t xml:space="preserve">accept, edit, reject</w:t>
            </w:r>
          </w:p>
        </w:tc>
      </w:tr>
    </w:tbl>
    <w:p>
      <w:pPr>
        <w:spacing w:after="70" w:before="80" w:line="245"/>
      </w:pPr>
      <w:r>
        <w:rPr>
          <w:rFonts w:ascii="Calibri" w:cs="Calibri" w:eastAsia="Calibri" w:hAnsi="Calibri"/>
          <w:sz w:val="20"/>
          <w:szCs w:val="20"/>
        </w:rPr>
        <w:t xml:space="preserve">For a note reading "type 2 diabetes and chronic kidney disease stage 3," the rules return E11.22 plus N18.30 and ask the doctor to document stage 3a or 3b. A coder accepts, edits, or rejects each code on a screen that highlights the evidence. I built it with FastAPI, PostgreSQL with pgvector, LangGraph, the open-weight gpt-oss-120b model on Groq, and Next.js, and compared it with the same model asked for codes directly.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400"/>
      </w:tblGrid>
      <w:tr>
        <w:tc>
          <w:tcPr>
            <w:tcW w:type="dxa" w:w="4800"/>
            <w:tcBorders>
              <w:top w:val="single" w:color="C9C2D9" w:sz="4"/>
              <w:left w:val="single" w:color="C9C2D9" w:sz="4"/>
              <w:bottom w:val="single" w:color="C9C2D9" w:sz="4"/>
              <w:right w:val="single" w:color="C9C2D9" w:sz="4"/>
            </w:tcBorders>
            <w:shd w:fill="EDE7F6" w:color="auto" w:val="clear"/>
            <w:tcMar>
              <w:top w:type="dxa" w:w="50"/>
              <w:left w:type="dxa" w:w="90"/>
              <w:bottom w:type="dxa" w:w="50"/>
              <w:right w:type="dxa" w:w="90"/>
            </w:tcMar>
            <w:vAlign w:val="center"/>
          </w:tcPr>
          <w:p>
            <w:pPr>
              <w:keepNext/>
              <w:keepLines/>
              <w:spacing w:after="20" w:line="230"/>
            </w:pPr>
            <w:r>
              <w:rPr>
                <w:rFonts w:ascii="Calibri" w:cs="Calibri" w:eastAsia="Calibri" w:hAnsi="Calibri"/>
                <w:b/>
                <w:bCs/>
                <w:sz w:val="18"/>
                <w:szCs w:val="18"/>
              </w:rPr>
              <w:t xml:space="preserve">Metric (20 synthetic gold notes, same model)</w:t>
            </w:r>
          </w:p>
        </w:tc>
        <w:tc>
          <w:tcPr>
            <w:tcW w:type="dxa" w:w="2400"/>
            <w:tcBorders>
              <w:top w:val="single" w:color="C9C2D9" w:sz="4"/>
              <w:left w:val="single" w:color="C9C2D9" w:sz="4"/>
              <w:bottom w:val="single" w:color="C9C2D9" w:sz="4"/>
              <w:right w:val="single" w:color="C9C2D9" w:sz="4"/>
            </w:tcBorders>
            <w:shd w:fill="EDE7F6" w:color="auto" w:val="clear"/>
            <w:tcMar>
              <w:top w:type="dxa" w:w="50"/>
              <w:left w:type="dxa" w:w="90"/>
              <w:bottom w:type="dxa" w:w="50"/>
              <w:right w:type="dxa" w:w="90"/>
            </w:tcMar>
            <w:vAlign w:val="center"/>
          </w:tcPr>
          <w:p>
            <w:pPr>
              <w:keepNext/>
              <w:keepLines/>
              <w:spacing w:after="20" w:line="230"/>
            </w:pPr>
            <w:r>
              <w:rPr>
                <w:rFonts w:ascii="Calibri" w:cs="Calibri" w:eastAsia="Calibri" w:hAnsi="Calibri"/>
                <w:b/>
                <w:bCs/>
                <w:sz w:val="18"/>
                <w:szCs w:val="18"/>
              </w:rPr>
              <w:t xml:space="preserve">LLM only</w:t>
            </w:r>
          </w:p>
        </w:tc>
        <w:tc>
          <w:tcPr>
            <w:tcW w:type="dxa" w:w="2400"/>
            <w:tcBorders>
              <w:top w:val="single" w:color="C9C2D9" w:sz="4"/>
              <w:left w:val="single" w:color="C9C2D9" w:sz="4"/>
              <w:bottom w:val="single" w:color="C9C2D9" w:sz="4"/>
              <w:right w:val="single" w:color="C9C2D9" w:sz="4"/>
            </w:tcBorders>
            <w:shd w:fill="EDE7F6" w:color="auto" w:val="clear"/>
            <w:tcMar>
              <w:top w:type="dxa" w:w="50"/>
              <w:left w:type="dxa" w:w="90"/>
              <w:bottom w:type="dxa" w:w="50"/>
              <w:right w:type="dxa" w:w="90"/>
            </w:tcMar>
            <w:vAlign w:val="center"/>
          </w:tcPr>
          <w:p>
            <w:pPr>
              <w:keepNext/>
              <w:keepLines/>
              <w:spacing w:after="20" w:line="230"/>
            </w:pPr>
            <w:r>
              <w:rPr>
                <w:rFonts w:ascii="Calibri" w:cs="Calibri" w:eastAsia="Calibri" w:hAnsi="Calibri"/>
                <w:b/>
                <w:bCs/>
                <w:sz w:val="18"/>
                <w:szCs w:val="18"/>
              </w:rPr>
              <w:t xml:space="preserve">CodeCare AI</w:t>
            </w:r>
          </w:p>
        </w:tc>
      </w:tr>
      <w:tr>
        <w:tc>
          <w:tcPr>
            <w:tcW w:type="dxa" w:w="4800"/>
            <w:tcBorders>
              <w:top w:val="single" w:color="C9C2D9" w:sz="4"/>
              <w:left w:val="single" w:color="C9C2D9" w:sz="4"/>
              <w:bottom w:val="single" w:color="C9C2D9" w:sz="4"/>
              <w:right w:val="single" w:color="C9C2D9" w:sz="4"/>
            </w:tcBorders>
            <w:tcMar>
              <w:top w:type="dxa" w:w="50"/>
              <w:left w:type="dxa" w:w="90"/>
              <w:bottom w:type="dxa" w:w="50"/>
              <w:right w:type="dxa" w:w="90"/>
            </w:tcMar>
            <w:vAlign w:val="center"/>
          </w:tcPr>
          <w:p>
            <w:pPr>
              <w:keepNext/>
              <w:keepLines/>
              <w:spacing w:after="20" w:line="230"/>
            </w:pPr>
            <w:r>
              <w:rPr>
                <w:rFonts w:ascii="Calibri" w:cs="Calibri" w:eastAsia="Calibri" w:hAnsi="Calibri"/>
                <w:b w:val="false"/>
                <w:bCs w:val="false"/>
                <w:sz w:val="18"/>
                <w:szCs w:val="18"/>
              </w:rPr>
              <w:t xml:space="preserve">Precision: suggested codes that are correct</w:t>
            </w:r>
          </w:p>
        </w:tc>
        <w:tc>
          <w:tcPr>
            <w:tcW w:type="dxa" w:w="2400"/>
            <w:tcBorders>
              <w:top w:val="single" w:color="C9C2D9" w:sz="4"/>
              <w:left w:val="single" w:color="C9C2D9" w:sz="4"/>
              <w:bottom w:val="single" w:color="C9C2D9" w:sz="4"/>
              <w:right w:val="single" w:color="C9C2D9" w:sz="4"/>
            </w:tcBorders>
            <w:tcMar>
              <w:top w:type="dxa" w:w="50"/>
              <w:left w:type="dxa" w:w="90"/>
              <w:bottom w:type="dxa" w:w="50"/>
              <w:right w:type="dxa" w:w="90"/>
            </w:tcMar>
            <w:vAlign w:val="center"/>
          </w:tcPr>
          <w:p>
            <w:pPr>
              <w:keepNext/>
              <w:keepLines/>
              <w:spacing w:after="20" w:line="230"/>
            </w:pPr>
            <w:r>
              <w:rPr>
                <w:rFonts w:ascii="Calibri" w:cs="Calibri" w:eastAsia="Calibri" w:hAnsi="Calibri"/>
                <w:b w:val="false"/>
                <w:bCs w:val="false"/>
                <w:sz w:val="18"/>
                <w:szCs w:val="18"/>
              </w:rPr>
              <w:t xml:space="preserve">0.56</w:t>
            </w:r>
          </w:p>
        </w:tc>
        <w:tc>
          <w:tcPr>
            <w:tcW w:type="dxa" w:w="2400"/>
            <w:tcBorders>
              <w:top w:val="single" w:color="C9C2D9" w:sz="4"/>
              <w:left w:val="single" w:color="C9C2D9" w:sz="4"/>
              <w:bottom w:val="single" w:color="C9C2D9" w:sz="4"/>
              <w:right w:val="single" w:color="C9C2D9" w:sz="4"/>
            </w:tcBorders>
            <w:tcMar>
              <w:top w:type="dxa" w:w="50"/>
              <w:left w:type="dxa" w:w="90"/>
              <w:bottom w:type="dxa" w:w="50"/>
              <w:right w:type="dxa" w:w="90"/>
            </w:tcMar>
            <w:vAlign w:val="center"/>
          </w:tcPr>
          <w:p>
            <w:pPr>
              <w:keepNext/>
              <w:keepLines/>
              <w:spacing w:after="20" w:line="230"/>
            </w:pPr>
            <w:r>
              <w:rPr>
                <w:rFonts w:ascii="Calibri" w:cs="Calibri" w:eastAsia="Calibri" w:hAnsi="Calibri"/>
                <w:b/>
                <w:bCs/>
                <w:color w:val="3B1F6B"/>
                <w:sz w:val="18"/>
                <w:szCs w:val="18"/>
              </w:rPr>
              <w:t xml:space="preserve">0.95</w:t>
            </w:r>
          </w:p>
        </w:tc>
      </w:tr>
      <w:tr>
        <w:tc>
          <w:tcPr>
            <w:tcW w:type="dxa" w:w="4800"/>
            <w:tcBorders>
              <w:top w:val="single" w:color="C9C2D9" w:sz="4"/>
              <w:left w:val="single" w:color="C9C2D9" w:sz="4"/>
              <w:bottom w:val="single" w:color="C9C2D9" w:sz="4"/>
              <w:right w:val="single" w:color="C9C2D9" w:sz="4"/>
            </w:tcBorders>
            <w:tcMar>
              <w:top w:type="dxa" w:w="50"/>
              <w:left w:type="dxa" w:w="90"/>
              <w:bottom w:type="dxa" w:w="50"/>
              <w:right w:type="dxa" w:w="90"/>
            </w:tcMar>
            <w:vAlign w:val="center"/>
          </w:tcPr>
          <w:p>
            <w:pPr>
              <w:keepNext/>
              <w:keepLines/>
              <w:spacing w:after="20" w:line="230"/>
            </w:pPr>
            <w:r>
              <w:rPr>
                <w:rFonts w:ascii="Calibri" w:cs="Calibri" w:eastAsia="Calibri" w:hAnsi="Calibri"/>
                <w:b w:val="false"/>
                <w:bCs w:val="false"/>
                <w:sz w:val="18"/>
                <w:szCs w:val="18"/>
              </w:rPr>
              <w:t xml:space="preserve">Recall: correct codes the system found</w:t>
            </w:r>
          </w:p>
        </w:tc>
        <w:tc>
          <w:tcPr>
            <w:tcW w:type="dxa" w:w="2400"/>
            <w:tcBorders>
              <w:top w:val="single" w:color="C9C2D9" w:sz="4"/>
              <w:left w:val="single" w:color="C9C2D9" w:sz="4"/>
              <w:bottom w:val="single" w:color="C9C2D9" w:sz="4"/>
              <w:right w:val="single" w:color="C9C2D9" w:sz="4"/>
            </w:tcBorders>
            <w:tcMar>
              <w:top w:type="dxa" w:w="50"/>
              <w:left w:type="dxa" w:w="90"/>
              <w:bottom w:type="dxa" w:w="50"/>
              <w:right w:type="dxa" w:w="90"/>
            </w:tcMar>
            <w:vAlign w:val="center"/>
          </w:tcPr>
          <w:p>
            <w:pPr>
              <w:keepNext/>
              <w:keepLines/>
              <w:spacing w:after="20" w:line="230"/>
            </w:pPr>
            <w:r>
              <w:rPr>
                <w:rFonts w:ascii="Calibri" w:cs="Calibri" w:eastAsia="Calibri" w:hAnsi="Calibri"/>
                <w:b w:val="false"/>
                <w:bCs w:val="false"/>
                <w:sz w:val="18"/>
                <w:szCs w:val="18"/>
              </w:rPr>
              <w:t xml:space="preserve">0.49</w:t>
            </w:r>
          </w:p>
        </w:tc>
        <w:tc>
          <w:tcPr>
            <w:tcW w:type="dxa" w:w="2400"/>
            <w:tcBorders>
              <w:top w:val="single" w:color="C9C2D9" w:sz="4"/>
              <w:left w:val="single" w:color="C9C2D9" w:sz="4"/>
              <w:bottom w:val="single" w:color="C9C2D9" w:sz="4"/>
              <w:right w:val="single" w:color="C9C2D9" w:sz="4"/>
            </w:tcBorders>
            <w:tcMar>
              <w:top w:type="dxa" w:w="50"/>
              <w:left w:type="dxa" w:w="90"/>
              <w:bottom w:type="dxa" w:w="50"/>
              <w:right w:type="dxa" w:w="90"/>
            </w:tcMar>
            <w:vAlign w:val="center"/>
          </w:tcPr>
          <w:p>
            <w:pPr>
              <w:keepNext/>
              <w:keepLines/>
              <w:spacing w:after="20" w:line="230"/>
            </w:pPr>
            <w:r>
              <w:rPr>
                <w:rFonts w:ascii="Calibri" w:cs="Calibri" w:eastAsia="Calibri" w:hAnsi="Calibri"/>
                <w:b/>
                <w:bCs/>
                <w:color w:val="3B1F6B"/>
                <w:sz w:val="18"/>
                <w:szCs w:val="18"/>
              </w:rPr>
              <w:t xml:space="preserve">0.95</w:t>
            </w:r>
          </w:p>
        </w:tc>
      </w:tr>
      <w:tr>
        <w:tc>
          <w:tcPr>
            <w:tcW w:type="dxa" w:w="4800"/>
            <w:tcBorders>
              <w:top w:val="single" w:color="C9C2D9" w:sz="4"/>
              <w:left w:val="single" w:color="C9C2D9" w:sz="4"/>
              <w:bottom w:val="single" w:color="C9C2D9" w:sz="4"/>
              <w:right w:val="single" w:color="C9C2D9" w:sz="4"/>
            </w:tcBorders>
            <w:tcMar>
              <w:top w:type="dxa" w:w="50"/>
              <w:left w:type="dxa" w:w="90"/>
              <w:bottom w:type="dxa" w:w="50"/>
              <w:right w:type="dxa" w:w="90"/>
            </w:tcMar>
            <w:vAlign w:val="center"/>
          </w:tcPr>
          <w:p>
            <w:pPr>
              <w:keepNext/>
              <w:keepLines/>
              <w:spacing w:after="20" w:line="230"/>
            </w:pPr>
            <w:r>
              <w:rPr>
                <w:rFonts w:ascii="Calibri" w:cs="Calibri" w:eastAsia="Calibri" w:hAnsi="Calibri"/>
                <w:b w:val="false"/>
                <w:bCs w:val="false"/>
                <w:sz w:val="18"/>
                <w:szCs w:val="18"/>
              </w:rPr>
              <w:t xml:space="preserve">Invalid codes: non-existent or non-billable</w:t>
            </w:r>
          </w:p>
        </w:tc>
        <w:tc>
          <w:tcPr>
            <w:tcW w:type="dxa" w:w="2400"/>
            <w:tcBorders>
              <w:top w:val="single" w:color="C9C2D9" w:sz="4"/>
              <w:left w:val="single" w:color="C9C2D9" w:sz="4"/>
              <w:bottom w:val="single" w:color="C9C2D9" w:sz="4"/>
              <w:right w:val="single" w:color="C9C2D9" w:sz="4"/>
            </w:tcBorders>
            <w:tcMar>
              <w:top w:type="dxa" w:w="50"/>
              <w:left w:type="dxa" w:w="90"/>
              <w:bottom w:type="dxa" w:w="50"/>
              <w:right w:type="dxa" w:w="90"/>
            </w:tcMar>
            <w:vAlign w:val="center"/>
          </w:tcPr>
          <w:p>
            <w:pPr>
              <w:keepNext/>
              <w:keepLines/>
              <w:spacing w:after="20" w:line="230"/>
            </w:pPr>
            <w:r>
              <w:rPr>
                <w:rFonts w:ascii="Calibri" w:cs="Calibri" w:eastAsia="Calibri" w:hAnsi="Calibri"/>
                <w:b w:val="false"/>
                <w:bCs w:val="false"/>
                <w:sz w:val="18"/>
                <w:szCs w:val="18"/>
              </w:rPr>
              <w:t xml:space="preserve">12%</w:t>
            </w:r>
          </w:p>
        </w:tc>
        <w:tc>
          <w:tcPr>
            <w:tcW w:type="dxa" w:w="2400"/>
            <w:tcBorders>
              <w:top w:val="single" w:color="C9C2D9" w:sz="4"/>
              <w:left w:val="single" w:color="C9C2D9" w:sz="4"/>
              <w:bottom w:val="single" w:color="C9C2D9" w:sz="4"/>
              <w:right w:val="single" w:color="C9C2D9" w:sz="4"/>
            </w:tcBorders>
            <w:tcMar>
              <w:top w:type="dxa" w:w="50"/>
              <w:left w:type="dxa" w:w="90"/>
              <w:bottom w:type="dxa" w:w="50"/>
              <w:right w:type="dxa" w:w="90"/>
            </w:tcMar>
            <w:vAlign w:val="center"/>
          </w:tcPr>
          <w:p>
            <w:pPr>
              <w:keepNext/>
              <w:keepLines/>
              <w:spacing w:after="20" w:line="230"/>
            </w:pPr>
            <w:r>
              <w:rPr>
                <w:rFonts w:ascii="Calibri" w:cs="Calibri" w:eastAsia="Calibri" w:hAnsi="Calibri"/>
                <w:b/>
                <w:bCs/>
                <w:color w:val="3B1F6B"/>
                <w:sz w:val="18"/>
                <w:szCs w:val="18"/>
              </w:rPr>
              <w:t xml:space="preserve">0%</w:t>
            </w:r>
          </w:p>
        </w:tc>
      </w:tr>
      <w:tr>
        <w:tc>
          <w:tcPr>
            <w:tcW w:type="dxa" w:w="4800"/>
            <w:tcBorders>
              <w:top w:val="single" w:color="C9C2D9" w:sz="4"/>
              <w:left w:val="single" w:color="C9C2D9" w:sz="4"/>
              <w:bottom w:val="single" w:color="C9C2D9" w:sz="4"/>
              <w:right w:val="single" w:color="C9C2D9" w:sz="4"/>
            </w:tcBorders>
            <w:tcMar>
              <w:top w:type="dxa" w:w="50"/>
              <w:left w:type="dxa" w:w="90"/>
              <w:bottom w:type="dxa" w:w="50"/>
              <w:right w:type="dxa" w:w="90"/>
            </w:tcMar>
            <w:vAlign w:val="center"/>
          </w:tcPr>
          <w:p>
            <w:pPr>
              <w:keepNext/>
              <w:keepLines/>
              <w:spacing w:after="20" w:line="230"/>
            </w:pPr>
            <w:r>
              <w:rPr>
                <w:rFonts w:ascii="Calibri" w:cs="Calibri" w:eastAsia="Calibri" w:hAnsi="Calibri"/>
                <w:b w:val="false"/>
                <w:bCs w:val="false"/>
                <w:sz w:val="18"/>
                <w:szCs w:val="18"/>
              </w:rPr>
              <w:t xml:space="preserve">Documentation gaps flagged</w:t>
            </w:r>
          </w:p>
        </w:tc>
        <w:tc>
          <w:tcPr>
            <w:tcW w:type="dxa" w:w="2400"/>
            <w:tcBorders>
              <w:top w:val="single" w:color="C9C2D9" w:sz="4"/>
              <w:left w:val="single" w:color="C9C2D9" w:sz="4"/>
              <w:bottom w:val="single" w:color="C9C2D9" w:sz="4"/>
              <w:right w:val="single" w:color="C9C2D9" w:sz="4"/>
            </w:tcBorders>
            <w:tcMar>
              <w:top w:type="dxa" w:w="50"/>
              <w:left w:type="dxa" w:w="90"/>
              <w:bottom w:type="dxa" w:w="50"/>
              <w:right w:type="dxa" w:w="90"/>
            </w:tcMar>
            <w:vAlign w:val="center"/>
          </w:tcPr>
          <w:p>
            <w:pPr>
              <w:keepNext/>
              <w:keepLines/>
              <w:spacing w:after="20" w:line="230"/>
            </w:pPr>
            <w:r>
              <w:rPr>
                <w:rFonts w:ascii="Calibri" w:cs="Calibri" w:eastAsia="Calibri" w:hAnsi="Calibri"/>
                <w:b w:val="false"/>
                <w:bCs w:val="false"/>
                <w:sz w:val="18"/>
                <w:szCs w:val="18"/>
              </w:rPr>
              <w:t xml:space="preserve">0%</w:t>
            </w:r>
          </w:p>
        </w:tc>
        <w:tc>
          <w:tcPr>
            <w:tcW w:type="dxa" w:w="2400"/>
            <w:tcBorders>
              <w:top w:val="single" w:color="C9C2D9" w:sz="4"/>
              <w:left w:val="single" w:color="C9C2D9" w:sz="4"/>
              <w:bottom w:val="single" w:color="C9C2D9" w:sz="4"/>
              <w:right w:val="single" w:color="C9C2D9" w:sz="4"/>
            </w:tcBorders>
            <w:tcMar>
              <w:top w:type="dxa" w:w="50"/>
              <w:left w:type="dxa" w:w="90"/>
              <w:bottom w:type="dxa" w:w="50"/>
              <w:right w:type="dxa" w:w="90"/>
            </w:tcMar>
            <w:vAlign w:val="center"/>
          </w:tcPr>
          <w:p>
            <w:pPr>
              <w:keepNext/>
              <w:keepLines/>
              <w:spacing w:after="20" w:line="230"/>
            </w:pPr>
            <w:r>
              <w:rPr>
                <w:rFonts w:ascii="Calibri" w:cs="Calibri" w:eastAsia="Calibri" w:hAnsi="Calibri"/>
                <w:b/>
                <w:bCs/>
                <w:color w:val="3B1F6B"/>
                <w:sz w:val="18"/>
                <w:szCs w:val="18"/>
              </w:rPr>
              <w:t xml:space="preserve">100%</w:t>
            </w:r>
          </w:p>
        </w:tc>
      </w:tr>
    </w:tbl>
    <w:p>
      <w:pPr>
        <w:spacing w:after="60" w:before="30"/>
      </w:pPr>
      <w:r>
        <w:rPr>
          <w:rFonts w:ascii="Calibri" w:cs="Calibri" w:eastAsia="Calibri" w:hAnsi="Calibri"/>
          <w:i/>
          <w:iCs/>
          <w:color w:val="595959"/>
          <w:sz w:val="16"/>
          <w:szCs w:val="16"/>
        </w:rPr>
        <w:t xml:space="preserve">Synthetic notes only. I checked expected codes against the FY 2027 guidelines. A certified coder has not reviewed them.</w:t>
      </w:r>
    </w:p>
    <w:p>
      <w:pPr>
        <w:keepNext/>
        <w:spacing w:after="50" w:before="110"/>
      </w:pPr>
      <w:r>
        <w:rPr>
          <w:rFonts w:ascii="Calibri" w:cs="Calibri" w:eastAsia="Calibri" w:hAnsi="Calibri"/>
          <w:b/>
          <w:bCs/>
          <w:color w:val="3B1F6B"/>
          <w:sz w:val="23"/>
          <w:szCs w:val="23"/>
        </w:rPr>
        <w:t xml:space="preserve">5. Recommendations for Cotiviti</w:t>
      </w:r>
    </w:p>
    <w:p>
      <w:pPr>
        <w:pStyle w:val="ListParagraph"/>
        <w:numPr>
          <w:ilvl w:val="0"/>
          <w:numId w:val="3"/>
        </w:numPr>
        <w:spacing w:after="40" w:line="245"/>
      </w:pPr>
      <w:r>
        <w:rPr>
          <w:rFonts w:ascii="Calibri" w:cs="Calibri" w:eastAsia="Calibri" w:hAnsi="Calibri"/>
          <w:b/>
          <w:bCs/>
          <w:sz w:val="20"/>
          <w:szCs w:val="20"/>
        </w:rPr>
        <w:t xml:space="preserve">Pair every AI-drafted rule with tests. </w:t>
      </w:r>
      <w:r>
        <w:rPr>
          <w:rFonts w:ascii="Calibri" w:cs="Calibri" w:eastAsia="Calibri" w:hAnsi="Calibri"/>
          <w:sz w:val="20"/>
          <w:szCs w:val="20"/>
        </w:rPr>
        <w:t xml:space="preserve">Extend AI-assisted rule authoring in Payment Policy Management so each drafted rule ships with test claims built from the policy text, and require a pass on a gold claim set before an analyst approves it. The LLM drafts, and deterministic code runs in production.</w:t>
      </w:r>
    </w:p>
    <w:p>
      <w:pPr>
        <w:pStyle w:val="ListParagraph"/>
        <w:numPr>
          <w:ilvl w:val="0"/>
          <w:numId w:val="3"/>
        </w:numPr>
        <w:spacing w:after="40" w:line="245"/>
      </w:pPr>
      <w:r>
        <w:rPr>
          <w:rFonts w:ascii="Calibri" w:cs="Calibri" w:eastAsia="Calibri" w:hAnsi="Calibri"/>
          <w:b/>
          <w:bCs/>
          <w:sz w:val="20"/>
          <w:szCs w:val="20"/>
        </w:rPr>
        <w:t xml:space="preserve">Put the evidence in every finding. </w:t>
      </w:r>
      <w:r>
        <w:rPr>
          <w:rFonts w:ascii="Calibri" w:cs="Calibri" w:eastAsia="Calibri" w:hAnsi="Calibri"/>
          <w:sz w:val="20"/>
          <w:szCs w:val="20"/>
        </w:rPr>
        <w:t xml:space="preserve">Show the chart sentence and the guideline or policy citation behind each Coding Validation and Clinical Chart Validation finding. Evidence gives providers a reason to accept a finding and gives auditors a faster answer on appeal.</w:t>
      </w:r>
    </w:p>
    <w:p>
      <w:pPr>
        <w:pStyle w:val="ListParagraph"/>
        <w:numPr>
          <w:ilvl w:val="0"/>
          <w:numId w:val="3"/>
        </w:numPr>
        <w:spacing w:after="40" w:line="245"/>
      </w:pPr>
      <w:r>
        <w:rPr>
          <w:rFonts w:ascii="Calibri" w:cs="Calibri" w:eastAsia="Calibri" w:hAnsi="Calibri"/>
          <w:b/>
          <w:bCs/>
          <w:sz w:val="20"/>
          <w:szCs w:val="20"/>
        </w:rPr>
        <w:t xml:space="preserve">Automate the October 1 update. </w:t>
      </w:r>
      <w:r>
        <w:rPr>
          <w:rFonts w:ascii="Calibri" w:cs="Calibri" w:eastAsia="Calibri" w:hAnsi="Calibri"/>
          <w:sz w:val="20"/>
          <w:szCs w:val="20"/>
        </w:rPr>
        <w:t xml:space="preserve">When CMS publishes a new code set or NCCI release, diff it against current content, list every affected rule, and rerun its regression tests before the effective date.</w:t>
      </w:r>
    </w:p>
    <w:p>
      <w:pPr>
        <w:pStyle w:val="ListParagraph"/>
        <w:numPr>
          <w:ilvl w:val="0"/>
          <w:numId w:val="3"/>
        </w:numPr>
        <w:spacing w:after="40" w:line="245"/>
      </w:pPr>
      <w:r>
        <w:rPr>
          <w:rFonts w:ascii="Calibri" w:cs="Calibri" w:eastAsia="Calibri" w:hAnsi="Calibri"/>
          <w:b/>
          <w:bCs/>
          <w:sz w:val="20"/>
          <w:szCs w:val="20"/>
        </w:rPr>
        <w:t xml:space="preserve">Measure AI before trusting it. </w:t>
      </w:r>
      <w:r>
        <w:rPr>
          <w:rFonts w:ascii="Calibri" w:cs="Calibri" w:eastAsia="Calibri" w:hAnsi="Calibri"/>
          <w:sz w:val="20"/>
          <w:szCs w:val="20"/>
        </w:rPr>
        <w:t xml:space="preserve">Require zero invalid codes, an evidence check, and a head-to-head comparison with an LLM-only baseline before any model reaches production. Coders and auditors keep the final decision.</w:t>
      </w:r>
    </w:p>
    <w:p>
      <w:pPr>
        <w:spacing w:after="0" w:before="60" w:line="245"/>
      </w:pPr>
      <w:r>
        <w:rPr>
          <w:rFonts w:ascii="Calibri" w:cs="Calibri" w:eastAsia="Calibri" w:hAnsi="Calibri"/>
          <w:sz w:val="20"/>
          <w:szCs w:val="20"/>
        </w:rPr>
        <w:t xml:space="preserve">Autonomous coding startups sell automation rates. Cotiviti's payer clients need decisions they can defend in an audit, and explainable, tested rules give them that. I recommend Cotiviti position itself there.</w:t>
      </w:r>
    </w:p>
    <w:p>
      <w:r>
        <w:br w:type="page"/>
      </w:r>
    </w:p>
    <w:p>
      <w:pPr>
        <w:spacing w:after="200"/>
        <w:jc w:val="center"/>
      </w:pPr>
      <w:r>
        <w:rPr>
          <w:rFonts w:ascii="Calibri" w:cs="Calibri" w:eastAsia="Calibri" w:hAnsi="Calibri"/>
          <w:b/>
          <w:bCs/>
          <w:color w:val="3B1F6B"/>
          <w:sz w:val="26"/>
          <w:szCs w:val="26"/>
        </w:rPr>
        <w:t xml:space="preserve">References</w:t>
      </w:r>
    </w:p>
    <w:p>
      <w:pPr>
        <w:spacing w:after="120" w:line="276"/>
        <w:ind w:left="720" w:hanging="720"/>
      </w:pPr>
      <w:r>
        <w:rPr>
          <w:rFonts w:ascii="Calibri" w:cs="Calibri" w:eastAsia="Calibri" w:hAnsi="Calibri"/>
          <w:sz w:val="20"/>
          <w:szCs w:val="20"/>
        </w:rPr>
        <w:t xml:space="preserve">ACDIS. (2026, January 29). News: CMS publishes FY 2025 improper payment figures. </w:t>
      </w:r>
      <w:r>
        <w:rPr>
          <w:rFonts w:ascii="Calibri" w:cs="Calibri" w:eastAsia="Calibri" w:hAnsi="Calibri"/>
          <w:i/>
          <w:iCs/>
          <w:sz w:val="20"/>
          <w:szCs w:val="20"/>
        </w:rPr>
        <w:t xml:space="preserve">CDI Strategies, 20</w:t>
      </w:r>
      <w:r>
        <w:rPr>
          <w:rFonts w:ascii="Calibri" w:cs="Calibri" w:eastAsia="Calibri" w:hAnsi="Calibri"/>
          <w:sz w:val="20"/>
          <w:szCs w:val="20"/>
        </w:rPr>
        <w:t xml:space="preserve">(5). https://acdis.org/articles/news-cms-publishes-fy-2025-improper-payment-figures</w:t>
      </w:r>
    </w:p>
    <w:p>
      <w:pPr>
        <w:spacing w:after="120" w:line="276"/>
        <w:ind w:left="720" w:hanging="720"/>
      </w:pPr>
      <w:r>
        <w:rPr>
          <w:rFonts w:ascii="Calibri" w:cs="Calibri" w:eastAsia="Calibri" w:hAnsi="Calibri"/>
          <w:sz w:val="20"/>
          <w:szCs w:val="20"/>
        </w:rPr>
        <w:t xml:space="preserve">American Hospital Association. (2024, February 7). </w:t>
      </w:r>
      <w:r>
        <w:rPr>
          <w:rFonts w:ascii="Calibri" w:cs="Calibri" w:eastAsia="Calibri" w:hAnsi="Calibri"/>
          <w:i/>
          <w:iCs/>
          <w:sz w:val="20"/>
          <w:szCs w:val="20"/>
        </w:rPr>
        <w:t xml:space="preserve">CMS FAQs on 2024 Medicare Advantage rule</w:t>
      </w:r>
      <w:r>
        <w:rPr>
          <w:rFonts w:ascii="Calibri" w:cs="Calibri" w:eastAsia="Calibri" w:hAnsi="Calibri"/>
          <w:sz w:val="20"/>
          <w:szCs w:val="20"/>
        </w:rPr>
        <w:t xml:space="preserve">. https://www.aha.org/frequently-asked-questions-faqs/2024-02-07-cms-faqs-2024-medicare-advantage-rule</w:t>
      </w:r>
    </w:p>
    <w:p>
      <w:pPr>
        <w:spacing w:after="120" w:line="276"/>
        <w:ind w:left="720" w:hanging="720"/>
      </w:pPr>
      <w:r>
        <w:rPr>
          <w:rFonts w:ascii="Calibri" w:cs="Calibri" w:eastAsia="Calibri" w:hAnsi="Calibri"/>
          <w:sz w:val="20"/>
          <w:szCs w:val="20"/>
        </w:rPr>
        <w:t xml:space="preserve">Bobba, S. P. T. (2026). </w:t>
      </w:r>
      <w:r>
        <w:rPr>
          <w:rFonts w:ascii="Calibri" w:cs="Calibri" w:eastAsia="Calibri" w:hAnsi="Calibri"/>
          <w:i/>
          <w:iCs/>
          <w:sz w:val="20"/>
          <w:szCs w:val="20"/>
        </w:rPr>
        <w:t xml:space="preserve">CodeCare AI: An explainable ICD-10-CM coding copilot</w:t>
      </w:r>
      <w:r>
        <w:rPr>
          <w:rFonts w:ascii="Calibri" w:cs="Calibri" w:eastAsia="Calibri" w:hAnsi="Calibri"/>
          <w:sz w:val="20"/>
          <w:szCs w:val="20"/>
        </w:rPr>
        <w:t xml:space="preserve"> [Computer software]. GitHub. https://github.com/pavanbobba09/CodeCareAI</w:t>
      </w:r>
    </w:p>
    <w:p>
      <w:pPr>
        <w:spacing w:after="120" w:line="276"/>
        <w:ind w:left="720" w:hanging="720"/>
      </w:pPr>
      <w:r>
        <w:rPr>
          <w:rFonts w:ascii="Calibri" w:cs="Calibri" w:eastAsia="Calibri" w:hAnsi="Calibri"/>
          <w:sz w:val="20"/>
          <w:szCs w:val="20"/>
        </w:rPr>
        <w:t xml:space="preserve">Centers for Medicare &amp; Medicaid Services. (2026). </w:t>
      </w:r>
      <w:r>
        <w:rPr>
          <w:rFonts w:ascii="Calibri" w:cs="Calibri" w:eastAsia="Calibri" w:hAnsi="Calibri"/>
          <w:i/>
          <w:iCs/>
          <w:sz w:val="20"/>
          <w:szCs w:val="20"/>
        </w:rPr>
        <w:t xml:space="preserve">ICD-10: 2027 ICD-10-CM files and FY 2027 ICD-10-CM Official Guidelines for Coding and Reporting</w:t>
      </w:r>
      <w:r>
        <w:rPr>
          <w:rFonts w:ascii="Calibri" w:cs="Calibri" w:eastAsia="Calibri" w:hAnsi="Calibri"/>
          <w:sz w:val="20"/>
          <w:szCs w:val="20"/>
        </w:rPr>
        <w:t xml:space="preserve">. https://www.cms.gov/medicare/coding-billing/icd-10-codes</w:t>
      </w:r>
    </w:p>
    <w:p>
      <w:pPr>
        <w:spacing w:after="120" w:line="276"/>
        <w:ind w:left="720" w:hanging="720"/>
      </w:pPr>
      <w:r>
        <w:rPr>
          <w:rFonts w:ascii="Calibri" w:cs="Calibri" w:eastAsia="Calibri" w:hAnsi="Calibri"/>
          <w:sz w:val="20"/>
          <w:szCs w:val="20"/>
        </w:rPr>
        <w:t xml:space="preserve">Centers for Medicare &amp; Medicaid Services. (n.d.). </w:t>
      </w:r>
      <w:r>
        <w:rPr>
          <w:rFonts w:ascii="Calibri" w:cs="Calibri" w:eastAsia="Calibri" w:hAnsi="Calibri"/>
          <w:i/>
          <w:iCs/>
          <w:sz w:val="20"/>
          <w:szCs w:val="20"/>
        </w:rPr>
        <w:t xml:space="preserve">National Correct Coding Initiative (NCCI) edits</w:t>
      </w:r>
      <w:r>
        <w:rPr>
          <w:rFonts w:ascii="Calibri" w:cs="Calibri" w:eastAsia="Calibri" w:hAnsi="Calibri"/>
          <w:sz w:val="20"/>
          <w:szCs w:val="20"/>
        </w:rPr>
        <w:t xml:space="preserve">. https://www.cms.gov/medicare/coding-billing/national-correct-coding-initiative-ncci-edits</w:t>
      </w:r>
    </w:p>
    <w:p>
      <w:pPr>
        <w:spacing w:after="120" w:line="276"/>
        <w:ind w:left="720" w:hanging="720"/>
      </w:pPr>
      <w:r>
        <w:rPr>
          <w:rFonts w:ascii="Calibri" w:cs="Calibri" w:eastAsia="Calibri" w:hAnsi="Calibri"/>
          <w:sz w:val="20"/>
          <w:szCs w:val="20"/>
        </w:rPr>
        <w:t xml:space="preserve">Cotiviti. (n.d.). </w:t>
      </w:r>
      <w:r>
        <w:rPr>
          <w:rFonts w:ascii="Calibri" w:cs="Calibri" w:eastAsia="Calibri" w:hAnsi="Calibri"/>
          <w:i/>
          <w:iCs/>
          <w:sz w:val="20"/>
          <w:szCs w:val="20"/>
        </w:rPr>
        <w:t xml:space="preserve">The impact of AI-driven provider billing on health plans</w:t>
      </w:r>
      <w:r>
        <w:rPr>
          <w:rFonts w:ascii="Calibri" w:cs="Calibri" w:eastAsia="Calibri" w:hAnsi="Calibri"/>
          <w:sz w:val="20"/>
          <w:szCs w:val="20"/>
        </w:rPr>
        <w:t xml:space="preserve">. https://resources.cotiviti.com/payment-integrity/the-impact-of-ai-driven-provider-billing-on-health-plans</w:t>
      </w:r>
    </w:p>
    <w:p>
      <w:pPr>
        <w:spacing w:after="120" w:line="276"/>
        <w:ind w:left="720" w:hanging="720"/>
      </w:pPr>
      <w:r>
        <w:rPr>
          <w:rFonts w:ascii="Calibri" w:cs="Calibri" w:eastAsia="Calibri" w:hAnsi="Calibri"/>
          <w:sz w:val="20"/>
          <w:szCs w:val="20"/>
        </w:rPr>
        <w:t xml:space="preserve">Cotiviti. (2026, August 4). </w:t>
      </w:r>
      <w:r>
        <w:rPr>
          <w:rFonts w:ascii="Calibri" w:cs="Calibri" w:eastAsia="Calibri" w:hAnsi="Calibri"/>
          <w:i/>
          <w:iCs/>
          <w:sz w:val="20"/>
          <w:szCs w:val="20"/>
        </w:rPr>
        <w:t xml:space="preserve">Cotiviti launches enhanced Dental Claim Accuracy solution on market-leading Payment Policy Management platform</w:t>
      </w:r>
      <w:r>
        <w:rPr>
          <w:rFonts w:ascii="Calibri" w:cs="Calibri" w:eastAsia="Calibri" w:hAnsi="Calibri"/>
          <w:sz w:val="20"/>
          <w:szCs w:val="20"/>
        </w:rPr>
        <w:t xml:space="preserve"> [Press release]. https://www.cotiviti.com/press-release/cotiviti-launches-enhanced-dental-claim-accuracy-solution-on-market-leading-payment-policy-management-platform</w:t>
      </w:r>
    </w:p>
    <w:p>
      <w:pPr>
        <w:spacing w:after="120" w:line="276"/>
        <w:ind w:left="720" w:hanging="720"/>
      </w:pPr>
      <w:r>
        <w:rPr>
          <w:rFonts w:ascii="Calibri" w:cs="Calibri" w:eastAsia="Calibri" w:hAnsi="Calibri"/>
          <w:sz w:val="20"/>
          <w:szCs w:val="20"/>
        </w:rPr>
        <w:t xml:space="preserve">Experian Health. (2025, September 22). </w:t>
      </w:r>
      <w:r>
        <w:rPr>
          <w:rFonts w:ascii="Calibri" w:cs="Calibri" w:eastAsia="Calibri" w:hAnsi="Calibri"/>
          <w:i/>
          <w:iCs/>
          <w:sz w:val="20"/>
          <w:szCs w:val="20"/>
        </w:rPr>
        <w:t xml:space="preserve">Experian Health's 3rd annual State of Claims survey finds denials still on the rise amid escalating challenges</w:t>
      </w:r>
      <w:r>
        <w:rPr>
          <w:rFonts w:ascii="Calibri" w:cs="Calibri" w:eastAsia="Calibri" w:hAnsi="Calibri"/>
          <w:sz w:val="20"/>
          <w:szCs w:val="20"/>
        </w:rPr>
        <w:t xml:space="preserve"> [Press release]. https://www.experianplc.com/newsroom/press-releases/2025/experian-health-s-3rd-annual-state-of-claims-survey-finds-denial</w:t>
      </w:r>
    </w:p>
    <w:p>
      <w:pPr>
        <w:spacing w:after="120" w:line="276"/>
        <w:ind w:left="720" w:hanging="720"/>
      </w:pPr>
      <w:r>
        <w:rPr>
          <w:rFonts w:ascii="Calibri" w:cs="Calibri" w:eastAsia="Calibri" w:hAnsi="Calibri"/>
          <w:sz w:val="20"/>
          <w:szCs w:val="20"/>
        </w:rPr>
        <w:t xml:space="preserve">Harned, Z. (2024, November 7). </w:t>
      </w:r>
      <w:r>
        <w:rPr>
          <w:rFonts w:ascii="Calibri" w:cs="Calibri" w:eastAsia="Calibri" w:hAnsi="Calibri"/>
          <w:i/>
          <w:iCs/>
          <w:sz w:val="20"/>
          <w:szCs w:val="20"/>
        </w:rPr>
        <w:t xml:space="preserve">California's SB 1120 regulates AI in health plan utilization review and management activities starting in January</w:t>
      </w:r>
      <w:r>
        <w:rPr>
          <w:rFonts w:ascii="Calibri" w:cs="Calibri" w:eastAsia="Calibri" w:hAnsi="Calibri"/>
          <w:sz w:val="20"/>
          <w:szCs w:val="20"/>
        </w:rPr>
        <w:t xml:space="preserve">. Fenwick &amp; West LLP. https://www.fenwick.com/insights/publications/californias-sb-1120-regulates-ai-in-health-plan-utilization-review-and-management-activities-starting-in-january</w:t>
      </w:r>
    </w:p>
    <w:p>
      <w:pPr>
        <w:spacing w:after="120" w:line="276"/>
        <w:ind w:left="720" w:hanging="720"/>
      </w:pPr>
      <w:r>
        <w:rPr>
          <w:rFonts w:ascii="Calibri" w:cs="Calibri" w:eastAsia="Calibri" w:hAnsi="Calibri"/>
          <w:sz w:val="20"/>
          <w:szCs w:val="20"/>
        </w:rPr>
        <w:t xml:space="preserve">Mohun, J., &amp; Roberts, A. (2020). </w:t>
      </w:r>
      <w:r>
        <w:rPr>
          <w:rFonts w:ascii="Calibri" w:cs="Calibri" w:eastAsia="Calibri" w:hAnsi="Calibri"/>
          <w:i/>
          <w:iCs/>
          <w:sz w:val="20"/>
          <w:szCs w:val="20"/>
        </w:rPr>
        <w:t xml:space="preserve">Cracking the code: Rulemaking for humans and machines</w:t>
      </w:r>
      <w:r>
        <w:rPr>
          <w:rFonts w:ascii="Calibri" w:cs="Calibri" w:eastAsia="Calibri" w:hAnsi="Calibri"/>
          <w:sz w:val="20"/>
          <w:szCs w:val="20"/>
        </w:rPr>
        <w:t xml:space="preserve"> (OECD Working Papers on Public Governance No. 42). OECD Publishing. https://doi.org/10.1787/3afe6ba5-en</w:t>
      </w:r>
    </w:p>
    <w:p>
      <w:pPr>
        <w:spacing w:after="120" w:line="276"/>
        <w:ind w:left="720" w:hanging="720"/>
      </w:pPr>
      <w:r>
        <w:rPr>
          <w:rFonts w:ascii="Calibri" w:cs="Calibri" w:eastAsia="Calibri" w:hAnsi="Calibri"/>
          <w:sz w:val="20"/>
          <w:szCs w:val="20"/>
        </w:rPr>
        <w:t xml:space="preserve">OmniMD. (2026, August 12). </w:t>
      </w:r>
      <w:r>
        <w:rPr>
          <w:rFonts w:ascii="Calibri" w:cs="Calibri" w:eastAsia="Calibri" w:hAnsi="Calibri"/>
          <w:i/>
          <w:iCs/>
          <w:sz w:val="20"/>
          <w:szCs w:val="20"/>
        </w:rPr>
        <w:t xml:space="preserve">AI in medical billing: Top 5 platforms compared (2026)</w:t>
      </w:r>
      <w:r>
        <w:rPr>
          <w:rFonts w:ascii="Calibri" w:cs="Calibri" w:eastAsia="Calibri" w:hAnsi="Calibri"/>
          <w:sz w:val="20"/>
          <w:szCs w:val="20"/>
        </w:rPr>
        <w:t xml:space="preserve">. https://omnimd.com/blog/top-ai-medical-billing-platforms/</w:t>
      </w:r>
    </w:p>
    <w:p>
      <w:pPr>
        <w:spacing w:after="120" w:line="276"/>
        <w:ind w:left="720" w:hanging="720"/>
      </w:pPr>
      <w:r>
        <w:rPr>
          <w:rFonts w:ascii="Calibri" w:cs="Calibri" w:eastAsia="Calibri" w:hAnsi="Calibri"/>
          <w:sz w:val="20"/>
          <w:szCs w:val="20"/>
        </w:rPr>
        <w:t xml:space="preserve">Pennic, F. (2026, August 24). Arintra secures $25M to scale GenAI autonomous medical coding. </w:t>
      </w:r>
      <w:r>
        <w:rPr>
          <w:rFonts w:ascii="Calibri" w:cs="Calibri" w:eastAsia="Calibri" w:hAnsi="Calibri"/>
          <w:i/>
          <w:iCs/>
          <w:sz w:val="20"/>
          <w:szCs w:val="20"/>
        </w:rPr>
        <w:t xml:space="preserve">HIT Consultant</w:t>
      </w:r>
      <w:r>
        <w:rPr>
          <w:rFonts w:ascii="Calibri" w:cs="Calibri" w:eastAsia="Calibri" w:hAnsi="Calibri"/>
          <w:sz w:val="20"/>
          <w:szCs w:val="20"/>
        </w:rPr>
        <w:t xml:space="preserve">. https://hitconsultant.net/2026/08/24/arintra-autonomous-medical-coding-funding/</w:t>
      </w:r>
    </w:p>
    <w:p>
      <w:pPr>
        <w:spacing w:after="120" w:line="276"/>
        <w:ind w:left="720" w:hanging="720"/>
      </w:pPr>
      <w:r>
        <w:rPr>
          <w:rFonts w:ascii="Calibri" w:cs="Calibri" w:eastAsia="Calibri" w:hAnsi="Calibri"/>
          <w:sz w:val="20"/>
          <w:szCs w:val="20"/>
        </w:rPr>
        <w:t xml:space="preserve">Soroush, A., Glicksberg, B. S., Zimlichman, E., Barash, Y., Freeman, R., Charney, A. W., Nadkarni, G. N., &amp; Klang, E. (2024). Large language models are poor medical coders: Benchmarking of medical code querying. </w:t>
      </w:r>
      <w:r>
        <w:rPr>
          <w:rFonts w:ascii="Calibri" w:cs="Calibri" w:eastAsia="Calibri" w:hAnsi="Calibri"/>
          <w:i/>
          <w:iCs/>
          <w:sz w:val="20"/>
          <w:szCs w:val="20"/>
        </w:rPr>
        <w:t xml:space="preserve">NEJM AI, 1</w:t>
      </w:r>
      <w:r>
        <w:rPr>
          <w:rFonts w:ascii="Calibri" w:cs="Calibri" w:eastAsia="Calibri" w:hAnsi="Calibri"/>
          <w:sz w:val="20"/>
          <w:szCs w:val="20"/>
        </w:rPr>
        <w:t xml:space="preserve">(5). https://doi.org/10.1056/AIdbp2300040</w:t>
      </w:r>
    </w:p>
    <w:sectPr>
      <w:pgSz w:w="12240" w:h="15840" w:orient="portrait"/>
      <w:pgMar w:top="900" w:right="1320" w:bottom="90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2026-09-29T21:55:46.456Z</dcterms:created>
  <dcterms:modified xsi:type="dcterms:W3CDTF">2026-09-29T21:55:46.456Z</dcterms:modified>
</cp:coreProperties>
</file>

<file path=docProps/custom.xml><?xml version="1.0" encoding="utf-8"?>
<Properties xmlns="http://schemas.openxmlformats.org/officeDocument/2006/custom-properties" xmlns:vt="http://schemas.openxmlformats.org/officeDocument/2006/docPropsVTypes"/>
</file>