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6.1 Shell company</w:t>
      </w:r>
    </w:p>
    <w:p>
      <w:r>
        <w:t xml:space="preserve">What it looks like: a company with large flows but no staff, premises or real trading activity.</w:t>
      </w:r>
    </w:p>
    <w:p>
      <w:r>
        <w:t xml:space="preserve">Red flags: recently incorporated; registered at a residential or shared address; no website or filings.</w:t>
      </w:r>
    </w:p>
    <w:p>
      <w:pPr>
        <w:pStyle w:val="Heading2"/>
      </w:pPr>
      <w:r>
        <w:t xml:space="preserve">6.2 Front company</w:t>
      </w:r>
    </w:p>
    <w:p>
      <w:r>
        <w:t xml:space="preserve">What it looks like: a real, operating business that mixes illicit funds with genuine revenue.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2026-10-28T07:18:19.177Z</dcterms:created>
  <dcterms:modified xsi:type="dcterms:W3CDTF">2026-10-28T07:18:19.178Z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