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SYNTHETIC DEMO DATA – fictional client</w:t>
      </w:r>
    </w:p>
    <w:p>
      <w:pPr>
        <w:pStyle w:val="Heading1"/>
      </w:pPr>
      <w:r>
        <w:t xml:space="preserve">Prior alert and case history – Kestrel Trading Pvt Ltd (CIF 10048832)</w:t>
      </w:r>
    </w:p>
    <w:p>
      <w:r>
        <w:t xml:space="preserve">Prior alerts: 2. Prior SARs: 0.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p>
            <w:r>
              <w:rPr>
                <w:b/>
                <w:bCs/>
              </w:rPr>
              <w:t xml:space="preserve">Alert</w:t>
            </w:r>
          </w:p>
        </w:tc>
        <w:tc>
          <w:p>
            <w:r>
              <w:rPr>
                <w:b/>
                <w:bCs/>
              </w:rPr>
              <w:t xml:space="preserve">Date</w:t>
            </w:r>
          </w:p>
        </w:tc>
        <w:tc>
          <w:p>
            <w:r>
              <w:rPr>
                <w:b/>
                <w:bCs/>
              </w:rPr>
              <w:t xml:space="preserve">Scenario</w:t>
            </w:r>
          </w:p>
        </w:tc>
        <w:tc>
          <w:p>
            <w:r>
              <w:rPr>
                <w:b/>
                <w:bCs/>
              </w:rPr>
              <w:t xml:space="preserve">Outcome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ALR-2025-000488</w:t>
            </w:r>
          </w:p>
        </w:tc>
        <w:tc>
          <w:p>
            <w:r>
              <w:rPr>
                <w:b w:val="false"/>
                <w:bCs w:val="false"/>
              </w:rPr>
              <w:t xml:space="preserve">11 Mar 2025</w:t>
            </w:r>
          </w:p>
        </w:tc>
        <w:tc>
          <w:p>
            <w:r>
              <w:rPr>
                <w:b w:val="false"/>
                <w:bCs w:val="false"/>
              </w:rPr>
              <w:t xml:space="preserve">Large Amount Transaction</w:t>
            </w:r>
          </w:p>
        </w:tc>
        <w:tc>
          <w:p>
            <w:r>
              <w:rPr>
                <w:b w:val="false"/>
                <w:bCs w:val="false"/>
              </w:rPr>
              <w:t xml:space="preserve">Closed – no further action</w:t>
            </w:r>
          </w:p>
        </w:tc>
        <w:tc>
          <w:p>
            <w:r>
              <w:rPr>
                <w:b w:val="false"/>
                <w:bCs w:val="false"/>
              </w:rPr>
              <w:t xml:space="preserve">Single receipt of USD 240,000 from a scrap buyer; invoice and bill of lading provided.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ALR-2025-001207</w:t>
            </w:r>
          </w:p>
        </w:tc>
        <w:tc>
          <w:p>
            <w:r>
              <w:rPr>
                <w:b w:val="false"/>
                <w:bCs w:val="false"/>
              </w:rPr>
              <w:t xml:space="preserve">20 Nov 2025</w:t>
            </w:r>
          </w:p>
        </w:tc>
        <w:tc>
          <w:p>
            <w:r>
              <w:rPr>
                <w:b w:val="false"/>
                <w:bCs w:val="false"/>
              </w:rPr>
              <w:t xml:space="preserve">Round Dollar Transaction</w:t>
            </w:r>
          </w:p>
        </w:tc>
        <w:tc>
          <w:p>
            <w:r>
              <w:rPr>
                <w:b w:val="false"/>
                <w:bCs w:val="false"/>
              </w:rPr>
              <w:t xml:space="preserve">Closed – no further action</w:t>
            </w:r>
          </w:p>
        </w:tc>
        <w:tc>
          <w:p>
            <w:r>
              <w:rPr>
                <w:b w:val="false"/>
                <w:bCs w:val="false"/>
              </w:rPr>
              <w:t xml:space="preserve">Round-amount payments to a metals supplier explained by fixed-price contracts.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2026-10-24T08:02:51.969Z</dcterms:created>
  <dcterms:modified xsi:type="dcterms:W3CDTF">2026-10-24T08:02:51.969Z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