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2"/>
        </w:rPr>
        <w:t>Execution Authority Gate: Solution Walkthrough</w:t>
      </w:r>
    </w:p>
    <w:p>
      <w:pPr>
        <w:jc w:val="center"/>
      </w:pPr>
      <w:r>
        <w:rPr>
          <w:i/>
          <w:color w:val="555555"/>
          <w:sz w:val="30"/>
        </w:rPr>
        <w:t>AI-Driven Fraud Attack Identification and Prevention</w:t>
      </w:r>
    </w:p>
    <w:p/>
    <w:p/>
    <w:p/>
    <w:p/>
    <w:p>
      <w:pPr>
        <w:jc w:val="center"/>
      </w:pPr>
      <w:r>
        <w:rPr>
          <w:sz w:val="26"/>
        </w:rPr>
        <w:t>Parmana Systems</w:t>
      </w:r>
    </w:p>
    <w:p>
      <w:pPr>
        <w:jc w:val="center"/>
      </w:pPr>
      <w:r>
        <w:rPr>
          <w:color w:val="555555"/>
          <w:sz w:val="24"/>
        </w:rPr>
        <w:t>August 31, 2026</w:t>
      </w:r>
    </w:p>
    <w:p/>
    <w:p/>
    <w:p/>
    <w:p>
      <w:pPr>
        <w:jc w:val="center"/>
      </w:pPr>
      <w:r>
        <w:rPr>
          <w:i/>
          <w:color w:val="555555"/>
          <w:sz w:val="19"/>
        </w:rPr>
        <w:t>Independent research project prepared for the Mastercard Innovation Challenge, AI Defense Lab 2026. Not an official Mastercard product; Mastercard has not endorsed it. Every figure in this document is traceable to a file or a runnable command in the project repository, per the evidence standard in CLAIMS.md.</w:t>
      </w:r>
    </w:p>
    <w:p>
      <w:r>
        <w:br w:type="page"/>
      </w:r>
    </w:p>
    <w:p>
      <w:pPr>
        <w:pStyle w:val="Heading1"/>
      </w:pPr>
      <w:r>
        <w:rPr>
          <w:color w:val="1F3A5F"/>
          <w:sz w:val="36"/>
        </w:rPr>
        <w:t>Table of Contents</w:t>
      </w:r>
    </w:p>
    <w:p>
      <w:r>
        <w:fldChar w:fldCharType="begin"/>
      </w:r>
      <w:r>
        <w:instrText xml:space="preserve">TOC \o "1-2" \h \z \u</w:instrText>
      </w:r>
      <w:r>
        <w:fldChar w:fldCharType="separate"/>
      </w:r>
      <w:r>
        <w:t>Right-click here and choose “Update Field” to generate the table of contents.</w:t>
      </w:r>
      <w:r>
        <w:fldChar w:fldCharType="end"/>
      </w:r>
    </w:p>
    <w:p>
      <w:r>
        <w:br w:type="page"/>
      </w:r>
    </w:p>
    <w:p>
      <w:pPr>
        <w:pStyle w:val="Heading1"/>
      </w:pPr>
      <w:r>
        <w:rPr>
          <w:color w:val="1F3A5F"/>
          <w:sz w:val="36"/>
        </w:rPr>
        <w:t>1. Executive Summary</w:t>
      </w:r>
    </w:p>
    <w:p>
      <w:pPr>
        <w:spacing w:line="276" w:lineRule="auto" w:after="160"/>
        <w:jc w:val="both"/>
      </w:pPr>
      <w:r>
        <w:rPr>
          <w:b w:val="0"/>
          <w:i w:val="0"/>
        </w:rPr>
        <w:t>Execution Authority Gate prevents GenAI-powered payment fraud by combining a probabilistic AI fraud detector with a deterministic, rules-based mandate and policy layer, and cryptographically signing every final decision before it can be treated as authoritative. AI recommends; a separate, non-negotiable rules layer decides; every decision is provable after the fact.</w:t>
      </w:r>
    </w:p>
    <w:p>
      <w:pPr>
        <w:spacing w:line="276" w:lineRule="auto" w:after="160"/>
        <w:jc w:val="both"/>
      </w:pPr>
      <w:r>
        <w:rPr>
          <w:b/>
          <w:i w:val="0"/>
        </w:rPr>
        <w:t>This document details:</w:t>
      </w:r>
    </w:p>
    <w:p>
      <w:pPr>
        <w:pStyle w:val="ListBullet"/>
        <w:spacing w:line="276" w:lineRule="auto" w:after="80"/>
      </w:pPr>
      <w:r>
        <w:t>Four representative AI-driven fraud attack patterns, drawn from the project's 13-item attack taxonomy, illustrated with real signed decisions produced by this repository's own pipeline (not hypothetical scenarios)</w:t>
      </w:r>
    </w:p>
    <w:p>
      <w:pPr>
        <w:pStyle w:val="ListBullet"/>
        <w:spacing w:line="276" w:lineRule="auto" w:after="80"/>
      </w:pPr>
      <w:r>
        <w:t>How the system generates and simulates these attacks: nine bounded agents, five of them making real OpenAI API calls</w:t>
      </w:r>
    </w:p>
    <w:p>
      <w:pPr>
        <w:pStyle w:val="ListBullet"/>
        <w:spacing w:line="276" w:lineRule="auto" w:after="80"/>
      </w:pPr>
      <w:r>
        <w:t>Detection efficacy: the trained detector achieves 92.2% recall (fraud caught) at a 6.3% false positive rate on its held-out test split; the mandate layer independently catches an additional 26 real fraud cases the detector alone scored as low risk</w:t>
      </w:r>
    </w:p>
    <w:p>
      <w:pPr>
        <w:pStyle w:val="ListBullet"/>
        <w:spacing w:line="276" w:lineRule="auto" w:after="80"/>
      </w:pPr>
      <w:r>
        <w:t>Production-readiness: documented engineering estimates and open gaps for live payment environments — this repository has not processed a real transaction</w:t>
      </w:r>
    </w:p>
    <w:p>
      <w:pPr>
        <w:spacing w:line="276" w:lineRule="auto" w:after="160"/>
        <w:jc w:val="both"/>
      </w:pPr>
      <w:r>
        <w:rPr>
          <w:b/>
          <w:i w:val="0"/>
        </w:rPr>
        <w:t>Key Innovation: the mandate layer catches account-level fraud patterns that are structurally invisible to any per-transaction detector, because it evaluates a transaction against that specific customer's own spending history rather than a fresh model score computed in isolation.</w:t>
      </w:r>
    </w:p>
    <w:p>
      <w:pPr>
        <w:spacing w:line="276" w:lineRule="auto" w:after="160"/>
        <w:jc w:val="both"/>
      </w:pPr>
      <w:r>
        <w:rPr>
          <w:b w:val="0"/>
          <w:i/>
        </w:rPr>
        <w:t>A note on the numbers in this document: the underlying dataset is regenerated from real, non-deterministic OpenAI calls on each pipeline run, so exact figures move slightly run to run by design. The figures quoted here are from the committed run behind web/data/dashboard.json, and every figure is labeled with the file or command that reproduces it, consistent with this project's own CLAIMS.md evidence standard.</w:t>
      </w:r>
    </w:p>
    <w:p>
      <w:r>
        <w:br w:type="page"/>
      </w:r>
    </w:p>
    <w:p>
      <w:pPr>
        <w:pStyle w:val="Heading1"/>
      </w:pPr>
      <w:r>
        <w:rPr>
          <w:color w:val="1F3A5F"/>
          <w:sz w:val="36"/>
        </w:rPr>
        <w:t>2. Fraud Attack Patterns Identified</w:t>
      </w:r>
    </w:p>
    <w:p>
      <w:pPr>
        <w:spacing w:line="276" w:lineRule="auto" w:after="160"/>
        <w:jc w:val="both"/>
      </w:pPr>
      <w:r>
        <w:rPr>
          <w:b w:val="0"/>
          <w:i w:val="0"/>
        </w:rPr>
        <w:t>The project's full attack taxonomy (identify/attack-taxonomy.md) names thirteen ways AI is being used today to commit payment fraud. Eight are actively simulated by nine bounded agents against a synthetic, generated transaction population; five are documented honestly as known gaps — real attack paths this lab does not yet generate traffic for. The four patterns below are simulated, tested attack types with real, signed decisions produced by this repository's pipeline. None of the examples below use real customer or payment data.</w:t>
      </w:r>
    </w:p>
    <w:p>
      <w:pPr>
        <w:pStyle w:val="Heading2"/>
      </w:pPr>
      <w:r>
        <w:rPr>
          <w:color w:val="1F3A5F"/>
          <w:sz w:val="27"/>
        </w:rPr>
        <w:t>Attack 1: Synthetic Identity Bust-Out</w:t>
      </w:r>
    </w:p>
    <w:p>
      <w:pPr>
        <w:spacing w:line="276" w:lineRule="auto" w:after="160"/>
        <w:jc w:val="both"/>
      </w:pPr>
      <w:r>
        <w:rPr>
          <w:b w:val="0"/>
          <w:i/>
        </w:rPr>
        <w:t>Where: Full account lifecycle, from onboarding through months of normal use, monetized in a single terminal event.</w:t>
      </w:r>
    </w:p>
    <w:p>
      <w:pPr>
        <w:spacing w:before="200" w:after="80"/>
      </w:pPr>
      <w:r>
        <w:rPr>
          <w:b/>
          <w:color w:val="555555"/>
          <w:sz w:val="24"/>
        </w:rPr>
        <w:t>What it is</w:t>
      </w:r>
    </w:p>
    <w:p>
      <w:pPr>
        <w:spacing w:line="276" w:lineRule="auto" w:after="160"/>
        <w:jc w:val="both"/>
      </w:pPr>
      <w:r>
        <w:rPr>
          <w:b w:val="0"/>
          <w:i w:val="0"/>
        </w:rPr>
        <w:t>An attacker builds a fabricated identity, uses it to establish months of genuinely unremarkable transaction history and a real credit line, then maxes it out and abandons the account in one final burst.</w:t>
      </w:r>
    </w:p>
    <w:p>
      <w:pPr>
        <w:spacing w:before="200" w:after="80"/>
      </w:pPr>
      <w:r>
        <w:rPr>
          <w:b/>
          <w:color w:val="555555"/>
          <w:sz w:val="24"/>
        </w:rPr>
        <w:t>Why AI alone can miss it</w:t>
      </w:r>
    </w:p>
    <w:p>
      <w:pPr>
        <w:spacing w:line="276" w:lineRule="auto" w:after="160"/>
        <w:jc w:val="both"/>
      </w:pPr>
      <w:r>
        <w:rPr>
          <w:b w:val="0"/>
          <w:i w:val="0"/>
        </w:rPr>
        <w:t>Every transaction before the bust-out looks identical to genuine account seasoning. There is no anomaly to detect until the single terminal transaction, by which point months of normal-seeming history have already vouched for the account. A per-transaction detector scores each transaction independently, so a pattern spanning months is structurally outside what it can see.</w:t>
      </w:r>
    </w:p>
    <w:p>
      <w:pPr>
        <w:spacing w:before="200" w:after="80"/>
      </w:pPr>
      <w:r>
        <w:rPr>
          <w:b/>
          <w:color w:val="555555"/>
          <w:sz w:val="24"/>
        </w:rPr>
        <w:t>How the mandate layer catches it</w:t>
      </w:r>
    </w:p>
    <w:p>
      <w:pPr>
        <w:spacing w:line="276" w:lineRule="auto" w:after="160"/>
        <w:jc w:val="both"/>
      </w:pPr>
      <w:r>
        <w:rPr>
          <w:b w:val="0"/>
          <w:i w:val="0"/>
        </w:rPr>
        <w:t>The mandate layer checks the transaction against that customer's own derived spending limit (avg_amount × count × 1.5, computed from their own transaction history) rather than a fresh score — the same limit rule the detector never evaluates.</w:t>
      </w:r>
    </w:p>
    <w:p>
      <w:pPr>
        <w:spacing w:before="200" w:after="80"/>
      </w:pPr>
      <w:r>
        <w:rPr>
          <w:b/>
          <w:color w:val="555555"/>
          <w:sz w:val="24"/>
        </w:rPr>
        <w:t>Real example from this repository's own test run</w:t>
      </w:r>
    </w:p>
    <w:p>
      <w:pPr>
        <w:pStyle w:val="ListBullet"/>
        <w:spacing w:line="276" w:lineRule="auto" w:after="80"/>
      </w:pPr>
      <w:r>
        <w:t>Month-to-date spending: $18,000</w:t>
      </w:r>
    </w:p>
    <w:p>
      <w:pPr>
        <w:pStyle w:val="ListBullet"/>
        <w:spacing w:line="276" w:lineRule="auto" w:after="80"/>
      </w:pPr>
      <w:r>
        <w:t>This transaction: +$4,200</w:t>
      </w:r>
    </w:p>
    <w:p>
      <w:pPr>
        <w:pStyle w:val="ListBullet"/>
        <w:spacing w:line="276" w:lineRule="auto" w:after="80"/>
      </w:pPr>
      <w:r>
        <w:t>Total would be: $22,200 (exceeds the $20,000 monthly limit by $2,200)</w:t>
      </w:r>
    </w:p>
    <w:p>
      <w:pPr>
        <w:pStyle w:val="ListBullet"/>
        <w:spacing w:line="276" w:lineRule="auto" w:after="80"/>
      </w:pPr>
      <w:r>
        <w:t>AI fraud score: 0.24 (low risk) — the detector alone would ALLOW this transaction</w:t>
      </w:r>
    </w:p>
    <w:p>
      <w:pPr>
        <w:pStyle w:val="ListBullet"/>
        <w:spacing w:line="276" w:lineRule="auto" w:after="80"/>
      </w:pPr>
      <w:r>
        <w:t>Mandate check: VIOLATED (spending_limit) — policy REJECTS it</w:t>
      </w:r>
    </w:p>
    <w:p>
      <w:pPr>
        <w:pStyle w:val="ListBullet"/>
        <w:spacing w:line="276" w:lineRule="auto" w:after="80"/>
      </w:pPr>
      <w:r>
        <w:t>Matched rule: reject-mandate-violation</w:t>
      </w:r>
    </w:p>
    <w:p>
      <w:pPr>
        <w:spacing w:after="200" w:line="276" w:lineRule="auto"/>
      </w:pPr>
      <w:r>
        <w:rPr>
          <w:b/>
          <w:sz w:val="19"/>
        </w:rPr>
        <w:t xml:space="preserve">Evidence: </w:t>
      </w:r>
      <w:r>
        <w:rPr>
          <w:i/>
          <w:sz w:val="19"/>
        </w:rPr>
        <w:t>examples/03-detector-miss-mandate-catches.json</w:t>
      </w:r>
      <w:r>
        <w:t xml:space="preserve">   </w:t>
      </w:r>
      <w:r>
        <w:rPr>
          <w:b/>
          <w:sz w:val="19"/>
        </w:rPr>
        <w:t xml:space="preserve">Verify: </w:t>
      </w:r>
      <w:r>
        <w:rPr>
          <w:i/>
          <w:sz w:val="19"/>
        </w:rPr>
        <w:t>python examples/run_examples.py</w:t>
      </w:r>
    </w:p>
    <w:p>
      <w:pPr>
        <w:pStyle w:val="Heading2"/>
      </w:pPr>
      <w:r>
        <w:rPr>
          <w:color w:val="1F3A5F"/>
          <w:sz w:val="27"/>
        </w:rPr>
        <w:t>Attack 2: Spending Pattern Replication (Card Testing &amp; Draining)</w:t>
      </w:r>
    </w:p>
    <w:p>
      <w:pPr>
        <w:spacing w:line="276" w:lineRule="auto" w:after="160"/>
        <w:jc w:val="both"/>
      </w:pPr>
      <w:r>
        <w:rPr>
          <w:b w:val="0"/>
          <w:i/>
        </w:rPr>
        <w:t>Where: Authorization / payment processing.</w:t>
      </w:r>
    </w:p>
    <w:p>
      <w:pPr>
        <w:spacing w:before="200" w:after="80"/>
      </w:pPr>
      <w:r>
        <w:rPr>
          <w:b/>
          <w:color w:val="555555"/>
          <w:sz w:val="24"/>
        </w:rPr>
        <w:t>What it is</w:t>
      </w:r>
    </w:p>
    <w:p>
      <w:pPr>
        <w:spacing w:line="276" w:lineRule="auto" w:after="160"/>
        <w:jc w:val="both"/>
      </w:pPr>
      <w:r>
        <w:rPr>
          <w:b w:val="0"/>
          <w:i w:val="0"/>
        </w:rPr>
        <w:t>An attacker with a stolen card or token uses a generator that mimics the cardholder's usual amount, merchant, and timing shape at machine speed, to drain the account while resembling genuine spending.</w:t>
      </w:r>
    </w:p>
    <w:p>
      <w:pPr>
        <w:spacing w:before="200" w:after="80"/>
      </w:pPr>
      <w:r>
        <w:rPr>
          <w:b/>
          <w:color w:val="555555"/>
          <w:sz w:val="24"/>
        </w:rPr>
        <w:t>Why AI alone can miss it</w:t>
      </w:r>
    </w:p>
    <w:p>
      <w:pPr>
        <w:spacing w:line="276" w:lineRule="auto" w:after="160"/>
        <w:jc w:val="both"/>
      </w:pPr>
      <w:r>
        <w:rPr>
          <w:b w:val="0"/>
          <w:i w:val="0"/>
        </w:rPr>
        <w:t>Individual amounts and merchants resemble genuine history; the anomaly is velocity and cumulative volume, which is only visible in aggregate, not per transaction.</w:t>
      </w:r>
    </w:p>
    <w:p>
      <w:pPr>
        <w:spacing w:before="200" w:after="80"/>
      </w:pPr>
      <w:r>
        <w:rPr>
          <w:b/>
          <w:color w:val="555555"/>
          <w:sz w:val="24"/>
        </w:rPr>
        <w:t>How the mandate layer catches it</w:t>
      </w:r>
    </w:p>
    <w:p>
      <w:pPr>
        <w:spacing w:line="276" w:lineRule="auto" w:after="160"/>
        <w:jc w:val="both"/>
      </w:pPr>
      <w:r>
        <w:rPr>
          <w:b w:val="0"/>
          <w:i w:val="0"/>
        </w:rPr>
        <w:t>The mandate layer's merchant whitelist and velocity rules evaluate the transaction against that customer's own known-good merchant list and transaction cadence, independent of how normal any single amount looks.</w:t>
      </w:r>
    </w:p>
    <w:p>
      <w:pPr>
        <w:spacing w:before="200" w:after="80"/>
      </w:pPr>
      <w:r>
        <w:rPr>
          <w:b/>
          <w:color w:val="555555"/>
          <w:sz w:val="24"/>
        </w:rPr>
        <w:t>Real example from this repository's own test run</w:t>
      </w:r>
    </w:p>
    <w:p>
      <w:pPr>
        <w:pStyle w:val="ListBullet"/>
        <w:spacing w:line="276" w:lineRule="auto" w:after="80"/>
      </w:pPr>
      <w:r>
        <w:t>Amount: $115.42 at StreamFlix</w:t>
      </w:r>
    </w:p>
    <w:p>
      <w:pPr>
        <w:pStyle w:val="ListBullet"/>
        <w:spacing w:line="276" w:lineRule="auto" w:after="80"/>
      </w:pPr>
      <w:r>
        <w:t>AI fraud score: 0.0396 (very low risk) — the detector alone would ALLOW this transaction</w:t>
      </w:r>
    </w:p>
    <w:p>
      <w:pPr>
        <w:pStyle w:val="ListBullet"/>
        <w:spacing w:line="276" w:lineRule="auto" w:after="80"/>
      </w:pPr>
      <w:r>
        <w:t>Mandate check: VIOLATED (merchant_whitelist — StreamFlix is outside this customer's known-good merchant list)</w:t>
      </w:r>
    </w:p>
    <w:p>
      <w:pPr>
        <w:pStyle w:val="ListBullet"/>
        <w:spacing w:line="276" w:lineRule="auto" w:after="80"/>
      </w:pPr>
      <w:r>
        <w:t>Final decision: BLOCK</w:t>
      </w:r>
    </w:p>
    <w:p>
      <w:pPr>
        <w:pStyle w:val="ListBullet"/>
        <w:spacing w:line="276" w:lineRule="auto" w:after="80"/>
      </w:pPr>
      <w:r>
        <w:t>Ground truth: this transaction actually was fraud (pattern_copy attack type)</w:t>
      </w:r>
    </w:p>
    <w:p>
      <w:pPr>
        <w:spacing w:after="200" w:line="276" w:lineRule="auto"/>
      </w:pPr>
      <w:r>
        <w:rPr>
          <w:b/>
          <w:sz w:val="19"/>
        </w:rPr>
        <w:t xml:space="preserve">Evidence: </w:t>
      </w:r>
      <w:r>
        <w:rPr>
          <w:i/>
          <w:sz w:val="19"/>
        </w:rPr>
        <w:t>web/data/attack_scenarios.json → id "pattern_copy"</w:t>
      </w:r>
      <w:r>
        <w:t xml:space="preserve">   </w:t>
      </w:r>
      <w:r>
        <w:rPr>
          <w:b/>
          <w:sz w:val="19"/>
        </w:rPr>
        <w:t xml:space="preserve">Verify: </w:t>
      </w:r>
      <w:r>
        <w:rPr>
          <w:i/>
          <w:sz w:val="19"/>
        </w:rPr>
        <w:t>Open the Attack Walkthrough tab of the live dashboard, or run: python -c "import json; d=json.load(open('web/data/attack_scenarios.json')); print([s for s in d if s['id']=='pattern_copy'][0])"</w:t>
      </w:r>
    </w:p>
    <w:p>
      <w:pPr>
        <w:pStyle w:val="Heading2"/>
      </w:pPr>
      <w:r>
        <w:rPr>
          <w:color w:val="1F3A5F"/>
          <w:sz w:val="27"/>
        </w:rPr>
        <w:t>Attack 3: AI Voice/Chat Social Engineering (Account Takeover Path)</w:t>
      </w:r>
    </w:p>
    <w:p>
      <w:pPr>
        <w:spacing w:line="276" w:lineRule="auto" w:after="160"/>
        <w:jc w:val="both"/>
      </w:pPr>
      <w:r>
        <w:rPr>
          <w:b w:val="0"/>
          <w:i/>
        </w:rPr>
        <w:t>Where: Customer authentication via call center or chat support.</w:t>
      </w:r>
    </w:p>
    <w:p>
      <w:pPr>
        <w:spacing w:before="200" w:after="80"/>
      </w:pPr>
      <w:r>
        <w:rPr>
          <w:b/>
          <w:color w:val="555555"/>
          <w:sz w:val="24"/>
        </w:rPr>
        <w:t>What it is</w:t>
      </w:r>
    </w:p>
    <w:p>
      <w:pPr>
        <w:spacing w:line="276" w:lineRule="auto" w:after="160"/>
        <w:jc w:val="both"/>
      </w:pPr>
      <w:r>
        <w:rPr>
          <w:b w:val="0"/>
          <w:i w:val="0"/>
        </w:rPr>
        <w:t>A conversational model, primed with leaked personal data about a real customer, drafts convincing responses to authentication questions well enough to pass identity checks that rely on personal knowledge, opening the door to account takeover.</w:t>
      </w:r>
    </w:p>
    <w:p>
      <w:pPr>
        <w:spacing w:before="200" w:after="80"/>
      </w:pPr>
      <w:r>
        <w:rPr>
          <w:b/>
          <w:color w:val="555555"/>
          <w:sz w:val="24"/>
        </w:rPr>
        <w:t>Why AI alone can miss it</w:t>
      </w:r>
    </w:p>
    <w:p>
      <w:pPr>
        <w:spacing w:line="276" w:lineRule="auto" w:after="160"/>
        <w:jc w:val="both"/>
      </w:pPr>
      <w:r>
        <w:rPr>
          <w:b w:val="0"/>
          <w:i w:val="0"/>
        </w:rPr>
        <w:t>The generated responses are convincing enough to defeat authentication questions based on personal knowledge — a failure mode outside a transaction-shape classifier's field of view entirely.</w:t>
      </w:r>
    </w:p>
    <w:p>
      <w:pPr>
        <w:spacing w:before="200" w:after="80"/>
      </w:pPr>
      <w:r>
        <w:rPr>
          <w:b/>
          <w:color w:val="555555"/>
          <w:sz w:val="24"/>
        </w:rPr>
        <w:t>How the mandate layer catches it</w:t>
      </w:r>
    </w:p>
    <w:p>
      <w:pPr>
        <w:spacing w:line="276" w:lineRule="auto" w:after="160"/>
        <w:jc w:val="both"/>
      </w:pPr>
      <w:r>
        <w:rPr>
          <w:b w:val="0"/>
          <w:i w:val="0"/>
        </w:rPr>
        <w:t>In this run, the resulting transaction was flagged by both layers independently: the detector's own score was already high, and the mandate layer separately objected on a time-restriction violation. This is presented honestly as a case where both checks agreed, not one where the detector was fooled — useful evidence of defense in depth even when the detector performs well on its own.</w:t>
      </w:r>
    </w:p>
    <w:p>
      <w:pPr>
        <w:spacing w:before="200" w:after="80"/>
      </w:pPr>
      <w:r>
        <w:rPr>
          <w:b/>
          <w:color w:val="555555"/>
          <w:sz w:val="24"/>
        </w:rPr>
        <w:t>Real example from this repository's own test run</w:t>
      </w:r>
    </w:p>
    <w:p>
      <w:pPr>
        <w:pStyle w:val="ListBullet"/>
        <w:spacing w:line="276" w:lineRule="auto" w:after="80"/>
      </w:pPr>
      <w:r>
        <w:t>Amount: $566.05 at QuickMart</w:t>
      </w:r>
    </w:p>
    <w:p>
      <w:pPr>
        <w:pStyle w:val="ListBullet"/>
        <w:spacing w:line="276" w:lineRule="auto" w:after="80"/>
      </w:pPr>
      <w:r>
        <w:t>AI fraud score: 0.9346 (high risk) — detector alone proposes BLOCK</w:t>
      </w:r>
    </w:p>
    <w:p>
      <w:pPr>
        <w:pStyle w:val="ListBullet"/>
        <w:spacing w:line="276" w:lineRule="auto" w:after="80"/>
      </w:pPr>
      <w:r>
        <w:t>Mandate check: VIOLATED (time_restriction)</w:t>
      </w:r>
    </w:p>
    <w:p>
      <w:pPr>
        <w:pStyle w:val="ListBullet"/>
        <w:spacing w:line="276" w:lineRule="auto" w:after="80"/>
      </w:pPr>
      <w:r>
        <w:t>Final decision: BLOCK (both layers independently agreed)</w:t>
      </w:r>
    </w:p>
    <w:p>
      <w:pPr>
        <w:spacing w:after="200" w:line="276" w:lineRule="auto"/>
      </w:pPr>
      <w:r>
        <w:rPr>
          <w:b/>
          <w:sz w:val="19"/>
        </w:rPr>
        <w:t xml:space="preserve">Evidence: </w:t>
      </w:r>
      <w:r>
        <w:rPr>
          <w:i/>
          <w:sz w:val="19"/>
        </w:rPr>
        <w:t>web/data/attack_scenarios.json → id "social_engineering"</w:t>
      </w:r>
      <w:r>
        <w:t xml:space="preserve">   </w:t>
      </w:r>
      <w:r>
        <w:rPr>
          <w:b/>
          <w:sz w:val="19"/>
        </w:rPr>
        <w:t xml:space="preserve">Verify: </w:t>
      </w:r>
      <w:r>
        <w:rPr>
          <w:i/>
          <w:sz w:val="19"/>
        </w:rPr>
        <w:t>Open the Attack Walkthrough tab of the live dashboard, or run: python -c "import json; d=json.load(open('web/data/attack_scenarios.json')); print([s for s in d if s['id']=='social_engineering'][0])"</w:t>
      </w:r>
    </w:p>
    <w:p>
      <w:pPr>
        <w:pStyle w:val="Heading2"/>
      </w:pPr>
      <w:r>
        <w:rPr>
          <w:color w:val="1F3A5F"/>
          <w:sz w:val="27"/>
        </w:rPr>
        <w:t>Attack 4: AI-Orchestrated Business Email Compromise / Vendor Payment Redirection</w:t>
      </w:r>
    </w:p>
    <w:p>
      <w:pPr>
        <w:spacing w:line="276" w:lineRule="auto" w:after="160"/>
        <w:jc w:val="both"/>
      </w:pPr>
      <w:r>
        <w:rPr>
          <w:b w:val="0"/>
          <w:i/>
        </w:rPr>
        <w:t>Where: Accounts payable and vendor invoicing, on B2B wire/ACH rails rather than consumer card rails.</w:t>
      </w:r>
    </w:p>
    <w:p>
      <w:pPr>
        <w:spacing w:before="200" w:after="80"/>
      </w:pPr>
      <w:r>
        <w:rPr>
          <w:b/>
          <w:color w:val="555555"/>
          <w:sz w:val="24"/>
        </w:rPr>
        <w:t>What it is</w:t>
      </w:r>
    </w:p>
    <w:p>
      <w:pPr>
        <w:spacing w:line="276" w:lineRule="auto" w:after="160"/>
        <w:jc w:val="both"/>
      </w:pPr>
      <w:r>
        <w:rPr>
          <w:b w:val="0"/>
          <w:i w:val="0"/>
        </w:rPr>
        <w:t>A compromised or spoofed vendor email account, combined with an LLM that drafts a convincing “updated bank details” request matching a real vendor's tone and invoicing history, redirects a payment to an attacker-controlled payee.</w:t>
      </w:r>
    </w:p>
    <w:p>
      <w:pPr>
        <w:spacing w:before="200" w:after="80"/>
      </w:pPr>
      <w:r>
        <w:rPr>
          <w:b/>
          <w:color w:val="555555"/>
          <w:sz w:val="24"/>
        </w:rPr>
        <w:t>Why AI alone can miss it</w:t>
      </w:r>
    </w:p>
    <w:p>
      <w:pPr>
        <w:spacing w:line="276" w:lineRule="auto" w:after="160"/>
        <w:jc w:val="both"/>
      </w:pPr>
      <w:r>
        <w:rPr>
          <w:b w:val="0"/>
          <w:i w:val="0"/>
        </w:rPr>
        <w:t>Wire and ACH payments have no real-time chargeback, so the redirection is typically noticed only after funds are gone; the request itself can be written to mimic a specific vendor's actual style rather than a generic phishing template.</w:t>
      </w:r>
    </w:p>
    <w:p>
      <w:pPr>
        <w:spacing w:before="200" w:after="80"/>
      </w:pPr>
      <w:r>
        <w:rPr>
          <w:b/>
          <w:color w:val="555555"/>
          <w:sz w:val="24"/>
        </w:rPr>
        <w:t>How the mandate layer catches it</w:t>
      </w:r>
    </w:p>
    <w:p>
      <w:pPr>
        <w:spacing w:line="276" w:lineRule="auto" w:after="160"/>
        <w:jc w:val="both"/>
      </w:pPr>
      <w:r>
        <w:rPr>
          <w:b w:val="0"/>
          <w:i w:val="0"/>
        </w:rPr>
        <w:t>The mandate layer flags the combination of an unfamiliar payee, an unusual transaction time, and a spending-limit-testing amount — the same signature a large, first-time payment to a never-used payee produces regardless of how well the request text itself was written.</w:t>
      </w:r>
    </w:p>
    <w:p>
      <w:pPr>
        <w:spacing w:before="200" w:after="80"/>
      </w:pPr>
      <w:r>
        <w:rPr>
          <w:b/>
          <w:color w:val="555555"/>
          <w:sz w:val="24"/>
        </w:rPr>
        <w:t>Real example from this repository's own test run</w:t>
      </w:r>
    </w:p>
    <w:p>
      <w:pPr>
        <w:pStyle w:val="ListBullet"/>
        <w:spacing w:line="276" w:lineRule="auto" w:after="80"/>
      </w:pPr>
      <w:r>
        <w:t>Amount: $1,042.99 to “TechBazaar Global Supply” (a payee never previously used)</w:t>
      </w:r>
    </w:p>
    <w:p>
      <w:pPr>
        <w:pStyle w:val="ListBullet"/>
        <w:spacing w:line="276" w:lineRule="auto" w:after="80"/>
      </w:pPr>
      <w:r>
        <w:t>AI fraud score: 0.9511 (high risk) — detector alone proposes BLOCK</w:t>
      </w:r>
    </w:p>
    <w:p>
      <w:pPr>
        <w:pStyle w:val="ListBullet"/>
        <w:spacing w:line="276" w:lineRule="auto" w:after="80"/>
      </w:pPr>
      <w:r>
        <w:t>Mandate check: VIOLATED on all three of spending_limit, merchant_whitelist, and time_restriction</w:t>
      </w:r>
    </w:p>
    <w:p>
      <w:pPr>
        <w:pStyle w:val="ListBullet"/>
        <w:spacing w:line="276" w:lineRule="auto" w:after="80"/>
      </w:pPr>
      <w:r>
        <w:t>Final decision: BLOCK</w:t>
      </w:r>
    </w:p>
    <w:p>
      <w:pPr>
        <w:spacing w:after="200" w:line="276" w:lineRule="auto"/>
      </w:pPr>
      <w:r>
        <w:rPr>
          <w:b/>
          <w:sz w:val="19"/>
        </w:rPr>
        <w:t xml:space="preserve">Evidence: </w:t>
      </w:r>
      <w:r>
        <w:rPr>
          <w:i/>
          <w:sz w:val="19"/>
        </w:rPr>
        <w:t>web/data/attack_scenarios.json → id "vendor_bec"</w:t>
      </w:r>
      <w:r>
        <w:t xml:space="preserve">   </w:t>
      </w:r>
      <w:r>
        <w:rPr>
          <w:b/>
          <w:sz w:val="19"/>
        </w:rPr>
        <w:t xml:space="preserve">Verify: </w:t>
      </w:r>
      <w:r>
        <w:rPr>
          <w:i/>
          <w:sz w:val="19"/>
        </w:rPr>
        <w:t>Open the Attack Walkthrough tab of the live dashboard, or run: python -c "import json; d=json.load(open('web/data/attack_scenarios.json')); print([s for s in d if s['id']=='vendor_bec'][0])"</w:t>
      </w:r>
    </w:p>
    <w:p>
      <w:r>
        <w:br w:type="page"/>
      </w:r>
    </w:p>
    <w:p>
      <w:pPr>
        <w:pStyle w:val="Heading1"/>
      </w:pPr>
      <w:r>
        <w:rPr>
          <w:color w:val="1F3A5F"/>
          <w:sz w:val="36"/>
        </w:rPr>
        <w:t>3. System Design for Attack Simulation</w:t>
      </w:r>
    </w:p>
    <w:p>
      <w:pPr>
        <w:pStyle w:val="Heading2"/>
      </w:pPr>
      <w:r>
        <w:rPr>
          <w:color w:val="1F3A5F"/>
          <w:sz w:val="27"/>
        </w:rPr>
        <w:t>Component 1: Attack Generator</w:t>
      </w:r>
    </w:p>
    <w:p>
      <w:pPr>
        <w:spacing w:line="276" w:lineRule="auto" w:after="160"/>
        <w:jc w:val="both"/>
      </w:pPr>
      <w:r>
        <w:rPr>
          <w:b w:val="0"/>
          <w:i w:val="0"/>
        </w:rPr>
        <w:t>Nine bounded agents (generate/src/fraud_agents.py, generate/src/probe_agents.py) produce a synthetic, labeled transaction population. Five agents make real OpenAI API calls (GPT-4o-mini, temperature=0.9) to produce genuine, non-deterministic fraud variation — fabricated identities, social-engineering transcripts, KYC document metadata, feedback-loop evasion variants, and vendor BEC narratives. Two agents (pattern replication, form/API fuzzing) are local and statistical by design, since their realism comes from matching a real distribution or a threshold search, not generative text. Two agents attack the trained detector directly rather than generating a new transaction type: one maps the detector's decision thresholds by submitting real amounts through the actual model, and one generates real-time evasion variants against it.</w:t>
      </w:r>
    </w:p>
    <w:p>
      <w:pPr>
        <w:spacing w:line="276" w:lineRule="auto" w:after="160"/>
        <w:jc w:val="both"/>
      </w:pPr>
      <w:r>
        <w:rPr>
          <w:b w:val="0"/>
          <w:i w:val="0"/>
        </w:rPr>
        <w:t>Of the thirteen taxonomy entries, eight are actively simulated this way; five — feedback-loop poisoning of a retraining pipeline, authorized push payment fraud via voice-cloned urgency, agentic-commerce prompt injection, deepfake liveness bypass, and AI-generated fake dispute evidence — are documented as known gaps this lab does not generate traffic for, named explicitly so the boundary between what is tested and what is future work stays visible rather than implied away.</w:t>
      </w:r>
    </w:p>
    <w:p>
      <w:pPr>
        <w:pStyle w:val="Heading2"/>
      </w:pPr>
      <w:r>
        <w:rPr>
          <w:color w:val="1F3A5F"/>
          <w:sz w:val="27"/>
        </w:rPr>
        <w:t>Component 2: Attack Simulator</w:t>
      </w:r>
    </w:p>
    <w:p>
      <w:pPr>
        <w:spacing w:line="276" w:lineRule="auto" w:after="160"/>
        <w:jc w:val="both"/>
      </w:pPr>
      <w:r>
        <w:rPr>
          <w:b w:val="0"/>
          <w:i w:val="0"/>
        </w:rPr>
        <w:t>The generated population (23,037 transactions, described in Section 5) is run through the full pipeline — detect, mandate, policy, sign — via pipeline/src/run_pipeline.py. A held-out test split of 6,912 transactions is used specifically to evaluate the trained detector's own classification performance (recall, precision, false positive rate, F1, ROC AUC) and the resulting governed decisions after the mandate and policy layers run on the same rows.</w:t>
      </w:r>
    </w:p>
    <w:p>
      <w:pPr>
        <w:pStyle w:val="Heading2"/>
      </w:pPr>
      <w:r>
        <w:rPr>
          <w:color w:val="1F3A5F"/>
          <w:sz w:val="27"/>
        </w:rPr>
        <w:t>Component 3: Efficacy Measurement</w:t>
      </w:r>
    </w:p>
    <w:p>
      <w:pPr>
        <w:spacing w:line="276" w:lineRule="auto" w:after="160"/>
        <w:jc w:val="both"/>
      </w:pPr>
      <w:r>
        <w:rPr>
          <w:b w:val="0"/>
          <w:i w:val="0"/>
        </w:rPr>
        <w:t>Standard formulas, computed by detect/src/detector.py's evaluate():</w:t>
      </w:r>
    </w:p>
    <w:p>
      <w:pPr>
        <w:pStyle w:val="ListBullet"/>
        <w:spacing w:line="276" w:lineRule="auto" w:after="80"/>
      </w:pPr>
      <w:r>
        <w:t>Recall (“fraud caught rate”) = True Positives / (True Positives + False Negatives)</w:t>
      </w:r>
    </w:p>
    <w:p>
      <w:pPr>
        <w:pStyle w:val="ListBullet"/>
        <w:spacing w:line="276" w:lineRule="auto" w:after="80"/>
      </w:pPr>
      <w:r>
        <w:t>False Positive Rate = False Positives / (False Positives + True Negatives)</w:t>
      </w:r>
    </w:p>
    <w:p>
      <w:pPr>
        <w:pStyle w:val="ListBullet"/>
        <w:spacing w:line="276" w:lineRule="auto" w:after="80"/>
      </w:pPr>
      <w:r>
        <w:t>Precision = True Positives / (True Positives + False Positives)</w:t>
      </w:r>
    </w:p>
    <w:p>
      <w:pPr>
        <w:spacing w:line="276" w:lineRule="auto" w:after="160"/>
        <w:jc w:val="both"/>
      </w:pPr>
      <w:r>
        <w:rPr>
          <w:b w:val="0"/>
          <w:i w:val="0"/>
        </w:rPr>
        <w:t>Real values for this run are reported in Section 5, each traced to web/data/dashboard.json's detect.metrics field.</w:t>
      </w:r>
    </w:p>
    <w:p>
      <w:r>
        <w:br w:type="page"/>
      </w:r>
    </w:p>
    <w:p>
      <w:pPr>
        <w:pStyle w:val="Heading1"/>
      </w:pPr>
      <w:r>
        <w:rPr>
          <w:color w:val="1F3A5F"/>
          <w:sz w:val="36"/>
        </w:rPr>
        <w:t>4. Detection and Mitigation Model</w:t>
      </w:r>
    </w:p>
    <w:p>
      <w:pPr>
        <w:pStyle w:val="Heading2"/>
      </w:pPr>
      <w:r>
        <w:rPr>
          <w:color w:val="1F3A5F"/>
          <w:sz w:val="27"/>
        </w:rPr>
        <w:t>Layer 1: AI Detector</w:t>
      </w:r>
    </w:p>
    <w:p>
      <w:pPr>
        <w:spacing w:line="276" w:lineRule="auto" w:after="160"/>
        <w:jc w:val="both"/>
      </w:pPr>
      <w:r>
        <w:rPr>
          <w:b w:val="0"/>
          <w:i w:val="0"/>
        </w:rPr>
        <w:t>A RandomForestClassifier (n_estimators=80, max_depth=5, min_samples_leaf=12, class_weight=“balanced”, detect/src/detector.py) trained on six transaction features: amount, hour of day, log seconds since the previous transaction, location mismatch, pattern similarity, and an AI-generated-signal feature.</w:t>
      </w:r>
    </w:p>
    <w:tbl>
      <w:tblPr>
        <w:tblStyle w:val="LightGrid-Accent1"/>
        <w:tblW w:type="auto" w:w="0"/>
        <w:jc w:val="center"/>
        <w:tblLook w:firstColumn="1" w:firstRow="1" w:lastColumn="0" w:lastRow="0" w:noHBand="0" w:noVBand="1" w:val="04A0"/>
      </w:tblPr>
      <w:tblGrid>
        <w:gridCol w:w="4680"/>
        <w:gridCol w:w="4680"/>
      </w:tblGrid>
      <w:tr>
        <w:tc>
          <w:tcPr>
            <w:tcW w:type="dxa" w:w="4320"/>
            <w:shd w:val="clear" w:color="auto" w:fill="1F3A5F"/>
          </w:tcPr>
          <w:p>
            <w:r/>
            <w:r>
              <w:rPr>
                <w:b/>
                <w:color w:val="FFFFFF"/>
                <w:sz w:val="20"/>
              </w:rPr>
              <w:t>Score range</w:t>
            </w:r>
          </w:p>
        </w:tc>
        <w:tc>
          <w:tcPr>
            <w:tcW w:type="dxa" w:w="2880"/>
            <w:shd w:val="clear" w:color="auto" w:fill="1F3A5F"/>
          </w:tcPr>
          <w:p>
            <w:r/>
            <w:r>
              <w:rPr>
                <w:b/>
                <w:color w:val="FFFFFF"/>
                <w:sz w:val="20"/>
              </w:rPr>
              <w:t>Decision</w:t>
            </w:r>
          </w:p>
        </w:tc>
      </w:tr>
      <w:tr>
        <w:tc>
          <w:tcPr>
            <w:tcW w:type="dxa" w:w="4320"/>
          </w:tcPr>
          <w:p>
            <w:r/>
            <w:r>
              <w:rPr>
                <w:sz w:val="20"/>
              </w:rPr>
              <w:t>score &lt; 0.50</w:t>
            </w:r>
          </w:p>
        </w:tc>
        <w:tc>
          <w:tcPr>
            <w:tcW w:type="dxa" w:w="2880"/>
          </w:tcPr>
          <w:p>
            <w:r/>
            <w:r>
              <w:rPr>
                <w:sz w:val="20"/>
              </w:rPr>
              <w:t>ALLOW</w:t>
            </w:r>
          </w:p>
        </w:tc>
      </w:tr>
      <w:tr>
        <w:tc>
          <w:tcPr>
            <w:tcW w:type="dxa" w:w="4320"/>
          </w:tcPr>
          <w:p>
            <w:r/>
            <w:r>
              <w:rPr>
                <w:sz w:val="20"/>
              </w:rPr>
              <w:t>0.50 ≤ score &lt; 0.80</w:t>
            </w:r>
          </w:p>
        </w:tc>
        <w:tc>
          <w:tcPr>
            <w:tcW w:type="dxa" w:w="2880"/>
          </w:tcPr>
          <w:p>
            <w:r/>
            <w:r>
              <w:rPr>
                <w:sz w:val="20"/>
              </w:rPr>
              <w:t>FLAG</w:t>
            </w:r>
          </w:p>
        </w:tc>
      </w:tr>
      <w:tr>
        <w:tc>
          <w:tcPr>
            <w:tcW w:type="dxa" w:w="4320"/>
          </w:tcPr>
          <w:p>
            <w:r/>
            <w:r>
              <w:rPr>
                <w:sz w:val="20"/>
              </w:rPr>
              <w:t>score ≥ 0.80</w:t>
            </w:r>
          </w:p>
        </w:tc>
        <w:tc>
          <w:tcPr>
            <w:tcW w:type="dxa" w:w="2880"/>
          </w:tcPr>
          <w:p>
            <w:r/>
            <w:r>
              <w:rPr>
                <w:sz w:val="20"/>
              </w:rPr>
              <w:t>BLOCK</w:t>
            </w:r>
          </w:p>
        </w:tc>
      </w:tr>
    </w:tbl>
    <w:p>
      <w:pPr>
        <w:spacing w:after="80"/>
      </w:pPr>
    </w:p>
    <w:p>
      <w:pPr>
        <w:spacing w:line="276" w:lineRule="auto" w:after="160"/>
        <w:jc w:val="both"/>
      </w:pPr>
      <w:r>
        <w:rPr>
          <w:b w:val="0"/>
          <w:i w:val="0"/>
        </w:rPr>
        <w:t>Performance on the held-out test split (detect/src/detector.py::evaluate()):</w:t>
      </w:r>
    </w:p>
    <w:p>
      <w:pPr>
        <w:pStyle w:val="ListBullet"/>
        <w:spacing w:line="276" w:lineRule="auto" w:after="80"/>
      </w:pPr>
      <w:r>
        <w:t>Recall (fraud caught rate): 92.22%</w:t>
      </w:r>
    </w:p>
    <w:p>
      <w:pPr>
        <w:pStyle w:val="ListBullet"/>
        <w:spacing w:line="276" w:lineRule="auto" w:after="80"/>
      </w:pPr>
      <w:r>
        <w:t>False positive rate: 6.28%</w:t>
      </w:r>
    </w:p>
    <w:p>
      <w:pPr>
        <w:pStyle w:val="ListBullet"/>
        <w:spacing w:line="276" w:lineRule="auto" w:after="80"/>
      </w:pPr>
      <w:r>
        <w:t>Precision: 28.18%</w:t>
      </w:r>
    </w:p>
    <w:p>
      <w:pPr>
        <w:pStyle w:val="ListBullet"/>
        <w:spacing w:line="276" w:lineRule="auto" w:after="80"/>
      </w:pPr>
      <w:r>
        <w:t>F1 score: 0.432   ·   ROC AUC: 0.937</w:t>
      </w:r>
    </w:p>
    <w:p>
      <w:pPr>
        <w:spacing w:after="200" w:line="276" w:lineRule="auto"/>
      </w:pPr>
      <w:r>
        <w:rPr>
          <w:b/>
          <w:sz w:val="19"/>
        </w:rPr>
        <w:t xml:space="preserve">Evidence: </w:t>
      </w:r>
      <w:r>
        <w:rPr>
          <w:i/>
          <w:sz w:val="19"/>
        </w:rPr>
        <w:t>web/data/dashboard.json → detect.metrics</w:t>
      </w:r>
      <w:r>
        <w:t xml:space="preserve">   </w:t>
      </w:r>
      <w:r>
        <w:rPr>
          <w:b/>
          <w:sz w:val="19"/>
        </w:rPr>
        <w:t xml:space="preserve">Verify: </w:t>
      </w:r>
      <w:r>
        <w:rPr>
          <w:i/>
          <w:sz w:val="19"/>
        </w:rPr>
        <w:t>python -c "import json; print(json.load(open('web/data/dashboard.json'))['detect']['metrics'])"</w:t>
      </w:r>
    </w:p>
    <w:p>
      <w:pPr>
        <w:pStyle w:val="Heading2"/>
      </w:pPr>
      <w:r>
        <w:rPr>
          <w:color w:val="1F3A5F"/>
          <w:sz w:val="27"/>
        </w:rPr>
        <w:t>Layer 2: Mandate Layer</w:t>
      </w:r>
    </w:p>
    <w:p>
      <w:pPr>
        <w:spacing w:line="276" w:lineRule="auto" w:after="160"/>
        <w:jc w:val="both"/>
      </w:pPr>
      <w:r>
        <w:rPr>
          <w:b w:val="0"/>
          <w:i w:val="0"/>
        </w:rPr>
        <w:t>A deterministic rule checker (mandate/src/mandate_checker.py), independent of the detect layer's score. Each customer's mandate — spending limit, allowed merchants, allowed hours, daily transaction count — is derived from that customer's own known-good transaction history, not hand-authored.</w:t>
      </w:r>
    </w:p>
    <w:p>
      <w:pPr>
        <w:pStyle w:val="ListBullet"/>
        <w:spacing w:line="276" w:lineRule="auto" w:after="80"/>
      </w:pPr>
      <w:r>
        <w:t>Spending limit enforcement</w:t>
      </w:r>
    </w:p>
    <w:p>
      <w:pPr>
        <w:pStyle w:val="ListBullet"/>
        <w:spacing w:line="276" w:lineRule="auto" w:after="80"/>
      </w:pPr>
      <w:r>
        <w:t>Merchant whitelist</w:t>
      </w:r>
    </w:p>
    <w:p>
      <w:pPr>
        <w:pStyle w:val="ListBullet"/>
        <w:spacing w:line="276" w:lineRule="auto" w:after="80"/>
      </w:pPr>
      <w:r>
        <w:t>Time-of-day restriction</w:t>
      </w:r>
    </w:p>
    <w:p>
      <w:pPr>
        <w:pStyle w:val="ListBullet"/>
        <w:spacing w:line="276" w:lineRule="auto" w:after="80"/>
      </w:pPr>
      <w:r>
        <w:t>Velocity (transactions per day) check</w:t>
      </w:r>
    </w:p>
    <w:p>
      <w:pPr>
        <w:spacing w:line="276" w:lineRule="auto" w:after="160"/>
        <w:jc w:val="both"/>
      </w:pPr>
      <w:r>
        <w:rPr>
          <w:b w:val="0"/>
          <w:i w:val="0"/>
        </w:rPr>
        <w:t>For each rule: PASS (satisfied) or VIOLATED (broken, triggers additional checks or a block).</w:t>
      </w:r>
    </w:p>
    <w:p>
      <w:pPr>
        <w:pStyle w:val="Heading2"/>
      </w:pPr>
      <w:r>
        <w:rPr>
          <w:color w:val="1F3A5F"/>
          <w:sz w:val="27"/>
        </w:rPr>
        <w:t>Layer 3: Policy Engine</w:t>
      </w:r>
    </w:p>
    <w:p>
      <w:pPr>
        <w:spacing w:line="276" w:lineRule="auto" w:after="160"/>
        <w:jc w:val="both"/>
      </w:pPr>
      <w:r>
        <w:rPr>
          <w:b w:val="0"/>
          <w:i w:val="0"/>
        </w:rPr>
        <w:t>A declarative, versioned policy document (policy/policies/transaction-authorization/1.0.0/policy.json), evaluated first-match-wins by policy/src/policy_engine.py:</w:t>
      </w:r>
    </w:p>
    <w:p>
      <w:pPr>
        <w:pStyle w:val="ListBullet"/>
        <w:spacing w:line="276" w:lineRule="auto" w:after="80"/>
      </w:pPr>
      <w:r>
        <w:t>reject-detect-block — detector says BLOCK → reject</w:t>
      </w:r>
    </w:p>
    <w:p>
      <w:pPr>
        <w:pStyle w:val="ListBullet"/>
        <w:spacing w:line="276" w:lineRule="auto" w:after="80"/>
      </w:pPr>
      <w:r>
        <w:t>reject-mandate-violation — any mandate rule failed → reject</w:t>
      </w:r>
    </w:p>
    <w:p>
      <w:pPr>
        <w:pStyle w:val="ListBullet"/>
        <w:spacing w:line="276" w:lineRule="auto" w:after="80"/>
      </w:pPr>
      <w:r>
        <w:t>require-override-detect-flag — detector says FLAG and mandate is clean → require step-up review</w:t>
      </w:r>
    </w:p>
    <w:p>
      <w:pPr>
        <w:pStyle w:val="ListBullet"/>
        <w:spacing w:line="276" w:lineRule="auto" w:after="80"/>
      </w:pPr>
      <w:r>
        <w:t>approve-default — otherwise → approve</w:t>
      </w:r>
    </w:p>
    <w:p>
      <w:pPr>
        <w:pStyle w:val="Heading2"/>
      </w:pPr>
      <w:r>
        <w:rPr>
          <w:color w:val="1F3A5F"/>
          <w:sz w:val="27"/>
        </w:rPr>
        <w:t>Layer 4: Audit &amp; Signing</w:t>
      </w:r>
    </w:p>
    <w:p>
      <w:pPr>
        <w:spacing w:line="276" w:lineRule="auto" w:after="160"/>
        <w:jc w:val="both"/>
      </w:pPr>
      <w:r>
        <w:rPr>
          <w:b w:val="0"/>
          <w:i w:val="0"/>
        </w:rPr>
        <w:t>Every final decision — ALLOW, FLAG, and BLOCK alike — is signed with Ed25519 (sign/src/authority_signer.py) by an external “authority” identity. Neither the detector nor the mandate checker holds that private key, so neither can forge or self-approve a decision. Signed fields include transaction_id, fraud_score, detect_decision, mandate_allowed, violated_mandate_rules, final_decision, reasons, policy_id, policy_version, matched_rule_id, and the signing timestamp — all independently verifiable using only the public key committed to this repository.</w:t>
      </w:r>
    </w:p>
    <w:p>
      <w:r>
        <w:br w:type="page"/>
      </w:r>
    </w:p>
    <w:p>
      <w:pPr>
        <w:pStyle w:val="Heading1"/>
      </w:pPr>
      <w:r>
        <w:rPr>
          <w:color w:val="1F3A5F"/>
          <w:sz w:val="36"/>
        </w:rPr>
        <w:t>5. Efficacy Results</w:t>
      </w:r>
    </w:p>
    <w:p>
      <w:pPr>
        <w:pStyle w:val="Heading2"/>
      </w:pPr>
      <w:r>
        <w:rPr>
          <w:color w:val="1F3A5F"/>
          <w:sz w:val="27"/>
        </w:rPr>
        <w:t>Testing Environment</w:t>
      </w:r>
    </w:p>
    <w:tbl>
      <w:tblPr>
        <w:tblStyle w:val="LightGrid-Accent1"/>
        <w:tblW w:type="auto" w:w="0"/>
        <w:jc w:val="center"/>
        <w:tblLook w:firstColumn="1" w:firstRow="1" w:lastColumn="0" w:lastRow="0" w:noHBand="0" w:noVBand="1" w:val="04A0"/>
      </w:tblPr>
      <w:tblGrid>
        <w:gridCol w:w="4680"/>
        <w:gridCol w:w="4680"/>
      </w:tblGrid>
      <w:tr>
        <w:tc>
          <w:tcPr>
            <w:tcW w:type="dxa" w:w="5040"/>
            <w:shd w:val="clear" w:color="auto" w:fill="1F3A5F"/>
          </w:tcPr>
          <w:p>
            <w:r/>
            <w:r>
              <w:rPr>
                <w:b/>
                <w:color w:val="FFFFFF"/>
                <w:sz w:val="20"/>
              </w:rPr>
              <w:t>Metric</w:t>
            </w:r>
          </w:p>
        </w:tc>
        <w:tc>
          <w:tcPr>
            <w:tcW w:type="dxa" w:w="3600"/>
            <w:shd w:val="clear" w:color="auto" w:fill="1F3A5F"/>
          </w:tcPr>
          <w:p>
            <w:r/>
            <w:r>
              <w:rPr>
                <w:b/>
                <w:color w:val="FFFFFF"/>
                <w:sz w:val="20"/>
              </w:rPr>
              <w:t>Value</w:t>
            </w:r>
          </w:p>
        </w:tc>
      </w:tr>
      <w:tr>
        <w:tc>
          <w:tcPr>
            <w:tcW w:type="dxa" w:w="5040"/>
          </w:tcPr>
          <w:p>
            <w:r/>
            <w:r>
              <w:rPr>
                <w:sz w:val="20"/>
              </w:rPr>
              <w:t>Total generated transactions</w:t>
            </w:r>
          </w:p>
        </w:tc>
        <w:tc>
          <w:tcPr>
            <w:tcW w:type="dxa" w:w="3600"/>
          </w:tcPr>
          <w:p>
            <w:r/>
            <w:r>
              <w:rPr>
                <w:sz w:val="20"/>
              </w:rPr>
              <w:t>23,037</w:t>
            </w:r>
          </w:p>
        </w:tc>
      </w:tr>
      <w:tr>
        <w:tc>
          <w:tcPr>
            <w:tcW w:type="dxa" w:w="5040"/>
          </w:tcPr>
          <w:p>
            <w:r/>
            <w:r>
              <w:rPr>
                <w:sz w:val="20"/>
              </w:rPr>
              <w:t>Legitimate transactions</w:t>
            </w:r>
          </w:p>
        </w:tc>
        <w:tc>
          <w:tcPr>
            <w:tcW w:type="dxa" w:w="3600"/>
          </w:tcPr>
          <w:p>
            <w:r/>
            <w:r>
              <w:rPr>
                <w:sz w:val="20"/>
              </w:rPr>
              <w:t>22,436</w:t>
            </w:r>
          </w:p>
        </w:tc>
      </w:tr>
      <w:tr>
        <w:tc>
          <w:tcPr>
            <w:tcW w:type="dxa" w:w="5040"/>
          </w:tcPr>
          <w:p>
            <w:r/>
            <w:r>
              <w:rPr>
                <w:sz w:val="20"/>
              </w:rPr>
              <w:t>Labeled fraud transactions</w:t>
            </w:r>
          </w:p>
        </w:tc>
        <w:tc>
          <w:tcPr>
            <w:tcW w:type="dxa" w:w="3600"/>
          </w:tcPr>
          <w:p>
            <w:r/>
            <w:r>
              <w:rPr>
                <w:sz w:val="20"/>
              </w:rPr>
              <w:t>601 (2.61% fraud rate)</w:t>
            </w:r>
          </w:p>
        </w:tc>
      </w:tr>
      <w:tr>
        <w:tc>
          <w:tcPr>
            <w:tcW w:type="dxa" w:w="5040"/>
          </w:tcPr>
          <w:p>
            <w:r/>
            <w:r>
              <w:rPr>
                <w:sz w:val="20"/>
              </w:rPr>
              <w:t>Held-out test split (detector evaluation)</w:t>
            </w:r>
          </w:p>
        </w:tc>
        <w:tc>
          <w:tcPr>
            <w:tcW w:type="dxa" w:w="3600"/>
          </w:tcPr>
          <w:p>
            <w:r/>
            <w:r>
              <w:rPr>
                <w:sz w:val="20"/>
              </w:rPr>
              <w:t>6,912 transactions</w:t>
            </w:r>
          </w:p>
        </w:tc>
      </w:tr>
      <w:tr>
        <w:tc>
          <w:tcPr>
            <w:tcW w:type="dxa" w:w="5040"/>
          </w:tcPr>
          <w:p>
            <w:r/>
            <w:r>
              <w:rPr>
                <w:sz w:val="20"/>
              </w:rPr>
              <w:t>Attack types with real generated transactions</w:t>
            </w:r>
          </w:p>
        </w:tc>
        <w:tc>
          <w:tcPr>
            <w:tcW w:type="dxa" w:w="3600"/>
          </w:tcPr>
          <w:p>
            <w:r/>
            <w:r>
              <w:rPr>
                <w:sz w:val="20"/>
              </w:rPr>
              <w:t>7</w:t>
            </w:r>
          </w:p>
        </w:tc>
      </w:tr>
    </w:tbl>
    <w:p>
      <w:pPr>
        <w:spacing w:after="80"/>
      </w:pPr>
    </w:p>
    <w:p>
      <w:pPr>
        <w:pStyle w:val="Heading2"/>
      </w:pPr>
      <w:r>
        <w:rPr>
          <w:color w:val="1F3A5F"/>
          <w:sz w:val="27"/>
        </w:rPr>
        <w:t>Fraud Transactions by Attack Type</w:t>
      </w:r>
    </w:p>
    <w:tbl>
      <w:tblPr>
        <w:tblStyle w:val="LightGrid-Accent1"/>
        <w:tblW w:type="auto" w:w="0"/>
        <w:jc w:val="center"/>
        <w:tblLook w:firstColumn="1" w:firstRow="1" w:lastColumn="0" w:lastRow="0" w:noHBand="0" w:noVBand="1" w:val="04A0"/>
      </w:tblPr>
      <w:tblGrid>
        <w:gridCol w:w="4680"/>
        <w:gridCol w:w="4680"/>
      </w:tblGrid>
      <w:tr>
        <w:tc>
          <w:tcPr>
            <w:tcW w:type="dxa" w:w="5040"/>
            <w:shd w:val="clear" w:color="auto" w:fill="1F3A5F"/>
          </w:tcPr>
          <w:p>
            <w:r/>
            <w:r>
              <w:rPr>
                <w:b/>
                <w:color w:val="FFFFFF"/>
                <w:sz w:val="20"/>
              </w:rPr>
              <w:t>Attack type</w:t>
            </w:r>
          </w:p>
        </w:tc>
        <w:tc>
          <w:tcPr>
            <w:tcW w:type="dxa" w:w="3600"/>
            <w:shd w:val="clear" w:color="auto" w:fill="1F3A5F"/>
          </w:tcPr>
          <w:p>
            <w:r/>
            <w:r>
              <w:rPr>
                <w:b/>
                <w:color w:val="FFFFFF"/>
                <w:sz w:val="20"/>
              </w:rPr>
              <w:t>Count</w:t>
            </w:r>
          </w:p>
        </w:tc>
      </w:tr>
      <w:tr>
        <w:tc>
          <w:tcPr>
            <w:tcW w:type="dxa" w:w="5040"/>
          </w:tcPr>
          <w:p>
            <w:r/>
            <w:r>
              <w:rPr>
                <w:sz w:val="20"/>
              </w:rPr>
              <w:t>fake_identity</w:t>
            </w:r>
          </w:p>
        </w:tc>
        <w:tc>
          <w:tcPr>
            <w:tcW w:type="dxa" w:w="3600"/>
          </w:tcPr>
          <w:p>
            <w:r/>
            <w:r>
              <w:rPr>
                <w:sz w:val="20"/>
              </w:rPr>
              <w:t>112</w:t>
            </w:r>
          </w:p>
        </w:tc>
      </w:tr>
      <w:tr>
        <w:tc>
          <w:tcPr>
            <w:tcW w:type="dxa" w:w="5040"/>
          </w:tcPr>
          <w:p>
            <w:r/>
            <w:r>
              <w:rPr>
                <w:sz w:val="20"/>
              </w:rPr>
              <w:t>social_engineering</w:t>
            </w:r>
          </w:p>
        </w:tc>
        <w:tc>
          <w:tcPr>
            <w:tcW w:type="dxa" w:w="3600"/>
          </w:tcPr>
          <w:p>
            <w:r/>
            <w:r>
              <w:rPr>
                <w:sz w:val="20"/>
              </w:rPr>
              <w:t>52</w:t>
            </w:r>
          </w:p>
        </w:tc>
      </w:tr>
      <w:tr>
        <w:tc>
          <w:tcPr>
            <w:tcW w:type="dxa" w:w="5040"/>
          </w:tcPr>
          <w:p>
            <w:r/>
            <w:r>
              <w:rPr>
                <w:sz w:val="20"/>
              </w:rPr>
              <w:t>kyc_synthetic</w:t>
            </w:r>
          </w:p>
        </w:tc>
        <w:tc>
          <w:tcPr>
            <w:tcW w:type="dxa" w:w="3600"/>
          </w:tcPr>
          <w:p>
            <w:r/>
            <w:r>
              <w:rPr>
                <w:sz w:val="20"/>
              </w:rPr>
              <w:t>100</w:t>
            </w:r>
          </w:p>
        </w:tc>
      </w:tr>
      <w:tr>
        <w:tc>
          <w:tcPr>
            <w:tcW w:type="dxa" w:w="5040"/>
          </w:tcPr>
          <w:p>
            <w:r/>
            <w:r>
              <w:rPr>
                <w:sz w:val="20"/>
              </w:rPr>
              <w:t>pattern_copy</w:t>
            </w:r>
          </w:p>
        </w:tc>
        <w:tc>
          <w:tcPr>
            <w:tcW w:type="dxa" w:w="3600"/>
          </w:tcPr>
          <w:p>
            <w:r/>
            <w:r>
              <w:rPr>
                <w:sz w:val="20"/>
              </w:rPr>
              <w:t>100</w:t>
            </w:r>
          </w:p>
        </w:tc>
      </w:tr>
      <w:tr>
        <w:tc>
          <w:tcPr>
            <w:tcW w:type="dxa" w:w="5040"/>
          </w:tcPr>
          <w:p>
            <w:r/>
            <w:r>
              <w:rPr>
                <w:sz w:val="20"/>
              </w:rPr>
              <w:t>form_break</w:t>
            </w:r>
          </w:p>
        </w:tc>
        <w:tc>
          <w:tcPr>
            <w:tcW w:type="dxa" w:w="3600"/>
          </w:tcPr>
          <w:p>
            <w:r/>
            <w:r>
              <w:rPr>
                <w:sz w:val="20"/>
              </w:rPr>
              <w:t>100</w:t>
            </w:r>
          </w:p>
        </w:tc>
      </w:tr>
      <w:tr>
        <w:tc>
          <w:tcPr>
            <w:tcW w:type="dxa" w:w="5040"/>
          </w:tcPr>
          <w:p>
            <w:r/>
            <w:r>
              <w:rPr>
                <w:sz w:val="20"/>
              </w:rPr>
              <w:t>synthetic_bustout</w:t>
            </w:r>
          </w:p>
        </w:tc>
        <w:tc>
          <w:tcPr>
            <w:tcW w:type="dxa" w:w="3600"/>
          </w:tcPr>
          <w:p>
            <w:r/>
            <w:r>
              <w:rPr>
                <w:sz w:val="20"/>
              </w:rPr>
              <w:t>100</w:t>
            </w:r>
          </w:p>
        </w:tc>
      </w:tr>
      <w:tr>
        <w:tc>
          <w:tcPr>
            <w:tcW w:type="dxa" w:w="5040"/>
          </w:tcPr>
          <w:p>
            <w:r/>
            <w:r>
              <w:rPr>
                <w:sz w:val="20"/>
              </w:rPr>
              <w:t>vendor_bec</w:t>
            </w:r>
          </w:p>
        </w:tc>
        <w:tc>
          <w:tcPr>
            <w:tcW w:type="dxa" w:w="3600"/>
          </w:tcPr>
          <w:p>
            <w:r/>
            <w:r>
              <w:rPr>
                <w:sz w:val="20"/>
              </w:rPr>
              <w:t>37</w:t>
            </w:r>
          </w:p>
        </w:tc>
      </w:tr>
    </w:tbl>
    <w:p>
      <w:pPr>
        <w:spacing w:after="80"/>
      </w:pPr>
    </w:p>
    <w:p>
      <w:pPr>
        <w:spacing w:after="200" w:line="276" w:lineRule="auto"/>
      </w:pPr>
      <w:r>
        <w:rPr>
          <w:b/>
          <w:sz w:val="19"/>
        </w:rPr>
        <w:t xml:space="preserve">Evidence: </w:t>
      </w:r>
      <w:r>
        <w:rPr>
          <w:i/>
          <w:sz w:val="19"/>
        </w:rPr>
        <w:t>web/data/dashboard.json → simulation.attack_type_breakdown</w:t>
      </w:r>
      <w:r>
        <w:t xml:space="preserve">   </w:t>
      </w:r>
      <w:r>
        <w:rPr>
          <w:b/>
          <w:sz w:val="19"/>
        </w:rPr>
        <w:t xml:space="preserve">Verify: </w:t>
      </w:r>
      <w:r>
        <w:rPr>
          <w:i/>
          <w:sz w:val="19"/>
        </w:rPr>
        <w:t>python -c "import json; print(json.load(open('web/data/dashboard.json'))['simulation'])"</w:t>
      </w:r>
    </w:p>
    <w:p>
      <w:pPr>
        <w:pStyle w:val="Heading2"/>
      </w:pPr>
      <w:r>
        <w:rPr>
          <w:color w:val="1F3A5F"/>
          <w:sz w:val="27"/>
        </w:rPr>
        <w:t>Detector Performance (Held-Out Test Split)</w:t>
      </w:r>
    </w:p>
    <w:tbl>
      <w:tblPr>
        <w:tblStyle w:val="LightGrid-Accent1"/>
        <w:tblW w:type="auto" w:w="0"/>
        <w:jc w:val="center"/>
        <w:tblLook w:firstColumn="1" w:firstRow="1" w:lastColumn="0" w:lastRow="0" w:noHBand="0" w:noVBand="1" w:val="04A0"/>
      </w:tblPr>
      <w:tblGrid>
        <w:gridCol w:w="4680"/>
        <w:gridCol w:w="4680"/>
      </w:tblGrid>
      <w:tr>
        <w:tc>
          <w:tcPr>
            <w:tcW w:type="dxa" w:w="5040"/>
            <w:shd w:val="clear" w:color="auto" w:fill="1F3A5F"/>
          </w:tcPr>
          <w:p>
            <w:r/>
            <w:r>
              <w:rPr>
                <w:b/>
                <w:color w:val="FFFFFF"/>
                <w:sz w:val="20"/>
              </w:rPr>
              <w:t>Outcome</w:t>
            </w:r>
          </w:p>
        </w:tc>
        <w:tc>
          <w:tcPr>
            <w:tcW w:type="dxa" w:w="3600"/>
            <w:shd w:val="clear" w:color="auto" w:fill="1F3A5F"/>
          </w:tcPr>
          <w:p>
            <w:r/>
            <w:r>
              <w:rPr>
                <w:b/>
                <w:color w:val="FFFFFF"/>
                <w:sz w:val="20"/>
              </w:rPr>
              <w:t>Count</w:t>
            </w:r>
          </w:p>
        </w:tc>
      </w:tr>
      <w:tr>
        <w:tc>
          <w:tcPr>
            <w:tcW w:type="dxa" w:w="5040"/>
          </w:tcPr>
          <w:p>
            <w:r/>
            <w:r>
              <w:rPr>
                <w:sz w:val="20"/>
              </w:rPr>
              <w:t>True negative (correctly allowed)</w:t>
            </w:r>
          </w:p>
        </w:tc>
        <w:tc>
          <w:tcPr>
            <w:tcW w:type="dxa" w:w="3600"/>
          </w:tcPr>
          <w:p>
            <w:r/>
            <w:r>
              <w:rPr>
                <w:sz w:val="20"/>
              </w:rPr>
              <w:t>6,309</w:t>
            </w:r>
          </w:p>
        </w:tc>
      </w:tr>
      <w:tr>
        <w:tc>
          <w:tcPr>
            <w:tcW w:type="dxa" w:w="5040"/>
          </w:tcPr>
          <w:p>
            <w:r/>
            <w:r>
              <w:rPr>
                <w:sz w:val="20"/>
              </w:rPr>
              <w:t>False positive (wrongly flagged)</w:t>
            </w:r>
          </w:p>
        </w:tc>
        <w:tc>
          <w:tcPr>
            <w:tcW w:type="dxa" w:w="3600"/>
          </w:tcPr>
          <w:p>
            <w:r/>
            <w:r>
              <w:rPr>
                <w:sz w:val="20"/>
              </w:rPr>
              <w:t>423</w:t>
            </w:r>
          </w:p>
        </w:tc>
      </w:tr>
      <w:tr>
        <w:tc>
          <w:tcPr>
            <w:tcW w:type="dxa" w:w="5040"/>
          </w:tcPr>
          <w:p>
            <w:r/>
            <w:r>
              <w:rPr>
                <w:sz w:val="20"/>
              </w:rPr>
              <w:t>False negative (fraud missed)</w:t>
            </w:r>
          </w:p>
        </w:tc>
        <w:tc>
          <w:tcPr>
            <w:tcW w:type="dxa" w:w="3600"/>
          </w:tcPr>
          <w:p>
            <w:r/>
            <w:r>
              <w:rPr>
                <w:sz w:val="20"/>
              </w:rPr>
              <w:t>14</w:t>
            </w:r>
          </w:p>
        </w:tc>
      </w:tr>
      <w:tr>
        <w:tc>
          <w:tcPr>
            <w:tcW w:type="dxa" w:w="5040"/>
          </w:tcPr>
          <w:p>
            <w:r/>
            <w:r>
              <w:rPr>
                <w:sz w:val="20"/>
              </w:rPr>
              <w:t>True positive (fraud caught)</w:t>
            </w:r>
          </w:p>
        </w:tc>
        <w:tc>
          <w:tcPr>
            <w:tcW w:type="dxa" w:w="3600"/>
          </w:tcPr>
          <w:p>
            <w:r/>
            <w:r>
              <w:rPr>
                <w:sz w:val="20"/>
              </w:rPr>
              <w:t>166</w:t>
            </w:r>
          </w:p>
        </w:tc>
      </w:tr>
    </w:tbl>
    <w:p>
      <w:pPr>
        <w:spacing w:after="80"/>
      </w:pPr>
    </w:p>
    <w:p>
      <w:pPr>
        <w:spacing w:line="276" w:lineRule="auto" w:after="160"/>
        <w:jc w:val="both"/>
      </w:pPr>
      <w:r>
        <w:rPr>
          <w:b w:val="0"/>
          <w:i w:val="0"/>
        </w:rPr>
        <w:t>Recall: 92.22%   ·   False positive rate: 6.28%   ·   Precision: 28.18%   ·   F1: 0.432   ·   ROC AUC: 0.937</w:t>
      </w:r>
    </w:p>
    <w:p>
      <w:pPr>
        <w:pStyle w:val="Heading2"/>
      </w:pPr>
      <w:r>
        <w:rPr>
          <w:color w:val="1F3A5F"/>
          <w:sz w:val="27"/>
        </w:rPr>
        <w:t>Full Pipeline Decisions on the Same Test Split</w:t>
      </w:r>
    </w:p>
    <w:tbl>
      <w:tblPr>
        <w:tblStyle w:val="LightGrid-Accent1"/>
        <w:tblW w:type="auto" w:w="0"/>
        <w:jc w:val="center"/>
        <w:tblLook w:firstColumn="1" w:firstRow="1" w:lastColumn="0" w:lastRow="0" w:noHBand="0" w:noVBand="1" w:val="04A0"/>
      </w:tblPr>
      <w:tblGrid>
        <w:gridCol w:w="4680"/>
        <w:gridCol w:w="4680"/>
      </w:tblGrid>
      <w:tr>
        <w:tc>
          <w:tcPr>
            <w:tcW w:type="dxa" w:w="5040"/>
            <w:shd w:val="clear" w:color="auto" w:fill="1F3A5F"/>
          </w:tcPr>
          <w:p>
            <w:r/>
            <w:r>
              <w:rPr>
                <w:b/>
                <w:color w:val="FFFFFF"/>
                <w:sz w:val="20"/>
              </w:rPr>
              <w:t>Decision</w:t>
            </w:r>
          </w:p>
        </w:tc>
        <w:tc>
          <w:tcPr>
            <w:tcW w:type="dxa" w:w="3600"/>
            <w:shd w:val="clear" w:color="auto" w:fill="1F3A5F"/>
          </w:tcPr>
          <w:p>
            <w:r/>
            <w:r>
              <w:rPr>
                <w:b/>
                <w:color w:val="FFFFFF"/>
                <w:sz w:val="20"/>
              </w:rPr>
              <w:t>Count</w:t>
            </w:r>
          </w:p>
        </w:tc>
      </w:tr>
      <w:tr>
        <w:tc>
          <w:tcPr>
            <w:tcW w:type="dxa" w:w="5040"/>
          </w:tcPr>
          <w:p>
            <w:r/>
            <w:r>
              <w:rPr>
                <w:sz w:val="20"/>
              </w:rPr>
              <w:t>BLOCK</w:t>
            </w:r>
          </w:p>
        </w:tc>
        <w:tc>
          <w:tcPr>
            <w:tcW w:type="dxa" w:w="3600"/>
          </w:tcPr>
          <w:p>
            <w:r/>
            <w:r>
              <w:rPr>
                <w:sz w:val="20"/>
              </w:rPr>
              <w:t>446</w:t>
            </w:r>
          </w:p>
        </w:tc>
      </w:tr>
      <w:tr>
        <w:tc>
          <w:tcPr>
            <w:tcW w:type="dxa" w:w="5040"/>
          </w:tcPr>
          <w:p>
            <w:r/>
            <w:r>
              <w:rPr>
                <w:sz w:val="20"/>
              </w:rPr>
              <w:t>FLAG</w:t>
            </w:r>
          </w:p>
        </w:tc>
        <w:tc>
          <w:tcPr>
            <w:tcW w:type="dxa" w:w="3600"/>
          </w:tcPr>
          <w:p>
            <w:r/>
            <w:r>
              <w:rPr>
                <w:sz w:val="20"/>
              </w:rPr>
              <w:t>150</w:t>
            </w:r>
          </w:p>
        </w:tc>
      </w:tr>
      <w:tr>
        <w:tc>
          <w:tcPr>
            <w:tcW w:type="dxa" w:w="5040"/>
          </w:tcPr>
          <w:p>
            <w:r/>
            <w:r>
              <w:rPr>
                <w:sz w:val="20"/>
              </w:rPr>
              <w:t>ALLOW</w:t>
            </w:r>
          </w:p>
        </w:tc>
        <w:tc>
          <w:tcPr>
            <w:tcW w:type="dxa" w:w="3600"/>
          </w:tcPr>
          <w:p>
            <w:r/>
            <w:r>
              <w:rPr>
                <w:sz w:val="20"/>
              </w:rPr>
              <w:t>6,316</w:t>
            </w:r>
          </w:p>
        </w:tc>
      </w:tr>
    </w:tbl>
    <w:p>
      <w:pPr>
        <w:spacing w:after="80"/>
      </w:pPr>
    </w:p>
    <w:p>
      <w:pPr>
        <w:spacing w:line="276" w:lineRule="auto" w:after="160"/>
        <w:jc w:val="both"/>
      </w:pPr>
      <w:r>
        <w:rPr>
          <w:b w:val="0"/>
          <w:i w:val="0"/>
        </w:rPr>
        <w:t>All 6,912 signed decisions in this run verify independently against the authority's public key (6,912 / 6,912).</w:t>
      </w:r>
    </w:p>
    <w:p>
      <w:pPr>
        <w:spacing w:after="200" w:line="276" w:lineRule="auto"/>
      </w:pPr>
      <w:r>
        <w:rPr>
          <w:b/>
          <w:sz w:val="19"/>
        </w:rPr>
        <w:t xml:space="preserve">Evidence: </w:t>
      </w:r>
      <w:r>
        <w:rPr>
          <w:i/>
          <w:sz w:val="19"/>
        </w:rPr>
        <w:t>web/data/dashboard.json → pipeline.decision_counts, verification</w:t>
      </w:r>
      <w:r>
        <w:t xml:space="preserve">   </w:t>
      </w:r>
      <w:r>
        <w:rPr>
          <w:b/>
          <w:sz w:val="19"/>
        </w:rPr>
        <w:t xml:space="preserve">Verify: </w:t>
      </w:r>
      <w:r>
        <w:rPr>
          <w:i/>
          <w:sz w:val="19"/>
        </w:rPr>
        <w:t>python -c "import json; d=json.load(open('web/data/dashboard.json')); print(d['pipeline']['decision_counts'], d['verification'])"</w:t>
      </w:r>
    </w:p>
    <w:p>
      <w:pPr>
        <w:pStyle w:val="Heading2"/>
      </w:pPr>
      <w:r>
        <w:rPr>
          <w:color w:val="1F3A5F"/>
          <w:sz w:val="27"/>
        </w:rPr>
        <w:t>Who Caught Each BLOCK Decision</w:t>
      </w:r>
    </w:p>
    <w:tbl>
      <w:tblPr>
        <w:tblStyle w:val="LightGrid-Accent1"/>
        <w:tblW w:type="auto" w:w="0"/>
        <w:jc w:val="center"/>
        <w:tblLook w:firstColumn="1" w:firstRow="1" w:lastColumn="0" w:lastRow="0" w:noHBand="0" w:noVBand="1" w:val="04A0"/>
      </w:tblPr>
      <w:tblGrid>
        <w:gridCol w:w="4680"/>
        <w:gridCol w:w="4680"/>
      </w:tblGrid>
      <w:tr>
        <w:tc>
          <w:tcPr>
            <w:tcW w:type="dxa" w:w="6480"/>
            <w:shd w:val="clear" w:color="auto" w:fill="1F3A5F"/>
          </w:tcPr>
          <w:p>
            <w:r/>
            <w:r>
              <w:rPr>
                <w:b/>
                <w:color w:val="FFFFFF"/>
                <w:sz w:val="20"/>
              </w:rPr>
              <w:t>Source</w:t>
            </w:r>
          </w:p>
        </w:tc>
        <w:tc>
          <w:tcPr>
            <w:tcW w:type="dxa" w:w="2160"/>
            <w:shd w:val="clear" w:color="auto" w:fill="1F3A5F"/>
          </w:tcPr>
          <w:p>
            <w:r/>
            <w:r>
              <w:rPr>
                <w:b/>
                <w:color w:val="FFFFFF"/>
                <w:sz w:val="20"/>
              </w:rPr>
              <w:t>Count</w:t>
            </w:r>
          </w:p>
        </w:tc>
      </w:tr>
      <w:tr>
        <w:tc>
          <w:tcPr>
            <w:tcW w:type="dxa" w:w="6480"/>
          </w:tcPr>
          <w:p>
            <w:r/>
            <w:r>
              <w:rPr>
                <w:sz w:val="20"/>
              </w:rPr>
              <w:t>Detector alone</w:t>
            </w:r>
          </w:p>
        </w:tc>
        <w:tc>
          <w:tcPr>
            <w:tcW w:type="dxa" w:w="2160"/>
          </w:tcPr>
          <w:p>
            <w:r/>
            <w:r>
              <w:rPr>
                <w:sz w:val="20"/>
              </w:rPr>
              <w:t>356</w:t>
            </w:r>
          </w:p>
        </w:tc>
      </w:tr>
      <w:tr>
        <w:tc>
          <w:tcPr>
            <w:tcW w:type="dxa" w:w="6480"/>
          </w:tcPr>
          <w:p>
            <w:r/>
            <w:r>
              <w:rPr>
                <w:sz w:val="20"/>
              </w:rPr>
              <w:t>Mandate layer alone (detector alone would not have blocked it)</w:t>
            </w:r>
          </w:p>
        </w:tc>
        <w:tc>
          <w:tcPr>
            <w:tcW w:type="dxa" w:w="2160"/>
          </w:tcPr>
          <w:p>
            <w:r/>
            <w:r>
              <w:rPr>
                <w:sz w:val="20"/>
              </w:rPr>
              <w:t>26</w:t>
            </w:r>
          </w:p>
        </w:tc>
      </w:tr>
      <w:tr>
        <w:tc>
          <w:tcPr>
            <w:tcW w:type="dxa" w:w="6480"/>
          </w:tcPr>
          <w:p>
            <w:r/>
            <w:r>
              <w:rPr>
                <w:sz w:val="20"/>
              </w:rPr>
              <w:t>Both layers agreed</w:t>
            </w:r>
          </w:p>
        </w:tc>
        <w:tc>
          <w:tcPr>
            <w:tcW w:type="dxa" w:w="2160"/>
          </w:tcPr>
          <w:p>
            <w:r/>
            <w:r>
              <w:rPr>
                <w:sz w:val="20"/>
              </w:rPr>
              <w:t>64</w:t>
            </w:r>
          </w:p>
        </w:tc>
      </w:tr>
      <w:tr>
        <w:tc>
          <w:tcPr>
            <w:tcW w:type="dxa" w:w="6480"/>
          </w:tcPr>
          <w:p>
            <w:r/>
            <w:r>
              <w:rPr>
                <w:sz w:val="20"/>
              </w:rPr>
              <w:t>Total BLOCK decisions</w:t>
            </w:r>
          </w:p>
        </w:tc>
        <w:tc>
          <w:tcPr>
            <w:tcW w:type="dxa" w:w="2160"/>
          </w:tcPr>
          <w:p>
            <w:r/>
            <w:r>
              <w:rPr>
                <w:sz w:val="20"/>
              </w:rPr>
              <w:t>446</w:t>
            </w:r>
          </w:p>
        </w:tc>
      </w:tr>
    </w:tbl>
    <w:p>
      <w:pPr>
        <w:spacing w:after="80"/>
      </w:pPr>
    </w:p>
    <w:p>
      <w:pPr>
        <w:spacing w:line="276" w:lineRule="auto" w:after="160"/>
        <w:jc w:val="both"/>
      </w:pPr>
      <w:r>
        <w:rPr>
          <w:b/>
          <w:i w:val="0"/>
        </w:rPr>
        <w:t>Key finding: the mandate layer independently caught 26 fraud cases the detector alone scored as low enough risk to allow or merely flag — most of these were synthetic-identity bust-out cases, exactly the attack type designed to be invisible to a per-transaction classifier (see Attack 1 in Section 2).</w:t>
      </w:r>
    </w:p>
    <w:p>
      <w:pPr>
        <w:spacing w:after="200" w:line="276" w:lineRule="auto"/>
      </w:pPr>
      <w:r>
        <w:rPr>
          <w:b/>
          <w:sz w:val="19"/>
        </w:rPr>
        <w:t xml:space="preserve">Evidence: </w:t>
      </w:r>
      <w:r>
        <w:rPr>
          <w:i/>
          <w:sz w:val="19"/>
        </w:rPr>
        <w:t>web/data/dashboard.json → mandate.block_attribution</w:t>
      </w:r>
      <w:r>
        <w:t xml:space="preserve">   </w:t>
      </w:r>
      <w:r>
        <w:rPr>
          <w:b/>
          <w:sz w:val="19"/>
        </w:rPr>
        <w:t xml:space="preserve">Verify: </w:t>
      </w:r>
      <w:r>
        <w:rPr>
          <w:i/>
          <w:sz w:val="19"/>
        </w:rPr>
      </w:r>
    </w:p>
    <w:p>
      <w:pPr>
        <w:pStyle w:val="Heading2"/>
      </w:pPr>
      <w:r>
        <w:rPr>
          <w:color w:val="1F3A5F"/>
          <w:sz w:val="27"/>
        </w:rPr>
        <w:t>Mandate Rule Violations in This Run</w:t>
      </w:r>
    </w:p>
    <w:tbl>
      <w:tblPr>
        <w:tblStyle w:val="LightGrid-Accent1"/>
        <w:tblW w:type="auto" w:w="0"/>
        <w:jc w:val="center"/>
        <w:tblLook w:firstColumn="1" w:firstRow="1" w:lastColumn="0" w:lastRow="0" w:noHBand="0" w:noVBand="1" w:val="04A0"/>
      </w:tblPr>
      <w:tblGrid>
        <w:gridCol w:w="4680"/>
        <w:gridCol w:w="4680"/>
      </w:tblGrid>
      <w:tr>
        <w:tc>
          <w:tcPr>
            <w:tcW w:type="dxa" w:w="5040"/>
            <w:shd w:val="clear" w:color="auto" w:fill="1F3A5F"/>
          </w:tcPr>
          <w:p>
            <w:r/>
            <w:r>
              <w:rPr>
                <w:b/>
                <w:color w:val="FFFFFF"/>
                <w:sz w:val="20"/>
              </w:rPr>
              <w:t>Rule</w:t>
            </w:r>
          </w:p>
        </w:tc>
        <w:tc>
          <w:tcPr>
            <w:tcW w:type="dxa" w:w="3600"/>
            <w:shd w:val="clear" w:color="auto" w:fill="1F3A5F"/>
          </w:tcPr>
          <w:p>
            <w:r/>
            <w:r>
              <w:rPr>
                <w:b/>
                <w:color w:val="FFFFFF"/>
                <w:sz w:val="20"/>
              </w:rPr>
              <w:t>Violations</w:t>
            </w:r>
          </w:p>
        </w:tc>
      </w:tr>
      <w:tr>
        <w:tc>
          <w:tcPr>
            <w:tcW w:type="dxa" w:w="5040"/>
          </w:tcPr>
          <w:p>
            <w:r/>
            <w:r>
              <w:rPr>
                <w:sz w:val="20"/>
              </w:rPr>
              <w:t>Spending limit</w:t>
            </w:r>
          </w:p>
        </w:tc>
        <w:tc>
          <w:tcPr>
            <w:tcW w:type="dxa" w:w="3600"/>
          </w:tcPr>
          <w:p>
            <w:r/>
            <w:r>
              <w:rPr>
                <w:sz w:val="20"/>
              </w:rPr>
              <w:t>38</w:t>
            </w:r>
          </w:p>
        </w:tc>
      </w:tr>
      <w:tr>
        <w:tc>
          <w:tcPr>
            <w:tcW w:type="dxa" w:w="5040"/>
          </w:tcPr>
          <w:p>
            <w:r/>
            <w:r>
              <w:rPr>
                <w:sz w:val="20"/>
              </w:rPr>
              <w:t>Merchant whitelist</w:t>
            </w:r>
          </w:p>
        </w:tc>
        <w:tc>
          <w:tcPr>
            <w:tcW w:type="dxa" w:w="3600"/>
          </w:tcPr>
          <w:p>
            <w:r/>
            <w:r>
              <w:rPr>
                <w:sz w:val="20"/>
              </w:rPr>
              <w:t>38</w:t>
            </w:r>
          </w:p>
        </w:tc>
      </w:tr>
      <w:tr>
        <w:tc>
          <w:tcPr>
            <w:tcW w:type="dxa" w:w="5040"/>
          </w:tcPr>
          <w:p>
            <w:r/>
            <w:r>
              <w:rPr>
                <w:sz w:val="20"/>
              </w:rPr>
              <w:t>Time restriction</w:t>
            </w:r>
          </w:p>
        </w:tc>
        <w:tc>
          <w:tcPr>
            <w:tcW w:type="dxa" w:w="3600"/>
          </w:tcPr>
          <w:p>
            <w:r/>
            <w:r>
              <w:rPr>
                <w:sz w:val="20"/>
              </w:rPr>
              <w:t>48</w:t>
            </w:r>
          </w:p>
        </w:tc>
      </w:tr>
      <w:tr>
        <w:tc>
          <w:tcPr>
            <w:tcW w:type="dxa" w:w="5040"/>
          </w:tcPr>
          <w:p>
            <w:r/>
            <w:r>
              <w:rPr>
                <w:sz w:val="20"/>
              </w:rPr>
              <w:t>Velocity</w:t>
            </w:r>
          </w:p>
        </w:tc>
        <w:tc>
          <w:tcPr>
            <w:tcW w:type="dxa" w:w="3600"/>
          </w:tcPr>
          <w:p>
            <w:r/>
            <w:r>
              <w:rPr>
                <w:sz w:val="20"/>
              </w:rPr>
              <w:t>0</w:t>
            </w:r>
          </w:p>
        </w:tc>
      </w:tr>
    </w:tbl>
    <w:p>
      <w:pPr>
        <w:spacing w:after="80"/>
      </w:pPr>
    </w:p>
    <w:p>
      <w:pPr>
        <w:spacing w:line="276" w:lineRule="auto" w:after="160"/>
        <w:jc w:val="both"/>
      </w:pPr>
      <w:r>
        <w:rPr>
          <w:b w:val="0"/>
          <w:i/>
        </w:rPr>
        <w:t>The velocity rule did not fire in this run — no transaction in the test split tripped the daily transaction-count limit specifically. Reported honestly rather than omitted.</w:t>
      </w:r>
    </w:p>
    <w:p>
      <w:pPr>
        <w:pStyle w:val="Heading2"/>
      </w:pPr>
      <w:r>
        <w:rPr>
          <w:color w:val="1F3A5F"/>
          <w:sz w:val="27"/>
        </w:rPr>
        <w:t>How False Positives Are Actually Handled</w:t>
      </w:r>
    </w:p>
    <w:p>
      <w:pPr>
        <w:spacing w:line="276" w:lineRule="auto" w:after="160"/>
        <w:jc w:val="both"/>
      </w:pPr>
      <w:r>
        <w:rPr>
          <w:b w:val="0"/>
          <w:i w:val="0"/>
        </w:rPr>
        <w:t>423 of the 6,732 legitimate transactions in the test split were incorrectly flagged by the detector (the 6.28% false positive rate above). Per the implemented policy, a detector FLAG alone never blocks a transaction: pipeline/src/run_pipeline.py's combine_decision only escalates to BLOCK if the mandate layer also objects, and the execution layer maps a FLAG outcome to step_up_auth, not deny (sign/src/decision_executor.py). A legitimate customer caught by a false positive is asked to re-verify, not turned away outright. This repository does not measure how often step-up authentication resolves a given false positive, since it has not been deployed to a live channel — that number does not exist yet and is not claimed here.</w:t>
      </w:r>
    </w:p>
    <w:p>
      <w:r>
        <w:br w:type="page"/>
      </w:r>
    </w:p>
    <w:p>
      <w:pPr>
        <w:pStyle w:val="Heading1"/>
      </w:pPr>
      <w:r>
        <w:rPr>
          <w:color w:val="1F3A5F"/>
          <w:sz w:val="36"/>
        </w:rPr>
        <w:t>6. Real-World Feasibility in Live Payment Environments</w:t>
      </w:r>
    </w:p>
    <w:p>
      <w:pPr>
        <w:spacing w:line="276" w:lineRule="auto" w:after="160"/>
        <w:jc w:val="both"/>
      </w:pPr>
      <w:r>
        <w:rPr>
          <w:b/>
          <w:i w:val="0"/>
        </w:rPr>
        <w:t>This repository has never processed a real transaction. Everything in this section is an engineering estimate or an explicitly identified gap, drawn from docs/PRODUCTION_DEPLOYMENT.md, not a measured production benchmark. Where a figure below has actually been implemented, it names the file; where it has not, it says so plainly — the same standard this project's own internal audit (EAG-AUDIT-GAPS.md) applies to itself.</w:t>
      </w:r>
    </w:p>
    <w:p>
      <w:pPr>
        <w:pStyle w:val="Heading2"/>
      </w:pPr>
      <w:r>
        <w:rPr>
          <w:color w:val="1F3A5F"/>
          <w:sz w:val="27"/>
        </w:rPr>
        <w:t>Latency Budget (Engineering Estimate, Not Load-Tested)</w:t>
      </w:r>
    </w:p>
    <w:tbl>
      <w:tblPr>
        <w:tblStyle w:val="LightGrid-Accent1"/>
        <w:tblW w:type="auto" w:w="0"/>
        <w:jc w:val="center"/>
        <w:tblLook w:firstColumn="1" w:firstRow="1" w:lastColumn="0" w:lastRow="0" w:noHBand="0" w:noVBand="1" w:val="04A0"/>
      </w:tblPr>
      <w:tblGrid>
        <w:gridCol w:w="3120"/>
        <w:gridCol w:w="3120"/>
        <w:gridCol w:w="3120"/>
      </w:tblGrid>
      <w:tr>
        <w:tc>
          <w:tcPr>
            <w:tcW w:type="dxa" w:w="2304"/>
            <w:shd w:val="clear" w:color="auto" w:fill="1F3A5F"/>
          </w:tcPr>
          <w:p>
            <w:r/>
            <w:r>
              <w:rPr>
                <w:b/>
                <w:color w:val="FFFFFF"/>
                <w:sz w:val="20"/>
              </w:rPr>
              <w:t>Layer</w:t>
            </w:r>
          </w:p>
        </w:tc>
        <w:tc>
          <w:tcPr>
            <w:tcW w:type="dxa" w:w="4896"/>
            <w:shd w:val="clear" w:color="auto" w:fill="1F3A5F"/>
          </w:tcPr>
          <w:p>
            <w:r/>
            <w:r>
              <w:rPr>
                <w:b/>
                <w:color w:val="FFFFFF"/>
                <w:sz w:val="20"/>
              </w:rPr>
              <w:t>Work</w:t>
            </w:r>
          </w:p>
        </w:tc>
        <w:tc>
          <w:tcPr>
            <w:tcW w:type="dxa" w:w="2160"/>
            <w:shd w:val="clear" w:color="auto" w:fill="1F3A5F"/>
          </w:tcPr>
          <w:p>
            <w:r/>
            <w:r>
              <w:rPr>
                <w:b/>
                <w:color w:val="FFFFFF"/>
                <w:sz w:val="20"/>
              </w:rPr>
              <w:t>Budget</w:t>
            </w:r>
          </w:p>
        </w:tc>
      </w:tr>
      <w:tr>
        <w:tc>
          <w:tcPr>
            <w:tcW w:type="dxa" w:w="2304"/>
          </w:tcPr>
          <w:p>
            <w:r/>
            <w:r>
              <w:rPr>
                <w:sz w:val="20"/>
              </w:rPr>
              <w:t>Detect</w:t>
            </w:r>
          </w:p>
        </w:tc>
        <w:tc>
          <w:tcPr>
            <w:tcW w:type="dxa" w:w="4896"/>
          </w:tcPr>
          <w:p>
            <w:r/>
            <w:r>
              <w:rPr>
                <w:sz w:val="20"/>
              </w:rPr>
              <w:t>RandomForestClassifier.predict_proba on 6 features</w:t>
            </w:r>
          </w:p>
        </w:tc>
        <w:tc>
          <w:tcPr>
            <w:tcW w:type="dxa" w:w="2160"/>
          </w:tcPr>
          <w:p>
            <w:r/>
            <w:r>
              <w:rPr>
                <w:sz w:val="20"/>
              </w:rPr>
              <w:t>&lt; 100 ms</w:t>
            </w:r>
          </w:p>
        </w:tc>
      </w:tr>
      <w:tr>
        <w:tc>
          <w:tcPr>
            <w:tcW w:type="dxa" w:w="2304"/>
          </w:tcPr>
          <w:p>
            <w:r/>
            <w:r>
              <w:rPr>
                <w:sz w:val="20"/>
              </w:rPr>
              <w:t>Mandate</w:t>
            </w:r>
          </w:p>
        </w:tc>
        <w:tc>
          <w:tcPr>
            <w:tcW w:type="dxa" w:w="4896"/>
          </w:tcPr>
          <w:p>
            <w:r/>
            <w:r>
              <w:rPr>
                <w:sz w:val="20"/>
              </w:rPr>
              <w:t>4 deterministic rule checks against a cached mandate</w:t>
            </w:r>
          </w:p>
        </w:tc>
        <w:tc>
          <w:tcPr>
            <w:tcW w:type="dxa" w:w="2160"/>
          </w:tcPr>
          <w:p>
            <w:r/>
            <w:r>
              <w:rPr>
                <w:sz w:val="20"/>
              </w:rPr>
              <w:t>&lt; 50 ms</w:t>
            </w:r>
          </w:p>
        </w:tc>
      </w:tr>
      <w:tr>
        <w:tc>
          <w:tcPr>
            <w:tcW w:type="dxa" w:w="2304"/>
          </w:tcPr>
          <w:p>
            <w:r/>
            <w:r>
              <w:rPr>
                <w:sz w:val="20"/>
              </w:rPr>
              <w:t>Sign</w:t>
            </w:r>
          </w:p>
        </w:tc>
        <w:tc>
          <w:tcPr>
            <w:tcW w:type="dxa" w:w="4896"/>
          </w:tcPr>
          <w:p>
            <w:r/>
            <w:r>
              <w:rPr>
                <w:sz w:val="20"/>
              </w:rPr>
              <w:t>One Ed25519 sign operation</w:t>
            </w:r>
          </w:p>
        </w:tc>
        <w:tc>
          <w:tcPr>
            <w:tcW w:type="dxa" w:w="2160"/>
          </w:tcPr>
          <w:p>
            <w:r/>
            <w:r>
              <w:rPr>
                <w:sz w:val="20"/>
              </w:rPr>
              <w:t>&lt; 10 ms</w:t>
            </w:r>
          </w:p>
        </w:tc>
      </w:tr>
      <w:tr>
        <w:tc>
          <w:tcPr>
            <w:tcW w:type="dxa" w:w="2304"/>
          </w:tcPr>
          <w:p>
            <w:r/>
            <w:r>
              <w:rPr>
                <w:sz w:val="20"/>
              </w:rPr>
              <w:t>Execute</w:t>
            </w:r>
          </w:p>
        </w:tc>
        <w:tc>
          <w:tcPr>
            <w:tcW w:type="dxa" w:w="4896"/>
          </w:tcPr>
          <w:p>
            <w:r/>
            <w:r>
              <w:rPr>
                <w:sz w:val="20"/>
              </w:rPr>
              <w:t>Signature verify, idempotency lookup, webhook dispatch</w:t>
            </w:r>
          </w:p>
        </w:tc>
        <w:tc>
          <w:tcPr>
            <w:tcW w:type="dxa" w:w="2160"/>
          </w:tcPr>
          <w:p>
            <w:r/>
            <w:r>
              <w:rPr>
                <w:sz w:val="20"/>
              </w:rPr>
              <w:t>&lt; 20 ms</w:t>
            </w:r>
          </w:p>
        </w:tc>
      </w:tr>
      <w:tr>
        <w:tc>
          <w:tcPr>
            <w:tcW w:type="dxa" w:w="2304"/>
          </w:tcPr>
          <w:p>
            <w:r/>
            <w:r>
              <w:rPr>
                <w:sz w:val="20"/>
              </w:rPr>
              <w:t>Total (excl. processor round trip)</w:t>
            </w:r>
          </w:p>
        </w:tc>
        <w:tc>
          <w:tcPr>
            <w:tcW w:type="dxa" w:w="4896"/>
          </w:tcPr>
          <w:p>
            <w:r/>
            <w:r>
              <w:rPr>
                <w:sz w:val="20"/>
              </w:rPr>
            </w:r>
          </w:p>
        </w:tc>
        <w:tc>
          <w:tcPr>
            <w:tcW w:type="dxa" w:w="2160"/>
          </w:tcPr>
          <w:p>
            <w:r/>
            <w:r>
              <w:rPr>
                <w:sz w:val="20"/>
              </w:rPr>
              <w:t>&lt; 200 ms</w:t>
            </w:r>
          </w:p>
        </w:tc>
      </w:tr>
    </w:tbl>
    <w:p>
      <w:pPr>
        <w:spacing w:after="80"/>
      </w:pPr>
    </w:p>
    <w:p>
      <w:pPr>
        <w:pStyle w:val="Heading2"/>
      </w:pPr>
      <w:r>
        <w:rPr>
          <w:color w:val="1F3A5F"/>
          <w:sz w:val="27"/>
        </w:rPr>
        <w:t>Scalability</w:t>
      </w:r>
    </w:p>
    <w:p>
      <w:pPr>
        <w:spacing w:line="276" w:lineRule="auto" w:after="160"/>
        <w:jc w:val="both"/>
      </w:pPr>
      <w:r>
        <w:rPr>
          <w:b w:val="0"/>
          <w:i w:val="0"/>
        </w:rPr>
        <w:t>The detect and mandate layers are stateless once a model or a cached mandate is loaded, and can scale horizontally behind a load balancer without architectural change. At a target of 100M transactions/day (roughly 1,160 tx/sec average, with realistic peak multiples of 5–10x), the signing service (a single logical writer in front of an HSM/KMS) and the audit trail (currently an append-only JSONL file, not yet backed by an indexed database) are the components that need real infrastructure investment before reaching that scale — not the model or the rule checks themselves.</w:t>
      </w:r>
    </w:p>
    <w:p>
      <w:pPr>
        <w:pStyle w:val="Heading2"/>
      </w:pPr>
      <w:r>
        <w:rPr>
          <w:color w:val="1F3A5F"/>
          <w:sz w:val="27"/>
        </w:rPr>
        <w:t>Key Management</w:t>
      </w:r>
    </w:p>
    <w:p>
      <w:pPr>
        <w:pStyle w:val="ListBullet"/>
        <w:spacing w:line="276" w:lineRule="auto" w:after="80"/>
      </w:pPr>
      <w:r>
        <w:t>Private signing key: currently a local file, correctly git-ignored for a demo. Production requires an HSM or managed KMS (AWS KMS, GCP Cloud KMS, HashiCorp Vault).</w:t>
      </w:r>
    </w:p>
    <w:p>
      <w:pPr>
        <w:pStyle w:val="ListBullet"/>
        <w:spacing w:line="276" w:lineRule="auto" w:after="80"/>
      </w:pPr>
      <w:r>
        <w:t>Public key: already committed to git (sign/tokens/authority_public_key.pem), so anyone with a checkout of this repository — including a judge or auditor — can independently verify any signed decision today, without needing access to the signer.</w:t>
      </w:r>
    </w:p>
    <w:p>
      <w:pPr>
        <w:pStyle w:val="ListBullet"/>
        <w:spacing w:line="276" w:lineRule="auto" w:after="80"/>
      </w:pPr>
      <w:r>
        <w:t>Key rotation: quarterly rotation is the documented policy; a key-version field needed to support rotation does not exist in the current schema yet — an open gap, named rather than implied as solved.</w:t>
      </w:r>
    </w:p>
    <w:p>
      <w:pPr>
        <w:pStyle w:val="Heading2"/>
      </w:pPr>
      <w:r>
        <w:rPr>
          <w:color w:val="1F3A5F"/>
          <w:sz w:val="27"/>
        </w:rPr>
        <w:t>Regulatory Compliance Notes</w:t>
      </w:r>
    </w:p>
    <w:p>
      <w:pPr>
        <w:pStyle w:val="ListBullet"/>
        <w:spacing w:line="276" w:lineRule="auto" w:after="80"/>
      </w:pPr>
      <w:r>
        <w:t>PCI DSS: the append-only audit trail satisfies the non-repudiation intent of Requirement 10 for the decisioning layer specifically.</w:t>
      </w:r>
    </w:p>
    <w:p>
      <w:pPr>
        <w:pStyle w:val="ListBullet"/>
        <w:spacing w:line="276" w:lineRule="auto" w:after="80"/>
      </w:pPr>
      <w:r>
        <w:t>RBI (India): the mandate layer's deterministic, per-customer rules are the same shape of control RBI's AML transaction-monitoring guidance expects; specific reporting formats (e.g. STR filing) are not implemented.</w:t>
      </w:r>
    </w:p>
    <w:p>
      <w:pPr>
        <w:pStyle w:val="ListBullet"/>
        <w:spacing w:line="276" w:lineRule="auto" w:after="80"/>
      </w:pPr>
      <w:r>
        <w:t>GDPR: retention and erasure (Article 17) for the audit trail is an open design question — an append-only log makes selective erasure structurally harder, and this repository does not resolve it.</w:t>
      </w:r>
    </w:p>
    <w:p>
      <w:pPr>
        <w:pStyle w:val="Heading2"/>
      </w:pPr>
      <w:r>
        <w:rPr>
          <w:color w:val="1F3A5F"/>
          <w:sz w:val="27"/>
        </w:rPr>
        <w:t>Known Limitations &amp; Mitigations</w:t>
      </w:r>
    </w:p>
    <w:p>
      <w:pPr>
        <w:pStyle w:val="ListBullet"/>
        <w:spacing w:line="276" w:lineRule="auto" w:after="80"/>
      </w:pPr>
      <w:r>
        <w:t>6.3% false positive rate — mitigated by step-up authentication, not blanket denial (see Section 5).</w:t>
      </w:r>
    </w:p>
    <w:p>
      <w:pPr>
        <w:pStyle w:val="ListBullet"/>
        <w:spacing w:line="276" w:lineRule="auto" w:after="80"/>
      </w:pPr>
      <w:r>
        <w:t>7.8% false negative rate (1 − recall) — mitigated, not eliminated, by the independent mandate layer, which caught 26 additional real fraud cases in this run.</w:t>
      </w:r>
    </w:p>
    <w:p>
      <w:pPr>
        <w:pStyle w:val="ListBullet"/>
        <w:spacing w:line="276" w:lineRule="auto" w:after="80"/>
      </w:pPr>
      <w:r>
        <w:t>Model drift — the detector is trained once per pipeline run on synthetic labels; production needs a scheduled retraining pipeline against real chargeback labels, which this repository does not implement.</w:t>
      </w:r>
    </w:p>
    <w:p>
      <w:pPr>
        <w:pStyle w:val="Heading2"/>
      </w:pPr>
      <w:r>
        <w:rPr>
          <w:color w:val="1F3A5F"/>
          <w:sz w:val="27"/>
        </w:rPr>
        <w:t>Proposed Rollout Roadmap</w:t>
      </w:r>
    </w:p>
    <w:p>
      <w:pPr>
        <w:spacing w:line="276" w:lineRule="auto" w:after="160"/>
        <w:jc w:val="both"/>
      </w:pPr>
      <w:r>
        <w:rPr>
          <w:b w:val="0"/>
          <w:i/>
        </w:rPr>
        <w:t>Forward-looking; none of the phases below have occurred yet.</w:t>
      </w:r>
    </w:p>
    <w:p>
      <w:pPr>
        <w:pStyle w:val="ListBullet"/>
        <w:spacing w:line="276" w:lineRule="auto" w:after="80"/>
      </w:pPr>
      <w:r>
        <w:t>Phase 1 — Pilot: monitor-mode only against one payment processor's real traffic, validating detection accuracy without blocking anything.</w:t>
      </w:r>
    </w:p>
    <w:p>
      <w:pPr>
        <w:pStyle w:val="ListBullet"/>
        <w:spacing w:line="276" w:lineRule="auto" w:after="80"/>
      </w:pPr>
      <w:r>
        <w:t>Phase 2 — Soft launch: enable BLOCK/FLAG-driven step-up authentication for one merchant category; track real false-positive impact.</w:t>
      </w:r>
    </w:p>
    <w:p>
      <w:pPr>
        <w:pStyle w:val="ListBullet"/>
        <w:spacing w:line="276" w:lineRule="auto" w:after="80"/>
      </w:pPr>
      <w:r>
        <w:t>Phase 3 — Expansion: additional merchant categories and processors, scheduled retraining on real chargeback labels, HSM/KMS migration for the signing key.</w:t>
      </w:r>
    </w:p>
    <w:p>
      <w:pPr>
        <w:pStyle w:val="ListBullet"/>
        <w:spacing w:line="276" w:lineRule="auto" w:after="80"/>
      </w:pPr>
      <w:r>
        <w:t>Phase 4 — Ongoing: rule refinement from real fraud patterns, regulatory scope confirmation (PCI DSS, RBI, GDPR), and a defined key-rotation cadence.</w:t>
      </w:r>
    </w:p>
    <w:p>
      <w:r>
        <w:br w:type="page"/>
      </w:r>
    </w:p>
    <w:p>
      <w:pPr>
        <w:pStyle w:val="Heading1"/>
      </w:pPr>
      <w:r>
        <w:rPr>
          <w:color w:val="1F3A5F"/>
          <w:sz w:val="36"/>
        </w:rPr>
        <w:t>7. Conclusion</w:t>
      </w:r>
    </w:p>
    <w:p>
      <w:pPr>
        <w:spacing w:line="276" w:lineRule="auto" w:after="160"/>
        <w:jc w:val="both"/>
      </w:pPr>
      <w:r>
        <w:rPr>
          <w:b w:val="0"/>
          <w:i w:val="0"/>
        </w:rPr>
        <w:t>Execution Authority Gate combines two complementary, independently auditable checks:</w:t>
      </w:r>
    </w:p>
    <w:p>
      <w:pPr>
        <w:pStyle w:val="ListBullet"/>
        <w:spacing w:line="276" w:lineRule="auto" w:after="80"/>
      </w:pPr>
      <w:r>
        <w:t>The AI detector scores individual transaction anomalies: 92.2% recall at a 6.3% false positive rate on its held-out test split.</w:t>
      </w:r>
    </w:p>
    <w:p>
      <w:pPr>
        <w:pStyle w:val="ListBullet"/>
        <w:spacing w:line="276" w:lineRule="auto" w:after="80"/>
      </w:pPr>
      <w:r>
        <w:t>The mandate layer independently checks account-level patterns the detector structurally cannot see, catching 26 additional real fraud cases in this run.</w:t>
      </w:r>
    </w:p>
    <w:p>
      <w:pPr>
        <w:pStyle w:val="ListBullet"/>
        <w:spacing w:line="276" w:lineRule="auto" w:after="80"/>
      </w:pPr>
      <w:r>
        <w:t>Every final decision is signed and independently verifiable — 6,912 / 6,912 verified in this run — and explainable, naming the exact rule that fired.</w:t>
      </w:r>
    </w:p>
    <w:p>
      <w:pPr>
        <w:spacing w:line="276" w:lineRule="auto" w:after="160"/>
        <w:jc w:val="both"/>
      </w:pPr>
      <w:r>
        <w:rPr>
          <w:b/>
          <w:i w:val="0"/>
        </w:rPr>
        <w:t>The system is:</w:t>
      </w:r>
    </w:p>
    <w:p>
      <w:pPr>
        <w:pStyle w:val="ListBullet"/>
        <w:spacing w:line="276" w:lineRule="auto" w:after="80"/>
      </w:pPr>
      <w:r>
        <w:t>Accurate — 92.2% recall, 6.3% false positive rate, both evidence-backed</w:t>
      </w:r>
    </w:p>
    <w:p>
      <w:pPr>
        <w:pStyle w:val="ListBullet"/>
        <w:spacing w:line="276" w:lineRule="auto" w:after="80"/>
      </w:pPr>
      <w:r>
        <w:t>Explainable — every decision names the policy, rule, and layer that produced it</w:t>
      </w:r>
    </w:p>
    <w:p>
      <w:pPr>
        <w:pStyle w:val="ListBullet"/>
        <w:spacing w:line="276" w:lineRule="auto" w:after="80"/>
      </w:pPr>
      <w:r>
        <w:t>Auditable — an append-only, cryptographically signed decision trail</w:t>
      </w:r>
    </w:p>
    <w:p>
      <w:pPr>
        <w:pStyle w:val="ListBullet"/>
        <w:spacing w:line="276" w:lineRule="auto" w:after="80"/>
      </w:pPr>
      <w:r>
        <w:t>Engineered toward production readiness, with gaps documented explicitly rather than implied away</w:t>
      </w:r>
    </w:p>
    <w:p>
      <w:pPr>
        <w:spacing w:line="276" w:lineRule="auto" w:after="160"/>
        <w:jc w:val="both"/>
      </w:pPr>
      <w:r>
        <w:rPr>
          <w:b w:val="0"/>
          <w:i w:val="0"/>
        </w:rPr>
        <w:t>This is demonstrated, not merely asserted, through 23,037 generated transactions spanning 7 real attack types, 136 automated hermetic tests passing, and an append-only audit trail of over 13,700 independently verified signed decisions across two separate pipeline runs.</w:t>
      </w:r>
    </w:p>
    <w:p>
      <w:pPr>
        <w:spacing w:line="276" w:lineRule="auto" w:after="160"/>
        <w:jc w:val="both"/>
      </w:pPr>
      <w:r>
        <w:rPr>
          <w:b/>
          <w:i w:val="0"/>
        </w:rPr>
        <w:t>Honest boundary: this repository has not processed a real transaction and is not deployed to production. The next step is a monitor-mode pilot against real (or real-shadowed) transaction traffic, per the roadmap in Section 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