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8.7441860465117"/>
        <w:gridCol w:w="1697.860465116279"/>
        <w:gridCol w:w="1726.8837209302324"/>
        <w:gridCol w:w="1189.953488372093"/>
        <w:gridCol w:w="1857.4883720930234"/>
        <w:gridCol w:w="1959.0697674418604"/>
        <w:tblGridChange w:id="0">
          <w:tblGrid>
            <w:gridCol w:w="928.7441860465117"/>
            <w:gridCol w:w="1697.860465116279"/>
            <w:gridCol w:w="1726.8837209302324"/>
            <w:gridCol w:w="1189.953488372093"/>
            <w:gridCol w:w="1857.4883720930234"/>
            <w:gridCol w:w="1959.0697674418604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shall lock buyer payment in escrow and transition order state to 'Under Inspection' until an inspector submits physical verification sign-off.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Funds held securely and released only on dual verification; Fail: Funds released prematurely to seller.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Core escrow mandate.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shall allow an Inspection Agent to submit a condition certification report for a purchased item.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Report uploads successfully and triggers status change; Fail: System rejects valid report.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Enables the dual verification process required before fund release.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shall release funds to the seller only after the buyer provides final sign-off post-inspection.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Funds transfer to seller account upon buyer approval; Fail: Funds transfer without buyer consent.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Fulfills peer-to-peer trading escrow logic.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shall enable a buyer to raise a dispute ticket if the physical verification sign-off is rejected.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Dispute ticket is generated and associated with the order ID; Fail: Ticket creation fails.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Handles failed inspections or disagreements.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shall notify all stakeholders when the order state transitions to 'Under Inspection'.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Notification sent to Buyer, Seller, and Inspection Agent; Fail: No notification dispatched.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Improves system visibility.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Performance &amp; Security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Dispute resolution tickets must freeze escrow funds immediately and prevent account withdrawals during active investigation.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Benchmarking tests confirm target latency and security standards under simulated peak load.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Required for active investigations.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Reliability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shall maintain 99.9% uptime to ensure escrow transactions and dispute freezes process without interruption.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Pass: System logs show &lt;43 minutes of downtime per month; Fail: Downtime exceeds threshold.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Ensures continuous secure financial processing.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