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3864"/>
          <w:sz w:val="36"/>
        </w:rPr>
        <w:t>TIPPSS SafeGuard-PQ</w:t>
        <w:br/>
        <w:t>System Architecture &amp; Technical Reference</w:t>
      </w:r>
    </w:p>
    <w:p>
      <w:pPr>
        <w:spacing w:after="240"/>
        <w:jc w:val="center"/>
      </w:pPr>
      <w:r>
        <w:rPr>
          <w:i/>
          <w:sz w:val="20"/>
        </w:rPr>
        <w:t>Version 3.0 (Sequential Pipeline)  ·  NIST FIPS 203/204/205  ·  IEEE 2933-2024 TIPPSS</w:t>
        <w:br/>
        <w:t>Repository: https://github.com/pavangemmanjunath-cell/QuantumShift_TIPPSS</w:t>
      </w:r>
    </w:p>
    <w:p>
      <w:pPr>
        <w:pBdr>
          <w:bottom w:val="single" w:sz="6" w:space="1" w:color="4472C4"/>
        </w:pBdr>
        <w:spacing w:after="120"/>
      </w:pPr>
    </w:p>
    <w:p>
      <w:pPr>
        <w:pStyle w:val="Heading1"/>
        <w:jc w:val="left"/>
      </w:pPr>
      <w:r>
        <w:rPr>
          <w:color w:val="1F3864"/>
        </w:rPr>
        <w:t>1. Executive Summary</w:t>
      </w:r>
    </w:p>
    <w:p>
      <w:pPr>
        <w:spacing w:after="120"/>
      </w:pPr>
      <w:r>
        <w:rPr>
          <w:b w:val="0"/>
          <w:i w:val="0"/>
          <w:sz w:val="22"/>
        </w:rPr>
        <w:t>TIPPSS SafeGuard-PQ is a multi-agent post-quantum cybersecurity assessment and migration planning system for clinical IoT and AI healthcare environments. The system evaluates hospital clinical system configurations against post-quantum cryptographic standards and the IEEE 2933-2024 TIPPSS framework through a sequential 10-agent pipeline, then produces constraint-aware remediation roadmaps using the Quantum-Inspired Remediation Optimizer (QIRO). The architecture is designed for local on-premises deployment, ensuring sensitive configuration data never leaves the hospital network.</w:t>
      </w:r>
    </w:p>
    <w:p>
      <w:pPr>
        <w:pStyle w:val="Heading1"/>
        <w:jc w:val="left"/>
      </w:pPr>
      <w:r>
        <w:rPr>
          <w:color w:val="1F3864"/>
        </w:rPr>
        <w:t>2. Architectural Principles</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vAlign w:val="center"/>
            <w:shd w:val="clear" w:color="auto" w:fill="1F3864"/>
          </w:tcPr>
          <w:p>
            <w:pPr>
              <w:spacing w:after="40" w:before="40"/>
            </w:pPr>
            <w:r>
              <w:rPr>
                <w:b/>
                <w:sz w:val="20"/>
              </w:rPr>
              <w:t>Principle</w:t>
            </w:r>
          </w:p>
        </w:tc>
        <w:tc>
          <w:tcPr>
            <w:tcW w:type="dxa" w:w="4561"/>
            <w:vAlign w:val="center"/>
            <w:shd w:val="clear" w:color="auto" w:fill="1F3864"/>
          </w:tcPr>
          <w:p>
            <w:pPr>
              <w:spacing w:after="40" w:before="40"/>
            </w:pPr>
            <w:r>
              <w:rPr>
                <w:b/>
                <w:sz w:val="20"/>
              </w:rPr>
              <w:t>Implementation</w:t>
            </w:r>
          </w:p>
        </w:tc>
      </w:tr>
      <w:tr>
        <w:tc>
          <w:tcPr>
            <w:tcW w:type="dxa" w:w="4561"/>
            <w:vAlign w:val="center"/>
          </w:tcPr>
          <w:p>
            <w:pPr>
              <w:spacing w:after="40" w:before="40"/>
            </w:pPr>
            <w:r>
              <w:rPr>
                <w:b w:val="0"/>
                <w:sz w:val="20"/>
              </w:rPr>
              <w:t>Local-first processing</w:t>
            </w:r>
          </w:p>
        </w:tc>
        <w:tc>
          <w:tcPr>
            <w:tcW w:type="dxa" w:w="4561"/>
            <w:vAlign w:val="center"/>
          </w:tcPr>
          <w:p>
            <w:pPr>
              <w:spacing w:after="40" w:before="40"/>
            </w:pPr>
            <w:r>
              <w:rPr>
                <w:b w:val="0"/>
                <w:sz w:val="20"/>
              </w:rPr>
              <w:t>All computation runs on localhost (ports 8501 and 5678); no data sent to external servers except Claude AI report</w:t>
            </w:r>
          </w:p>
        </w:tc>
      </w:tr>
      <w:tr>
        <w:tc>
          <w:tcPr>
            <w:tcW w:type="dxa" w:w="4561"/>
            <w:vAlign w:val="center"/>
            <w:shd w:val="clear" w:color="auto" w:fill="EBF3FB"/>
          </w:tcPr>
          <w:p>
            <w:pPr>
              <w:spacing w:after="40" w:before="40"/>
            </w:pPr>
            <w:r>
              <w:rPr>
                <w:b w:val="0"/>
                <w:sz w:val="20"/>
              </w:rPr>
              <w:t>Minimal data transfer</w:t>
            </w:r>
          </w:p>
        </w:tc>
        <w:tc>
          <w:tcPr>
            <w:tcW w:type="dxa" w:w="4561"/>
            <w:vAlign w:val="center"/>
            <w:shd w:val="clear" w:color="auto" w:fill="EBF3FB"/>
          </w:tcPr>
          <w:p>
            <w:pPr>
              <w:spacing w:after="40" w:before="40"/>
            </w:pPr>
            <w:r>
              <w:rPr>
                <w:b w:val="0"/>
                <w:sz w:val="20"/>
              </w:rPr>
              <w:t>Files sampled to 100 rows maximum; full raw datasets never transmitted to n8n</w:t>
            </w:r>
          </w:p>
        </w:tc>
      </w:tr>
      <w:tr>
        <w:tc>
          <w:tcPr>
            <w:tcW w:type="dxa" w:w="4561"/>
            <w:vAlign w:val="center"/>
          </w:tcPr>
          <w:p>
            <w:pPr>
              <w:spacing w:after="40" w:before="40"/>
            </w:pPr>
            <w:r>
              <w:rPr>
                <w:b w:val="0"/>
                <w:sz w:val="20"/>
              </w:rPr>
              <w:t>Agent isolation</w:t>
            </w:r>
          </w:p>
        </w:tc>
        <w:tc>
          <w:tcPr>
            <w:tcW w:type="dxa" w:w="4561"/>
            <w:vAlign w:val="center"/>
          </w:tcPr>
          <w:p>
            <w:pPr>
              <w:spacing w:after="40" w:before="40"/>
            </w:pPr>
            <w:r>
              <w:rPr>
                <w:b w:val="0"/>
                <w:sz w:val="20"/>
              </w:rPr>
              <w:t>Each agent has a single responsibility and cannot access other agents' internal state directly</w:t>
            </w:r>
          </w:p>
        </w:tc>
      </w:tr>
      <w:tr>
        <w:tc>
          <w:tcPr>
            <w:tcW w:type="dxa" w:w="4561"/>
            <w:vAlign w:val="center"/>
            <w:shd w:val="clear" w:color="auto" w:fill="EBF3FB"/>
          </w:tcPr>
          <w:p>
            <w:pPr>
              <w:spacing w:after="40" w:before="40"/>
            </w:pPr>
            <w:r>
              <w:rPr>
                <w:b w:val="0"/>
                <w:sz w:val="20"/>
              </w:rPr>
              <w:t>Constraint-aware output</w:t>
            </w:r>
          </w:p>
        </w:tc>
        <w:tc>
          <w:tcPr>
            <w:tcW w:type="dxa" w:w="4561"/>
            <w:vAlign w:val="center"/>
            <w:shd w:val="clear" w:color="auto" w:fill="EBF3FB"/>
          </w:tcPr>
          <w:p>
            <w:pPr>
              <w:spacing w:after="40" w:before="40"/>
            </w:pPr>
            <w:r>
              <w:rPr>
                <w:b w:val="0"/>
                <w:sz w:val="20"/>
              </w:rPr>
              <w:t>QIRO enforces budget and downtime as hard constraints, not advisory guidelines</w:t>
            </w:r>
          </w:p>
        </w:tc>
      </w:tr>
      <w:tr>
        <w:tc>
          <w:tcPr>
            <w:tcW w:type="dxa" w:w="4561"/>
            <w:vAlign w:val="center"/>
          </w:tcPr>
          <w:p>
            <w:pPr>
              <w:spacing w:after="40" w:before="40"/>
            </w:pPr>
            <w:r>
              <w:rPr>
                <w:b w:val="0"/>
                <w:sz w:val="20"/>
              </w:rPr>
              <w:t>Timestamped provenance</w:t>
            </w:r>
          </w:p>
        </w:tc>
        <w:tc>
          <w:tcPr>
            <w:tcW w:type="dxa" w:w="4561"/>
            <w:vAlign w:val="center"/>
          </w:tcPr>
          <w:p>
            <w:pPr>
              <w:spacing w:after="40" w:before="40"/>
            </w:pPr>
            <w:r>
              <w:rPr>
                <w:b w:val="0"/>
                <w:sz w:val="20"/>
              </w:rPr>
              <w:t>Every result file includes a YYYYMMDD_HHMMSS timestamp; runs never overwrite previous results</w:t>
            </w:r>
          </w:p>
        </w:tc>
      </w:tr>
      <w:tr>
        <w:tc>
          <w:tcPr>
            <w:tcW w:type="dxa" w:w="4561"/>
            <w:vAlign w:val="center"/>
            <w:shd w:val="clear" w:color="auto" w:fill="EBF3FB"/>
          </w:tcPr>
          <w:p>
            <w:pPr>
              <w:spacing w:after="40" w:before="40"/>
            </w:pPr>
            <w:r>
              <w:rPr>
                <w:b w:val="0"/>
                <w:sz w:val="20"/>
              </w:rPr>
              <w:t>Standards-grounded</w:t>
            </w:r>
          </w:p>
        </w:tc>
        <w:tc>
          <w:tcPr>
            <w:tcW w:type="dxa" w:w="4561"/>
            <w:vAlign w:val="center"/>
            <w:shd w:val="clear" w:color="auto" w:fill="EBF3FB"/>
          </w:tcPr>
          <w:p>
            <w:pPr>
              <w:spacing w:after="40" w:before="40"/>
            </w:pPr>
            <w:r>
              <w:rPr>
                <w:b w:val="0"/>
                <w:sz w:val="20"/>
              </w:rPr>
              <w:t>All findings explicitly reference NIST FIPS 203/204/205 clauses and IEEE 2933-2024 TIPPSS pillars</w:t>
            </w:r>
          </w:p>
        </w:tc>
      </w:tr>
    </w:tbl>
    <w:p>
      <w:pPr>
        <w:pStyle w:val="Heading1"/>
        <w:jc w:val="left"/>
      </w:pPr>
      <w:r>
        <w:rPr>
          <w:color w:val="1F3864"/>
        </w:rPr>
        <w:t>3. Three-Tier System Architecture</w:t>
      </w:r>
    </w:p>
    <w:p>
      <w:pPr>
        <w:pStyle w:val="Heading2"/>
        <w:jc w:val="left"/>
      </w:pPr>
      <w:r>
        <w:rPr>
          <w:color w:val="1F3864"/>
        </w:rPr>
        <w:t>3.1 Tier 1 — Presentation Layer (Streamlit)</w:t>
      </w:r>
    </w:p>
    <w:p>
      <w:pPr>
        <w:spacing w:after="120"/>
      </w:pPr>
      <w:r>
        <w:rPr>
          <w:b w:val="0"/>
          <w:i w:val="0"/>
          <w:sz w:val="22"/>
        </w:rPr>
        <w:t>The Streamlit dashboard (localhost:8501) provides the user interface for scenario selection, file upload, constraint configuration, and result visualisation. It acts as the sole entry point for assessment requests and is responsible for payload construction, file feature extraction, and result display.</w:t>
      </w:r>
    </w:p>
    <w:p>
      <w:pPr>
        <w:pStyle w:val="ListBullet"/>
        <w:spacing w:after="60"/>
      </w:pPr>
      <w:r>
        <w:rPr>
          <w:sz w:val="21"/>
        </w:rPr>
        <w:t>Scenario Selector: Pre-built dropdown of 7 clinical system simulations covering Safe through Critical Quantum Risk postures.</w:t>
      </w:r>
    </w:p>
    <w:p>
      <w:pPr>
        <w:pStyle w:val="ListBullet"/>
        <w:spacing w:after="60"/>
      </w:pPr>
      <w:r>
        <w:rPr>
          <w:sz w:val="21"/>
        </w:rPr>
        <w:t>File Uploader: Accepts CICIoMT2024 .pcap.csv network traffic files and Synthea patients.csv / conditions.csv synthetic clinical records.</w:t>
      </w:r>
    </w:p>
    <w:p>
      <w:pPr>
        <w:pStyle w:val="ListBullet"/>
        <w:spacing w:after="60"/>
      </w:pPr>
      <w:r>
        <w:rPr>
          <w:sz w:val="21"/>
        </w:rPr>
        <w:t>Feature Extractor: Samples first 100 rows, computes 40+ statistical features (mean, max, min, sum) across protocol, flag, and rate columns.</w:t>
      </w:r>
    </w:p>
    <w:p>
      <w:pPr>
        <w:pStyle w:val="ListBullet"/>
        <w:spacing w:after="60"/>
      </w:pPr>
      <w:r>
        <w:rPr>
          <w:sz w:val="21"/>
        </w:rPr>
        <w:t>Constraint Sliders: Budget ($10,000–$500,000) and downtime (4–80 hours) controls that are passed directly to QIRO as hard constraints.</w:t>
      </w:r>
    </w:p>
    <w:p>
      <w:pPr>
        <w:pStyle w:val="ListBullet"/>
        <w:spacing w:after="60"/>
      </w:pPr>
      <w:r>
        <w:rPr>
          <w:sz w:val="21"/>
        </w:rPr>
        <w:t>Result Renderer: Displays verdict card, PQ risk gauge (0–100), TIPPSS six-pillar spider chart, findings table, QIRO roadmap, and Claude executive report.</w:t>
      </w:r>
    </w:p>
    <w:p>
      <w:pPr>
        <w:pStyle w:val="Heading2"/>
        <w:jc w:val="left"/>
      </w:pPr>
      <w:r>
        <w:rPr>
          <w:color w:val="1F3864"/>
        </w:rPr>
        <w:t>3.2 Tier 2 — Orchestration Layer (n8n)</w:t>
      </w:r>
    </w:p>
    <w:p>
      <w:pPr>
        <w:spacing w:after="120"/>
      </w:pPr>
      <w:r>
        <w:rPr>
          <w:b w:val="0"/>
          <w:i w:val="0"/>
          <w:sz w:val="22"/>
        </w:rPr>
        <w:t>The n8n workflow engine (localhost:5678) orchestrates the sequential 10-agent pipeline. The dashboard sends a single HTTP POST request with the structured JSON payload; n8n returns a single JSON response containing the complete assessment. Each agent is a JavaScript Code node with isolated logic and shared state passed via n8n item properties.</w:t>
      </w:r>
    </w:p>
    <w:p>
      <w:pPr>
        <w:pStyle w:val="Heading2"/>
        <w:jc w:val="left"/>
      </w:pPr>
      <w:r>
        <w:rPr>
          <w:color w:val="1F3864"/>
        </w:rPr>
        <w:t>3.3 Tier 3 — Output Layer</w:t>
      </w:r>
    </w:p>
    <w:p>
      <w:pPr>
        <w:spacing w:after="120"/>
      </w:pPr>
      <w:r>
        <w:rPr>
          <w:b w:val="0"/>
          <w:i w:val="0"/>
          <w:sz w:val="22"/>
        </w:rPr>
        <w:t>All test results are persisted with unique timestamps in three output directories: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vAlign w:val="center"/>
            <w:shd w:val="clear" w:color="auto" w:fill="2E75B6"/>
          </w:tcPr>
          <w:p>
            <w:pPr>
              <w:spacing w:after="40" w:before="40"/>
            </w:pPr>
            <w:r>
              <w:rPr>
                <w:b/>
                <w:sz w:val="20"/>
              </w:rPr>
              <w:t>Directory</w:t>
            </w:r>
          </w:p>
        </w:tc>
        <w:tc>
          <w:tcPr>
            <w:tcW w:type="dxa" w:w="3041"/>
            <w:vAlign w:val="center"/>
            <w:shd w:val="clear" w:color="auto" w:fill="2E75B6"/>
          </w:tcPr>
          <w:p>
            <w:pPr>
              <w:spacing w:after="40" w:before="40"/>
            </w:pPr>
            <w:r>
              <w:rPr>
                <w:b/>
                <w:sz w:val="20"/>
              </w:rPr>
              <w:t>Contents</w:t>
            </w:r>
          </w:p>
        </w:tc>
        <w:tc>
          <w:tcPr>
            <w:tcW w:type="dxa" w:w="3041"/>
            <w:vAlign w:val="center"/>
            <w:shd w:val="clear" w:color="auto" w:fill="2E75B6"/>
          </w:tcPr>
          <w:p>
            <w:pPr>
              <w:spacing w:after="40" w:before="40"/>
            </w:pPr>
            <w:r>
              <w:rPr>
                <w:b/>
                <w:sz w:val="20"/>
              </w:rPr>
              <w:t>Format</w:t>
            </w:r>
          </w:p>
        </w:tc>
      </w:tr>
      <w:tr>
        <w:tc>
          <w:tcPr>
            <w:tcW w:type="dxa" w:w="3041"/>
            <w:vAlign w:val="center"/>
          </w:tcPr>
          <w:p>
            <w:pPr>
              <w:spacing w:after="40" w:before="40"/>
            </w:pPr>
            <w:r>
              <w:rPr>
                <w:b w:val="0"/>
                <w:sz w:val="20"/>
              </w:rPr>
              <w:t>fileuploadoutput/</w:t>
            </w:r>
          </w:p>
        </w:tc>
        <w:tc>
          <w:tcPr>
            <w:tcW w:type="dxa" w:w="3041"/>
            <w:vAlign w:val="center"/>
          </w:tcPr>
          <w:p>
            <w:pPr>
              <w:spacing w:after="40" w:before="40"/>
            </w:pPr>
            <w:r>
              <w:rPr>
                <w:b w:val="0"/>
                <w:sz w:val="20"/>
              </w:rPr>
              <w:t>Uploaded-file test results: payload + n8n response + one-row summary per run</w:t>
            </w:r>
          </w:p>
        </w:tc>
        <w:tc>
          <w:tcPr>
            <w:tcW w:type="dxa" w:w="3041"/>
            <w:vAlign w:val="center"/>
          </w:tcPr>
          <w:p>
            <w:pPr>
              <w:spacing w:after="40" w:before="40"/>
            </w:pPr>
            <w:r>
              <w:rPr>
                <w:b w:val="0"/>
                <w:sz w:val="20"/>
              </w:rPr>
              <w:t>JSON + CSV</w:t>
            </w:r>
          </w:p>
        </w:tc>
      </w:tr>
      <w:tr>
        <w:tc>
          <w:tcPr>
            <w:tcW w:type="dxa" w:w="3041"/>
            <w:vAlign w:val="center"/>
          </w:tcPr>
          <w:p>
            <w:pPr>
              <w:spacing w:after="40" w:before="40"/>
            </w:pPr>
            <w:r>
              <w:rPr>
                <w:b w:val="0"/>
                <w:sz w:val="20"/>
              </w:rPr>
              <w:t>test_outputs/unit_tests/</w:t>
            </w:r>
          </w:p>
        </w:tc>
        <w:tc>
          <w:tcPr>
            <w:tcW w:type="dxa" w:w="3041"/>
            <w:vAlign w:val="center"/>
          </w:tcPr>
          <w:p>
            <w:pPr>
              <w:spacing w:after="40" w:before="40"/>
            </w:pPr>
            <w:r>
              <w:rPr>
                <w:b w:val="0"/>
                <w:sz w:val="20"/>
              </w:rPr>
              <w:t>Automated unit test results (8 cases, TC01–TC08)</w:t>
            </w:r>
          </w:p>
        </w:tc>
        <w:tc>
          <w:tcPr>
            <w:tcW w:type="dxa" w:w="3041"/>
            <w:vAlign w:val="center"/>
          </w:tcPr>
          <w:p>
            <w:pPr>
              <w:spacing w:after="40" w:before="40"/>
            </w:pPr>
            <w:r>
              <w:rPr>
                <w:b w:val="0"/>
                <w:sz w:val="20"/>
              </w:rPr>
              <w:t>JSON + CSV</w:t>
            </w:r>
          </w:p>
        </w:tc>
      </w:tr>
      <w:tr>
        <w:tc>
          <w:tcPr>
            <w:tcW w:type="dxa" w:w="3041"/>
            <w:vAlign w:val="center"/>
          </w:tcPr>
          <w:p>
            <w:pPr>
              <w:spacing w:after="40" w:before="40"/>
            </w:pPr>
            <w:r>
              <w:rPr>
                <w:b w:val="0"/>
                <w:sz w:val="20"/>
              </w:rPr>
              <w:t>test_outputs/integration_tests/</w:t>
            </w:r>
          </w:p>
        </w:tc>
        <w:tc>
          <w:tcPr>
            <w:tcW w:type="dxa" w:w="3041"/>
            <w:vAlign w:val="center"/>
          </w:tcPr>
          <w:p>
            <w:pPr>
              <w:spacing w:after="40" w:before="40"/>
            </w:pPr>
            <w:r>
              <w:rPr>
                <w:b w:val="0"/>
                <w:sz w:val="20"/>
              </w:rPr>
              <w:t>Integration test results using Input folder files</w:t>
            </w:r>
          </w:p>
        </w:tc>
        <w:tc>
          <w:tcPr>
            <w:tcW w:type="dxa" w:w="3041"/>
            <w:vAlign w:val="center"/>
          </w:tcPr>
          <w:p>
            <w:pPr>
              <w:spacing w:after="40" w:before="40"/>
            </w:pPr>
            <w:r>
              <w:rPr>
                <w:b w:val="0"/>
                <w:sz w:val="20"/>
              </w:rPr>
              <w:t>JSON + CSV</w:t>
            </w:r>
          </w:p>
        </w:tc>
      </w:tr>
    </w:tbl>
    <w:p>
      <w:pPr>
        <w:pStyle w:val="Heading1"/>
        <w:jc w:val="left"/>
      </w:pPr>
      <w:r>
        <w:rPr>
          <w:color w:val="1F3864"/>
        </w:rPr>
        <w:t>4. Agent Pipeline — Detailed Component Descriptions</w:t>
      </w:r>
    </w:p>
    <w:p>
      <w:pPr>
        <w:pStyle w:val="Heading2"/>
        <w:jc w:val="left"/>
      </w:pPr>
      <w:r>
        <w:rPr>
          <w:color w:val="1F3864"/>
        </w:rPr>
        <w:t>4.1  Agent 1 — Input Validator</w:t>
      </w:r>
    </w:p>
    <w:p>
      <w:pPr>
        <w:spacing w:after="40"/>
      </w:pPr>
      <w:r>
        <w:rPr>
          <w:b/>
        </w:rPr>
        <w:t xml:space="preserve">Function: </w:t>
      </w:r>
      <w:r>
        <w:rPr>
          <w:sz w:val="20"/>
        </w:rPr>
        <w:t>Schema validation and payload normalisation</w:t>
      </w:r>
    </w:p>
    <w:p>
      <w:pPr>
        <w:spacing w:after="40"/>
      </w:pPr>
      <w:r>
        <w:rPr>
          <w:b/>
        </w:rPr>
        <w:t xml:space="preserve">Processing: </w:t>
      </w:r>
      <w:r>
        <w:rPr>
          <w:sz w:val="20"/>
        </w:rPr>
        <w:t>Parses and validates the incoming JSON payload. Verifies presence of all required fields: system_id, domain, tls_config (with tls_version, key_exchange, cert_signature_algo, cert_key_algo, symmetric_cipher, hash, data_lifetime_years), ai_prompt_logs (string array), device_logs (device_id, cert_present, auth_status, failed_login_count), and constraints (budget_usd, max_downtime_hrs). Rejects malformed inputs with structured error responses before they enter the assessment pipeline.</w:t>
      </w:r>
    </w:p>
    <w:p>
      <w:pPr>
        <w:spacing w:after="40"/>
      </w:pPr>
      <w:r>
        <w:rPr>
          <w:b/>
        </w:rPr>
        <w:t xml:space="preserve">TIPPSS Pillars: </w:t>
      </w:r>
      <w:r>
        <w:rPr>
          <w:sz w:val="20"/>
        </w:rPr>
        <w:t>All pillars (prerequisite)</w:t>
      </w:r>
    </w:p>
    <w:p>
      <w:pPr>
        <w:spacing w:after="160"/>
      </w:pPr>
      <w:r>
        <w:rPr>
          <w:b/>
        </w:rPr>
        <w:t xml:space="preserve">Standards: </w:t>
      </w:r>
      <w:r>
        <w:rPr>
          <w:sz w:val="20"/>
        </w:rPr>
        <w:t>—</w:t>
      </w:r>
    </w:p>
    <w:p>
      <w:pPr>
        <w:pStyle w:val="Heading2"/>
        <w:jc w:val="left"/>
      </w:pPr>
      <w:r>
        <w:rPr>
          <w:color w:val="1F3864"/>
        </w:rPr>
        <w:t>4.2  Agent 2 — Cryptographic Classifier</w:t>
      </w:r>
    </w:p>
    <w:p>
      <w:pPr>
        <w:spacing w:after="40"/>
      </w:pPr>
      <w:r>
        <w:rPr>
          <w:b/>
        </w:rPr>
        <w:t xml:space="preserve">Function: </w:t>
      </w:r>
      <w:r>
        <w:rPr>
          <w:sz w:val="20"/>
        </w:rPr>
        <w:t>TLS parameter classification against PQ taxonomy</w:t>
      </w:r>
    </w:p>
    <w:p>
      <w:pPr>
        <w:spacing w:after="40"/>
      </w:pPr>
      <w:r>
        <w:rPr>
          <w:b/>
        </w:rPr>
        <w:t xml:space="preserve">Processing: </w:t>
      </w:r>
      <w:r>
        <w:rPr>
          <w:sz w:val="20"/>
        </w:rPr>
        <w:t>Classifies each TLS parameter as post-quantum safe (ML-KEM, ML-DSA, SLH-DSA, AES-256-GCM, SHA-384+), classical (ECDHE, ECDSA, RSA, AES-128-GCM, SHA-256), or deprecated (TLS 1.0/1.1, SHA-1, MD5, DES). Outputs three structured arrays: pq_safe[], classical[], deprecated[] used by subsequent agents.</w:t>
      </w:r>
    </w:p>
    <w:p>
      <w:pPr>
        <w:spacing w:after="40"/>
      </w:pPr>
      <w:r>
        <w:rPr>
          <w:b/>
        </w:rPr>
        <w:t xml:space="preserve">TIPPSS Pillars: </w:t>
      </w:r>
      <w:r>
        <w:rPr>
          <w:sz w:val="20"/>
        </w:rPr>
        <w:t>Protection, Security</w:t>
      </w:r>
    </w:p>
    <w:p>
      <w:pPr>
        <w:spacing w:after="160"/>
      </w:pPr>
      <w:r>
        <w:rPr>
          <w:b/>
        </w:rPr>
        <w:t xml:space="preserve">Standards: </w:t>
      </w:r>
      <w:r>
        <w:rPr>
          <w:sz w:val="20"/>
        </w:rPr>
        <w:t>NIST FIPS 203/204/205</w:t>
      </w:r>
    </w:p>
    <w:p>
      <w:pPr>
        <w:pStyle w:val="Heading2"/>
        <w:jc w:val="left"/>
      </w:pPr>
      <w:r>
        <w:rPr>
          <w:color w:val="1F3864"/>
        </w:rPr>
        <w:t>4.3  Agent 3 — PQ Benchmark</w:t>
      </w:r>
    </w:p>
    <w:p>
      <w:pPr>
        <w:spacing w:after="40"/>
      </w:pPr>
      <w:r>
        <w:rPr>
          <w:b/>
        </w:rPr>
        <w:t xml:space="preserve">Function: </w:t>
      </w:r>
      <w:r>
        <w:rPr>
          <w:sz w:val="20"/>
        </w:rPr>
        <w:t>NIST FIPS 203/204/205 compliance assessment</w:t>
      </w:r>
    </w:p>
    <w:p>
      <w:pPr>
        <w:spacing w:after="40"/>
      </w:pPr>
      <w:r>
        <w:rPr>
          <w:b/>
        </w:rPr>
        <w:t xml:space="preserve">Processing: </w:t>
      </w:r>
      <w:r>
        <w:rPr>
          <w:sz w:val="20"/>
        </w:rPr>
        <w:t>Compares cryptographic classification against post-quantum standards. Raises findings for each non-compliant parameter. Applies the harvest-now-decrypt-later (HNDL) rule: when data_lifetime_years &gt;= 10 AND classical crypto is present, raises a CRITICAL 'long_lifetime_classical_crypto' finding. Suppresses this finding when ML-KEM and ML-DSA are already deployed, preventing false positives on PQ-safe systems.</w:t>
      </w:r>
    </w:p>
    <w:p>
      <w:pPr>
        <w:spacing w:after="40"/>
      </w:pPr>
      <w:r>
        <w:rPr>
          <w:b/>
        </w:rPr>
        <w:t xml:space="preserve">TIPPSS Pillars: </w:t>
      </w:r>
      <w:r>
        <w:rPr>
          <w:sz w:val="20"/>
        </w:rPr>
        <w:t>Protection, Privacy, Security</w:t>
      </w:r>
    </w:p>
    <w:p>
      <w:pPr>
        <w:spacing w:after="160"/>
      </w:pPr>
      <w:r>
        <w:rPr>
          <w:b/>
        </w:rPr>
        <w:t xml:space="preserve">Standards: </w:t>
      </w:r>
      <w:r>
        <w:rPr>
          <w:sz w:val="20"/>
        </w:rPr>
        <w:t>NIST FIPS 203/204/205</w:t>
      </w:r>
    </w:p>
    <w:p>
      <w:pPr>
        <w:pStyle w:val="Heading2"/>
        <w:jc w:val="left"/>
      </w:pPr>
      <w:r>
        <w:rPr>
          <w:color w:val="1F3864"/>
        </w:rPr>
        <w:t>4.4  Agent 4 — IoT Device Identity</w:t>
      </w:r>
    </w:p>
    <w:p>
      <w:pPr>
        <w:spacing w:after="40"/>
      </w:pPr>
      <w:r>
        <w:rPr>
          <w:b/>
        </w:rPr>
        <w:t xml:space="preserve">Function: </w:t>
      </w:r>
      <w:r>
        <w:rPr>
          <w:sz w:val="20"/>
        </w:rPr>
        <w:t>Medical IoT device trust and identity assessment</w:t>
      </w:r>
    </w:p>
    <w:p>
      <w:pPr>
        <w:spacing w:after="40"/>
      </w:pPr>
      <w:r>
        <w:rPr>
          <w:b/>
        </w:rPr>
        <w:t xml:space="preserve">Processing: </w:t>
      </w:r>
      <w:r>
        <w:rPr>
          <w:sz w:val="20"/>
        </w:rPr>
        <w:t>Evaluates each device_log entry against the IEEE 2933-2024 Trust and Identity pillars. Raises HIGH findings for missing device certificates (cert_present = false) and HIGH-to-CRITICAL findings for authentication failures (auth_status = 'failed'). Raises escalating findings for repeated login failures: HIGH at &gt;= 5 failures, CRITICAL at &gt;= 10 failures.</w:t>
      </w:r>
    </w:p>
    <w:p>
      <w:pPr>
        <w:spacing w:after="40"/>
      </w:pPr>
      <w:r>
        <w:rPr>
          <w:b/>
        </w:rPr>
        <w:t xml:space="preserve">TIPPSS Pillars: </w:t>
      </w:r>
      <w:r>
        <w:rPr>
          <w:sz w:val="20"/>
        </w:rPr>
        <w:t>Trust, Identity, Safety</w:t>
      </w:r>
    </w:p>
    <w:p>
      <w:pPr>
        <w:spacing w:after="160"/>
      </w:pPr>
      <w:r>
        <w:rPr>
          <w:b/>
        </w:rPr>
        <w:t xml:space="preserve">Standards: </w:t>
      </w:r>
      <w:r>
        <w:rPr>
          <w:sz w:val="20"/>
        </w:rPr>
        <w:t>IEEE 2933-2024 §6.2</w:t>
      </w:r>
    </w:p>
    <w:p>
      <w:pPr>
        <w:pStyle w:val="Heading2"/>
        <w:jc w:val="left"/>
      </w:pPr>
      <w:r>
        <w:rPr>
          <w:color w:val="1F3864"/>
        </w:rPr>
        <w:t>4.5  Agent 5 — AI Prompt Privacy</w:t>
      </w:r>
    </w:p>
    <w:p>
      <w:pPr>
        <w:spacing w:after="40"/>
      </w:pPr>
      <w:r>
        <w:rPr>
          <w:b/>
        </w:rPr>
        <w:t xml:space="preserve">Function: </w:t>
      </w:r>
      <w:r>
        <w:rPr>
          <w:sz w:val="20"/>
        </w:rPr>
        <w:t>PHI detection and prompt injection scanning in AI logs</w:t>
      </w:r>
    </w:p>
    <w:p>
      <w:pPr>
        <w:spacing w:after="40"/>
      </w:pPr>
      <w:r>
        <w:rPr>
          <w:b/>
        </w:rPr>
        <w:t xml:space="preserve">Processing: </w:t>
      </w:r>
      <w:r>
        <w:rPr>
          <w:sz w:val="20"/>
        </w:rPr>
        <w:t>Scans all ai_prompt_logs entries for protected health information (PHI) patterns including medical record numbers (MRN), full patient name + identifier combinations, social security number formats, sensitive diagnosis keywords (HIV, cancer, mental health diagnoses), email addresses, and date-of-birth + name combinations. Also detects prompt injection attempts ('Ignore all previous instructions', 'reveal all records', 'export patient data').</w:t>
      </w:r>
    </w:p>
    <w:p>
      <w:pPr>
        <w:spacing w:after="40"/>
      </w:pPr>
      <w:r>
        <w:rPr>
          <w:b/>
        </w:rPr>
        <w:t xml:space="preserve">TIPPSS Pillars: </w:t>
      </w:r>
      <w:r>
        <w:rPr>
          <w:sz w:val="20"/>
        </w:rPr>
        <w:t>Privacy, Security</w:t>
      </w:r>
    </w:p>
    <w:p>
      <w:pPr>
        <w:spacing w:after="160"/>
      </w:pPr>
      <w:r>
        <w:rPr>
          <w:b/>
        </w:rPr>
        <w:t xml:space="preserve">Standards: </w:t>
      </w:r>
      <w:r>
        <w:rPr>
          <w:sz w:val="20"/>
        </w:rPr>
        <w:t>IEEE 2933-2024 §6.3; HIPAA 45 CFR §164.514</w:t>
      </w:r>
    </w:p>
    <w:p>
      <w:pPr>
        <w:pStyle w:val="Heading2"/>
        <w:jc w:val="left"/>
      </w:pPr>
      <w:r>
        <w:rPr>
          <w:color w:val="1F3864"/>
        </w:rPr>
        <w:t>4.6  Agent 6 — Secret Exposure Scanner</w:t>
      </w:r>
    </w:p>
    <w:p>
      <w:pPr>
        <w:spacing w:after="40"/>
      </w:pPr>
      <w:r>
        <w:rPr>
          <w:b/>
        </w:rPr>
        <w:t xml:space="preserve">Function: </w:t>
      </w:r>
      <w:r>
        <w:rPr>
          <w:sz w:val="20"/>
        </w:rPr>
        <w:t>Credential and API key detection in device telemetry</w:t>
      </w:r>
    </w:p>
    <w:p>
      <w:pPr>
        <w:spacing w:after="40"/>
      </w:pPr>
      <w:r>
        <w:rPr>
          <w:b/>
        </w:rPr>
        <w:t xml:space="preserve">Processing: </w:t>
      </w:r>
      <w:r>
        <w:rPr>
          <w:sz w:val="20"/>
        </w:rPr>
        <w:t>Scans device_log entries including optional debug_log fields for exposed credential patterns: Stripe live keys (sk_live_), AWS access key IDs (AKIA[0-9A-Z]{16}), GitHub personal access tokens (ghp_), generic API key patterns (api_key=), bearer tokens, and database password strings. Raises CRITICAL findings for each detected credential with a redacted preview for safe display.</w:t>
      </w:r>
    </w:p>
    <w:p>
      <w:pPr>
        <w:spacing w:after="40"/>
      </w:pPr>
      <w:r>
        <w:rPr>
          <w:b/>
        </w:rPr>
        <w:t xml:space="preserve">TIPPSS Pillars: </w:t>
      </w:r>
      <w:r>
        <w:rPr>
          <w:sz w:val="20"/>
        </w:rPr>
        <w:t>Protection, Security</w:t>
      </w:r>
    </w:p>
    <w:p>
      <w:pPr>
        <w:spacing w:after="160"/>
      </w:pPr>
      <w:r>
        <w:rPr>
          <w:b/>
        </w:rPr>
        <w:t xml:space="preserve">Standards: </w:t>
      </w:r>
      <w:r>
        <w:rPr>
          <w:sz w:val="20"/>
        </w:rPr>
        <w:t>OWASP Secrets Management</w:t>
      </w:r>
    </w:p>
    <w:p>
      <w:pPr>
        <w:pStyle w:val="Heading2"/>
        <w:jc w:val="left"/>
      </w:pPr>
      <w:r>
        <w:rPr>
          <w:color w:val="1F3864"/>
        </w:rPr>
        <w:t>4.7  Agent 7 — Clinical Safety Risk Analyser</w:t>
      </w:r>
    </w:p>
    <w:p>
      <w:pPr>
        <w:spacing w:after="40"/>
      </w:pPr>
      <w:r>
        <w:rPr>
          <w:b/>
        </w:rPr>
        <w:t xml:space="preserve">Function: </w:t>
      </w:r>
      <w:r>
        <w:rPr>
          <w:sz w:val="20"/>
        </w:rPr>
        <w:t>Autonomous AI clinical command detection</w:t>
      </w:r>
    </w:p>
    <w:p>
      <w:pPr>
        <w:spacing w:after="40"/>
      </w:pPr>
      <w:r>
        <w:rPr>
          <w:b/>
        </w:rPr>
        <w:t xml:space="preserve">Processing: </w:t>
      </w:r>
      <w:r>
        <w:rPr>
          <w:sz w:val="20"/>
        </w:rPr>
        <w:t>Scans ai_prompt_logs for autonomous clinical commands that bypass physician oversight: medication prescriptions without sign-off, alarm overrides ('override alarm', 'disable alert'), autonomous dosing ('infuse [dose] without approval'), device bypass commands, and autonomous procedural instructions. Raises CRITICAL Safety findings mapped to the IEEE 2933-2024 Safety pillar.</w:t>
      </w:r>
    </w:p>
    <w:p>
      <w:pPr>
        <w:spacing w:after="40"/>
      </w:pPr>
      <w:r>
        <w:rPr>
          <w:b/>
        </w:rPr>
        <w:t xml:space="preserve">TIPPSS Pillars: </w:t>
      </w:r>
      <w:r>
        <w:rPr>
          <w:sz w:val="20"/>
        </w:rPr>
        <w:t>Safety, Trust</w:t>
      </w:r>
    </w:p>
    <w:p>
      <w:pPr>
        <w:spacing w:after="160"/>
      </w:pPr>
      <w:r>
        <w:rPr>
          <w:b/>
        </w:rPr>
        <w:t xml:space="preserve">Standards: </w:t>
      </w:r>
      <w:r>
        <w:rPr>
          <w:sz w:val="20"/>
        </w:rPr>
        <w:t>IEEE 2933-2024 §6.5</w:t>
      </w:r>
    </w:p>
    <w:p>
      <w:pPr>
        <w:pStyle w:val="Heading2"/>
        <w:jc w:val="left"/>
      </w:pPr>
      <w:r>
        <w:rPr>
          <w:color w:val="1F3864"/>
        </w:rPr>
        <w:t>4.8  Agent 8 — TIPPSS Six-Pillar Scorer</w:t>
      </w:r>
    </w:p>
    <w:p>
      <w:pPr>
        <w:spacing w:after="40"/>
      </w:pPr>
      <w:r>
        <w:rPr>
          <w:b/>
        </w:rPr>
        <w:t xml:space="preserve">Function: </w:t>
      </w:r>
      <w:r>
        <w:rPr>
          <w:sz w:val="20"/>
        </w:rPr>
        <w:t>Multi-pillar risk scoring and verdict assignment</w:t>
      </w:r>
    </w:p>
    <w:p>
      <w:pPr>
        <w:spacing w:after="40"/>
      </w:pPr>
      <w:r>
        <w:rPr>
          <w:b/>
        </w:rPr>
        <w:t xml:space="preserve">Processing: </w:t>
      </w:r>
      <w:r>
        <w:rPr>
          <w:sz w:val="20"/>
        </w:rPr>
        <w:t>Aggregates all findings from Agents 2–7 and maps each finding to one or more TIPPSS pillars (Trust, Identity, Privacy, Protection, Safety, Security). Computes a normalised 0–100 risk score per pillar with deductions per finding severity (CRITICAL: -20 to -30, HIGH: -10 to -15, MEDIUM: -5 to -8). Computes a composite PQ Risk Score (weighted average, Protection and Security weighted higher) and assigns verdict: Safe (0–25), Partially Safe (26–50), Not Post-Quantum Safe (51–75), Critical Quantum Risk (76–100).</w:t>
      </w:r>
    </w:p>
    <w:p>
      <w:pPr>
        <w:spacing w:after="40"/>
      </w:pPr>
      <w:r>
        <w:rPr>
          <w:b/>
        </w:rPr>
        <w:t xml:space="preserve">TIPPSS Pillars: </w:t>
      </w:r>
      <w:r>
        <w:rPr>
          <w:sz w:val="20"/>
        </w:rPr>
        <w:t>All six pillars</w:t>
      </w:r>
    </w:p>
    <w:p>
      <w:pPr>
        <w:spacing w:after="160"/>
      </w:pPr>
      <w:r>
        <w:rPr>
          <w:b/>
        </w:rPr>
        <w:t xml:space="preserve">Standards: </w:t>
      </w:r>
      <w:r>
        <w:rPr>
          <w:sz w:val="20"/>
        </w:rPr>
        <w:t>IEEE 2933-2024 §6.1–6.6</w:t>
      </w:r>
    </w:p>
    <w:p>
      <w:pPr>
        <w:pStyle w:val="Heading2"/>
        <w:jc w:val="left"/>
      </w:pPr>
      <w:r>
        <w:rPr>
          <w:color w:val="1F3864"/>
        </w:rPr>
        <w:t>4.9  Agent 9 — Claude AI Executive Report</w:t>
      </w:r>
    </w:p>
    <w:p>
      <w:pPr>
        <w:spacing w:after="40"/>
      </w:pPr>
      <w:r>
        <w:rPr>
          <w:b/>
        </w:rPr>
        <w:t xml:space="preserve">Function: </w:t>
      </w:r>
      <w:r>
        <w:rPr>
          <w:sz w:val="20"/>
        </w:rPr>
        <w:t>Plain-English executive summary generation</w:t>
      </w:r>
    </w:p>
    <w:p>
      <w:pPr>
        <w:spacing w:after="40"/>
      </w:pPr>
      <w:r>
        <w:rPr>
          <w:b/>
        </w:rPr>
        <w:t xml:space="preserve">Processing: </w:t>
      </w:r>
      <w:r>
        <w:rPr>
          <w:sz w:val="20"/>
        </w:rPr>
        <w:t>Invokes the Anthropic Claude API with a structured prompt containing the top 3–5 highest-severity findings, their TIPPSS pillar mappings, the remediation constraint context, and the overall verdict. Generates a plain-English executive summary tailored to a clinical CISO audience, explaining what was found, why it matters for patient safety and data protection, and what immediate actions are recommended.</w:t>
      </w:r>
    </w:p>
    <w:p>
      <w:pPr>
        <w:spacing w:after="40"/>
      </w:pPr>
      <w:r>
        <w:rPr>
          <w:b/>
        </w:rPr>
        <w:t xml:space="preserve">TIPPSS Pillars: </w:t>
      </w:r>
      <w:r>
        <w:rPr>
          <w:sz w:val="20"/>
        </w:rPr>
        <w:t>All pillars (communication)</w:t>
      </w:r>
    </w:p>
    <w:p>
      <w:pPr>
        <w:spacing w:after="160"/>
      </w:pPr>
      <w:r>
        <w:rPr>
          <w:b/>
        </w:rPr>
        <w:t xml:space="preserve">Standards: </w:t>
      </w:r>
      <w:r>
        <w:rPr>
          <w:sz w:val="20"/>
        </w:rPr>
        <w:t>Anthropic Claude Sonnet API</w:t>
      </w:r>
    </w:p>
    <w:p>
      <w:pPr>
        <w:pStyle w:val="Heading2"/>
        <w:jc w:val="left"/>
      </w:pPr>
      <w:r>
        <w:rPr>
          <w:color w:val="1F3864"/>
        </w:rPr>
        <w:t>4.10  Agent 10 — QIRO Optimizer</w:t>
      </w:r>
    </w:p>
    <w:p>
      <w:pPr>
        <w:spacing w:after="40"/>
      </w:pPr>
      <w:r>
        <w:rPr>
          <w:b/>
        </w:rPr>
        <w:t xml:space="preserve">Function: </w:t>
      </w:r>
      <w:r>
        <w:rPr>
          <w:sz w:val="20"/>
        </w:rPr>
        <w:t>Constraint-aware binary optimisation for remediation planning</w:t>
      </w:r>
    </w:p>
    <w:p>
      <w:pPr>
        <w:spacing w:after="40"/>
      </w:pPr>
      <w:r>
        <w:rPr>
          <w:b/>
        </w:rPr>
        <w:t xml:space="preserve">Processing: </w:t>
      </w:r>
      <w:r>
        <w:rPr>
          <w:sz w:val="20"/>
        </w:rPr>
        <w:t>Converts all findings into candidate remediation actions with benefit scores (Bᵢ = Rᵢ + Pᵢ + Sᵢ + Tᵢ), cost estimates, downtime estimates, and complexity scores. Constructs the penalty-based energy function E(x) and executes 1,000 iterations of Simulated Annealing with geometric cooling (α = 0.995) and Metropolis-Hastings acceptance. Partitions the optimal solution into selected actions (x*ᵢ = 1) and deferred actions (x*ᵢ = 0). Assigns selected actions to three migration phases. Computes budget and downtime residuals.</w:t>
      </w:r>
    </w:p>
    <w:p>
      <w:pPr>
        <w:spacing w:after="40"/>
      </w:pPr>
      <w:r>
        <w:rPr>
          <w:b/>
        </w:rPr>
        <w:t xml:space="preserve">TIPPSS Pillars: </w:t>
      </w:r>
      <w:r>
        <w:rPr>
          <w:sz w:val="20"/>
        </w:rPr>
        <w:t>All pillars</w:t>
      </w:r>
    </w:p>
    <w:p>
      <w:pPr>
        <w:spacing w:after="160"/>
      </w:pPr>
      <w:r>
        <w:rPr>
          <w:b/>
        </w:rPr>
        <w:t xml:space="preserve">Standards: </w:t>
      </w:r>
      <w:r>
        <w:rPr>
          <w:sz w:val="20"/>
        </w:rPr>
        <w:t>Kirkpatrick et al. 1983; QUBO/Ising model</w:t>
      </w:r>
    </w:p>
    <w:p>
      <w:pPr>
        <w:pStyle w:val="Heading1"/>
        <w:jc w:val="left"/>
      </w:pPr>
      <w:r>
        <w:rPr>
          <w:color w:val="1F3864"/>
        </w:rPr>
        <w:t>5. JSON Payload Schema</w:t>
      </w:r>
    </w:p>
    <w:p>
      <w:pPr>
        <w:spacing w:after="120"/>
      </w:pPr>
      <w:r>
        <w:rPr>
          <w:b w:val="0"/>
          <w:i w:val="0"/>
          <w:sz w:val="22"/>
        </w:rPr>
        <w:t>The following fields constitute the complete assessment request payload sent from the Streamlit dashboard to the n8n pipeline: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vAlign w:val="center"/>
            <w:shd w:val="clear" w:color="auto" w:fill="2E75B6"/>
          </w:tcPr>
          <w:p>
            <w:pPr>
              <w:spacing w:after="40" w:before="40"/>
            </w:pPr>
            <w:r>
              <w:rPr>
                <w:b/>
                <w:sz w:val="18"/>
              </w:rPr>
              <w:t>Field</w:t>
            </w:r>
          </w:p>
        </w:tc>
        <w:tc>
          <w:tcPr>
            <w:tcW w:type="dxa" w:w="2280"/>
            <w:vAlign w:val="center"/>
            <w:shd w:val="clear" w:color="auto" w:fill="2E75B6"/>
          </w:tcPr>
          <w:p>
            <w:pPr>
              <w:spacing w:after="40" w:before="40"/>
            </w:pPr>
            <w:r>
              <w:rPr>
                <w:b/>
                <w:sz w:val="18"/>
              </w:rPr>
              <w:t>Type</w:t>
            </w:r>
          </w:p>
        </w:tc>
        <w:tc>
          <w:tcPr>
            <w:tcW w:type="dxa" w:w="2280"/>
            <w:vAlign w:val="center"/>
            <w:shd w:val="clear" w:color="auto" w:fill="2E75B6"/>
          </w:tcPr>
          <w:p>
            <w:pPr>
              <w:spacing w:after="40" w:before="40"/>
            </w:pPr>
            <w:r>
              <w:rPr>
                <w:b/>
                <w:sz w:val="18"/>
              </w:rPr>
              <w:t>Required</w:t>
            </w:r>
          </w:p>
        </w:tc>
        <w:tc>
          <w:tcPr>
            <w:tcW w:type="dxa" w:w="2280"/>
            <w:vAlign w:val="center"/>
            <w:shd w:val="clear" w:color="auto" w:fill="2E75B6"/>
          </w:tcPr>
          <w:p>
            <w:pPr>
              <w:spacing w:after="40" w:before="40"/>
            </w:pPr>
            <w:r>
              <w:rPr>
                <w:b/>
                <w:sz w:val="18"/>
              </w:rPr>
              <w:t>Description</w:t>
            </w:r>
          </w:p>
        </w:tc>
      </w:tr>
      <w:tr>
        <w:tc>
          <w:tcPr>
            <w:tcW w:type="dxa" w:w="2280"/>
            <w:vAlign w:val="center"/>
          </w:tcPr>
          <w:p>
            <w:pPr>
              <w:spacing w:after="40" w:before="40"/>
            </w:pPr>
            <w:r>
              <w:rPr>
                <w:b w:val="0"/>
                <w:sz w:val="18"/>
              </w:rPr>
              <w:t>system_id</w:t>
            </w:r>
          </w:p>
        </w:tc>
        <w:tc>
          <w:tcPr>
            <w:tcW w:type="dxa" w:w="2280"/>
            <w:vAlign w:val="center"/>
          </w:tcPr>
          <w:p>
            <w:pPr>
              <w:spacing w:after="40" w:before="40"/>
            </w:pPr>
            <w:r>
              <w:rPr>
                <w:b w:val="0"/>
                <w:sz w:val="18"/>
              </w:rPr>
              <w:t>string</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Unique identifier for the assessed system</w:t>
            </w:r>
          </w:p>
        </w:tc>
      </w:tr>
      <w:tr>
        <w:tc>
          <w:tcPr>
            <w:tcW w:type="dxa" w:w="2280"/>
            <w:vAlign w:val="center"/>
            <w:shd w:val="clear" w:color="auto" w:fill="EBF3FB"/>
          </w:tcPr>
          <w:p>
            <w:pPr>
              <w:spacing w:after="40" w:before="40"/>
            </w:pPr>
            <w:r>
              <w:rPr>
                <w:b w:val="0"/>
                <w:sz w:val="18"/>
              </w:rPr>
              <w:t>domain</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Always 'healthcare'</w:t>
            </w:r>
          </w:p>
        </w:tc>
      </w:tr>
      <w:tr>
        <w:tc>
          <w:tcPr>
            <w:tcW w:type="dxa" w:w="2280"/>
            <w:vAlign w:val="center"/>
          </w:tcPr>
          <w:p>
            <w:pPr>
              <w:spacing w:after="40" w:before="40"/>
            </w:pPr>
            <w:r>
              <w:rPr>
                <w:b w:val="0"/>
                <w:sz w:val="18"/>
              </w:rPr>
              <w:t>tls_config.tls_version</w:t>
            </w:r>
          </w:p>
        </w:tc>
        <w:tc>
          <w:tcPr>
            <w:tcW w:type="dxa" w:w="2280"/>
            <w:vAlign w:val="center"/>
          </w:tcPr>
          <w:p>
            <w:pPr>
              <w:spacing w:after="40" w:before="40"/>
            </w:pPr>
            <w:r>
              <w:rPr>
                <w:b w:val="0"/>
                <w:sz w:val="18"/>
              </w:rPr>
              <w:t>string</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TLS1.0 / TLS1.2 / TLS1.3</w:t>
            </w:r>
          </w:p>
        </w:tc>
      </w:tr>
      <w:tr>
        <w:tc>
          <w:tcPr>
            <w:tcW w:type="dxa" w:w="2280"/>
            <w:vAlign w:val="center"/>
            <w:shd w:val="clear" w:color="auto" w:fill="EBF3FB"/>
          </w:tcPr>
          <w:p>
            <w:pPr>
              <w:spacing w:after="40" w:before="40"/>
            </w:pPr>
            <w:r>
              <w:rPr>
                <w:b w:val="0"/>
                <w:sz w:val="18"/>
              </w:rPr>
              <w:t>tls_config.key_exchange</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ECDHE-P256 / ML-KEM-768 / ML-KEM-1024 etc.</w:t>
            </w:r>
          </w:p>
        </w:tc>
      </w:tr>
      <w:tr>
        <w:tc>
          <w:tcPr>
            <w:tcW w:type="dxa" w:w="2280"/>
            <w:vAlign w:val="center"/>
          </w:tcPr>
          <w:p>
            <w:pPr>
              <w:spacing w:after="40" w:before="40"/>
            </w:pPr>
            <w:r>
              <w:rPr>
                <w:b w:val="0"/>
                <w:sz w:val="18"/>
              </w:rPr>
              <w:t>tls_config.cert_signature_algo</w:t>
            </w:r>
          </w:p>
        </w:tc>
        <w:tc>
          <w:tcPr>
            <w:tcW w:type="dxa" w:w="2280"/>
            <w:vAlign w:val="center"/>
          </w:tcPr>
          <w:p>
            <w:pPr>
              <w:spacing w:after="40" w:before="40"/>
            </w:pPr>
            <w:r>
              <w:rPr>
                <w:b w:val="0"/>
                <w:sz w:val="18"/>
              </w:rPr>
              <w:t>string</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ECDSA-P256 / ML-DSA-65 / ML-DSA-87 etc.</w:t>
            </w:r>
          </w:p>
        </w:tc>
      </w:tr>
      <w:tr>
        <w:tc>
          <w:tcPr>
            <w:tcW w:type="dxa" w:w="2280"/>
            <w:vAlign w:val="center"/>
            <w:shd w:val="clear" w:color="auto" w:fill="EBF3FB"/>
          </w:tcPr>
          <w:p>
            <w:pPr>
              <w:spacing w:after="40" w:before="40"/>
            </w:pPr>
            <w:r>
              <w:rPr>
                <w:b w:val="0"/>
                <w:sz w:val="18"/>
              </w:rPr>
              <w:t>tls_config.cert_key_algo</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RSA-2048 / ML-DSA-65 etc.</w:t>
            </w:r>
          </w:p>
        </w:tc>
      </w:tr>
      <w:tr>
        <w:tc>
          <w:tcPr>
            <w:tcW w:type="dxa" w:w="2280"/>
            <w:vAlign w:val="center"/>
          </w:tcPr>
          <w:p>
            <w:pPr>
              <w:spacing w:after="40" w:before="40"/>
            </w:pPr>
            <w:r>
              <w:rPr>
                <w:b w:val="0"/>
                <w:sz w:val="18"/>
              </w:rPr>
              <w:t>tls_config.symmetric_cipher</w:t>
            </w:r>
          </w:p>
        </w:tc>
        <w:tc>
          <w:tcPr>
            <w:tcW w:type="dxa" w:w="2280"/>
            <w:vAlign w:val="center"/>
          </w:tcPr>
          <w:p>
            <w:pPr>
              <w:spacing w:after="40" w:before="40"/>
            </w:pPr>
            <w:r>
              <w:rPr>
                <w:b w:val="0"/>
                <w:sz w:val="18"/>
              </w:rPr>
              <w:t>string</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AES-128-GCM / AES-256-GCM etc.</w:t>
            </w:r>
          </w:p>
        </w:tc>
      </w:tr>
      <w:tr>
        <w:tc>
          <w:tcPr>
            <w:tcW w:type="dxa" w:w="2280"/>
            <w:vAlign w:val="center"/>
            <w:shd w:val="clear" w:color="auto" w:fill="EBF3FB"/>
          </w:tcPr>
          <w:p>
            <w:pPr>
              <w:spacing w:after="40" w:before="40"/>
            </w:pPr>
            <w:r>
              <w:rPr>
                <w:b w:val="0"/>
                <w:sz w:val="18"/>
              </w:rPr>
              <w:t>tls_config.hash</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SHA-1 / SHA-256 / SHA-384 etc.</w:t>
            </w:r>
          </w:p>
        </w:tc>
      </w:tr>
      <w:tr>
        <w:tc>
          <w:tcPr>
            <w:tcW w:type="dxa" w:w="2280"/>
            <w:vAlign w:val="center"/>
          </w:tcPr>
          <w:p>
            <w:pPr>
              <w:spacing w:after="40" w:before="40"/>
            </w:pPr>
            <w:r>
              <w:rPr>
                <w:b w:val="0"/>
                <w:sz w:val="18"/>
              </w:rPr>
              <w:t>tls_config.data_lifetime_years</w:t>
            </w:r>
          </w:p>
        </w:tc>
        <w:tc>
          <w:tcPr>
            <w:tcW w:type="dxa" w:w="2280"/>
            <w:vAlign w:val="center"/>
          </w:tcPr>
          <w:p>
            <w:pPr>
              <w:spacing w:after="40" w:before="40"/>
            </w:pPr>
            <w:r>
              <w:rPr>
                <w:b w:val="0"/>
                <w:sz w:val="18"/>
              </w:rPr>
              <w:t>int</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Years patient data must remain protected</w:t>
            </w:r>
          </w:p>
        </w:tc>
      </w:tr>
      <w:tr>
        <w:tc>
          <w:tcPr>
            <w:tcW w:type="dxa" w:w="2280"/>
            <w:vAlign w:val="center"/>
            <w:shd w:val="clear" w:color="auto" w:fill="EBF3FB"/>
          </w:tcPr>
          <w:p>
            <w:pPr>
              <w:spacing w:after="40" w:before="40"/>
            </w:pPr>
            <w:r>
              <w:rPr>
                <w:b w:val="0"/>
                <w:sz w:val="18"/>
              </w:rPr>
              <w:t>ai_prompt_logs</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AI assistant prompt log entries to scan for PHI and injection</w:t>
            </w:r>
          </w:p>
        </w:tc>
      </w:tr>
      <w:tr>
        <w:tc>
          <w:tcPr>
            <w:tcW w:type="dxa" w:w="2280"/>
            <w:vAlign w:val="center"/>
          </w:tcPr>
          <w:p>
            <w:pPr>
              <w:spacing w:after="40" w:before="40"/>
            </w:pPr>
            <w:r>
              <w:rPr>
                <w:b w:val="0"/>
                <w:sz w:val="18"/>
              </w:rPr>
              <w:t>device_logs</w:t>
            </w:r>
          </w:p>
        </w:tc>
        <w:tc>
          <w:tcPr>
            <w:tcW w:type="dxa" w:w="2280"/>
            <w:vAlign w:val="center"/>
          </w:tcPr>
          <w:p>
            <w:pPr>
              <w:spacing w:after="40" w:before="40"/>
            </w:pPr>
            <w:r>
              <w:rPr>
                <w:b w:val="0"/>
                <w:sz w:val="18"/>
              </w:rPr>
              <w:t>object[]</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Array of medical IoT device identity records</w:t>
            </w:r>
          </w:p>
        </w:tc>
      </w:tr>
      <w:tr>
        <w:tc>
          <w:tcPr>
            <w:tcW w:type="dxa" w:w="2280"/>
            <w:vAlign w:val="center"/>
            <w:shd w:val="clear" w:color="auto" w:fill="EBF3FB"/>
          </w:tcPr>
          <w:p>
            <w:pPr>
              <w:spacing w:after="40" w:before="40"/>
            </w:pPr>
            <w:r>
              <w:rPr>
                <w:b w:val="0"/>
                <w:sz w:val="18"/>
              </w:rPr>
              <w:t>device_logs[].device_id</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Medical device unique identifier</w:t>
            </w:r>
          </w:p>
        </w:tc>
      </w:tr>
      <w:tr>
        <w:tc>
          <w:tcPr>
            <w:tcW w:type="dxa" w:w="2280"/>
            <w:vAlign w:val="center"/>
          </w:tcPr>
          <w:p>
            <w:pPr>
              <w:spacing w:after="40" w:before="40"/>
            </w:pPr>
            <w:r>
              <w:rPr>
                <w:b w:val="0"/>
                <w:sz w:val="18"/>
              </w:rPr>
              <w:t>device_logs[].cert_present</w:t>
            </w:r>
          </w:p>
        </w:tc>
        <w:tc>
          <w:tcPr>
            <w:tcW w:type="dxa" w:w="2280"/>
            <w:vAlign w:val="center"/>
          </w:tcPr>
          <w:p>
            <w:pPr>
              <w:spacing w:after="40" w:before="40"/>
            </w:pPr>
            <w:r>
              <w:rPr>
                <w:b w:val="0"/>
                <w:sz w:val="18"/>
              </w:rPr>
              <w:t>bool</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Whether device certificate is installed</w:t>
            </w:r>
          </w:p>
        </w:tc>
      </w:tr>
      <w:tr>
        <w:tc>
          <w:tcPr>
            <w:tcW w:type="dxa" w:w="2280"/>
            <w:vAlign w:val="center"/>
            <w:shd w:val="clear" w:color="auto" w:fill="EBF3FB"/>
          </w:tcPr>
          <w:p>
            <w:pPr>
              <w:spacing w:after="40" w:before="40"/>
            </w:pPr>
            <w:r>
              <w:rPr>
                <w:b w:val="0"/>
                <w:sz w:val="18"/>
              </w:rPr>
              <w:t>device_logs[].auth_status</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'passed' or 'failed'</w:t>
            </w:r>
          </w:p>
        </w:tc>
      </w:tr>
      <w:tr>
        <w:tc>
          <w:tcPr>
            <w:tcW w:type="dxa" w:w="2280"/>
            <w:vAlign w:val="center"/>
          </w:tcPr>
          <w:p>
            <w:pPr>
              <w:spacing w:after="40" w:before="40"/>
            </w:pPr>
            <w:r>
              <w:rPr>
                <w:b w:val="0"/>
                <w:sz w:val="18"/>
              </w:rPr>
              <w:t>device_logs[].failed_login_count</w:t>
            </w:r>
          </w:p>
        </w:tc>
        <w:tc>
          <w:tcPr>
            <w:tcW w:type="dxa" w:w="2280"/>
            <w:vAlign w:val="center"/>
          </w:tcPr>
          <w:p>
            <w:pPr>
              <w:spacing w:after="40" w:before="40"/>
            </w:pPr>
            <w:r>
              <w:rPr>
                <w:b w:val="0"/>
                <w:sz w:val="18"/>
              </w:rPr>
              <w:t>int</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Number of failed authentication attempts</w:t>
            </w:r>
          </w:p>
        </w:tc>
      </w:tr>
      <w:tr>
        <w:tc>
          <w:tcPr>
            <w:tcW w:type="dxa" w:w="2280"/>
            <w:vAlign w:val="center"/>
            <w:shd w:val="clear" w:color="auto" w:fill="EBF3FB"/>
          </w:tcPr>
          <w:p>
            <w:pPr>
              <w:spacing w:after="40" w:before="40"/>
            </w:pPr>
            <w:r>
              <w:rPr>
                <w:b w:val="0"/>
                <w:sz w:val="18"/>
              </w:rPr>
              <w:t>device_logs[].debug_log</w:t>
            </w:r>
          </w:p>
        </w:tc>
        <w:tc>
          <w:tcPr>
            <w:tcW w:type="dxa" w:w="2280"/>
            <w:vAlign w:val="center"/>
            <w:shd w:val="clear" w:color="auto" w:fill="EBF3FB"/>
          </w:tcPr>
          <w:p>
            <w:pPr>
              <w:spacing w:after="40" w:before="40"/>
            </w:pPr>
            <w:r>
              <w:rPr>
                <w:b w:val="0"/>
                <w:sz w:val="18"/>
              </w:rPr>
              <w:t>string</w:t>
            </w:r>
          </w:p>
        </w:tc>
        <w:tc>
          <w:tcPr>
            <w:tcW w:type="dxa" w:w="2280"/>
            <w:vAlign w:val="center"/>
            <w:shd w:val="clear" w:color="auto" w:fill="EBF3FB"/>
          </w:tcPr>
          <w:p>
            <w:pPr>
              <w:spacing w:after="40" w:before="40"/>
            </w:pPr>
            <w:r>
              <w:rPr>
                <w:b w:val="0"/>
                <w:sz w:val="18"/>
              </w:rPr>
              <w:t>No</w:t>
            </w:r>
          </w:p>
        </w:tc>
        <w:tc>
          <w:tcPr>
            <w:tcW w:type="dxa" w:w="2280"/>
            <w:vAlign w:val="center"/>
            <w:shd w:val="clear" w:color="auto" w:fill="EBF3FB"/>
          </w:tcPr>
          <w:p>
            <w:pPr>
              <w:spacing w:after="40" w:before="40"/>
            </w:pPr>
            <w:r>
              <w:rPr>
                <w:b w:val="0"/>
                <w:sz w:val="18"/>
              </w:rPr>
              <w:t>Optional device debug log (scanned for exposed secrets)</w:t>
            </w:r>
          </w:p>
        </w:tc>
      </w:tr>
      <w:tr>
        <w:tc>
          <w:tcPr>
            <w:tcW w:type="dxa" w:w="2280"/>
            <w:vAlign w:val="center"/>
          </w:tcPr>
          <w:p>
            <w:pPr>
              <w:spacing w:after="40" w:before="40"/>
            </w:pPr>
            <w:r>
              <w:rPr>
                <w:b w:val="0"/>
                <w:sz w:val="18"/>
              </w:rPr>
              <w:t>constraints.budget_usd</w:t>
            </w:r>
          </w:p>
        </w:tc>
        <w:tc>
          <w:tcPr>
            <w:tcW w:type="dxa" w:w="2280"/>
            <w:vAlign w:val="center"/>
          </w:tcPr>
          <w:p>
            <w:pPr>
              <w:spacing w:after="40" w:before="40"/>
            </w:pPr>
            <w:r>
              <w:rPr>
                <w:b w:val="0"/>
                <w:sz w:val="18"/>
              </w:rPr>
              <w:t>int</w:t>
            </w:r>
          </w:p>
        </w:tc>
        <w:tc>
          <w:tcPr>
            <w:tcW w:type="dxa" w:w="2280"/>
            <w:vAlign w:val="center"/>
          </w:tcPr>
          <w:p>
            <w:pPr>
              <w:spacing w:after="40" w:before="40"/>
            </w:pPr>
            <w:r>
              <w:rPr>
                <w:b w:val="0"/>
                <w:sz w:val="18"/>
              </w:rPr>
              <w:t>Yes</w:t>
            </w:r>
          </w:p>
        </w:tc>
        <w:tc>
          <w:tcPr>
            <w:tcW w:type="dxa" w:w="2280"/>
            <w:vAlign w:val="center"/>
          </w:tcPr>
          <w:p>
            <w:pPr>
              <w:spacing w:after="40" w:before="40"/>
            </w:pPr>
            <w:r>
              <w:rPr>
                <w:b w:val="0"/>
                <w:sz w:val="18"/>
              </w:rPr>
              <w:t>Maximum remediation budget in USD</w:t>
            </w:r>
          </w:p>
        </w:tc>
      </w:tr>
      <w:tr>
        <w:tc>
          <w:tcPr>
            <w:tcW w:type="dxa" w:w="2280"/>
            <w:vAlign w:val="center"/>
            <w:shd w:val="clear" w:color="auto" w:fill="EBF3FB"/>
          </w:tcPr>
          <w:p>
            <w:pPr>
              <w:spacing w:after="40" w:before="40"/>
            </w:pPr>
            <w:r>
              <w:rPr>
                <w:b w:val="0"/>
                <w:sz w:val="18"/>
              </w:rPr>
              <w:t>constraints.max_downtime_hrs</w:t>
            </w:r>
          </w:p>
        </w:tc>
        <w:tc>
          <w:tcPr>
            <w:tcW w:type="dxa" w:w="2280"/>
            <w:vAlign w:val="center"/>
            <w:shd w:val="clear" w:color="auto" w:fill="EBF3FB"/>
          </w:tcPr>
          <w:p>
            <w:pPr>
              <w:spacing w:after="40" w:before="40"/>
            </w:pPr>
            <w:r>
              <w:rPr>
                <w:b w:val="0"/>
                <w:sz w:val="18"/>
              </w:rPr>
              <w:t>int</w:t>
            </w:r>
          </w:p>
        </w:tc>
        <w:tc>
          <w:tcPr>
            <w:tcW w:type="dxa" w:w="2280"/>
            <w:vAlign w:val="center"/>
            <w:shd w:val="clear" w:color="auto" w:fill="EBF3FB"/>
          </w:tcPr>
          <w:p>
            <w:pPr>
              <w:spacing w:after="40" w:before="40"/>
            </w:pPr>
            <w:r>
              <w:rPr>
                <w:b w:val="0"/>
                <w:sz w:val="18"/>
              </w:rPr>
              <w:t>Yes</w:t>
            </w:r>
          </w:p>
        </w:tc>
        <w:tc>
          <w:tcPr>
            <w:tcW w:type="dxa" w:w="2280"/>
            <w:vAlign w:val="center"/>
            <w:shd w:val="clear" w:color="auto" w:fill="EBF3FB"/>
          </w:tcPr>
          <w:p>
            <w:pPr>
              <w:spacing w:after="40" w:before="40"/>
            </w:pPr>
            <w:r>
              <w:rPr>
                <w:b w:val="0"/>
                <w:sz w:val="18"/>
              </w:rPr>
              <w:t>Maximum allowed service interruption in hours</w:t>
            </w:r>
          </w:p>
        </w:tc>
      </w:tr>
      <w:tr>
        <w:tc>
          <w:tcPr>
            <w:tcW w:type="dxa" w:w="2280"/>
            <w:vAlign w:val="center"/>
          </w:tcPr>
          <w:p>
            <w:pPr>
              <w:spacing w:after="40" w:before="40"/>
            </w:pPr>
            <w:r>
              <w:rPr>
                <w:b w:val="0"/>
                <w:sz w:val="18"/>
              </w:rPr>
              <w:t>iot_traffic</w:t>
            </w:r>
          </w:p>
        </w:tc>
        <w:tc>
          <w:tcPr>
            <w:tcW w:type="dxa" w:w="2280"/>
            <w:vAlign w:val="center"/>
          </w:tcPr>
          <w:p>
            <w:pPr>
              <w:spacing w:after="40" w:before="40"/>
            </w:pPr>
            <w:r>
              <w:rPr>
                <w:b w:val="0"/>
                <w:sz w:val="18"/>
              </w:rPr>
              <w:t>object</w:t>
            </w:r>
          </w:p>
        </w:tc>
        <w:tc>
          <w:tcPr>
            <w:tcW w:type="dxa" w:w="2280"/>
            <w:vAlign w:val="center"/>
          </w:tcPr>
          <w:p>
            <w:pPr>
              <w:spacing w:after="40" w:before="40"/>
            </w:pPr>
            <w:r>
              <w:rPr>
                <w:b w:val="0"/>
                <w:sz w:val="18"/>
              </w:rPr>
              <w:t>No</w:t>
            </w:r>
          </w:p>
        </w:tc>
        <w:tc>
          <w:tcPr>
            <w:tcW w:type="dxa" w:w="2280"/>
            <w:vAlign w:val="center"/>
          </w:tcPr>
          <w:p>
            <w:pPr>
              <w:spacing w:after="40" w:before="40"/>
            </w:pPr>
            <w:r>
              <w:rPr>
                <w:b w:val="0"/>
                <w:sz w:val="18"/>
              </w:rPr>
              <w:t>CICIoMT2024 feature summary (file upload only)</w:t>
            </w:r>
          </w:p>
        </w:tc>
      </w:tr>
      <w:tr>
        <w:tc>
          <w:tcPr>
            <w:tcW w:type="dxa" w:w="2280"/>
            <w:vAlign w:val="center"/>
            <w:shd w:val="clear" w:color="auto" w:fill="EBF3FB"/>
          </w:tcPr>
          <w:p>
            <w:pPr>
              <w:spacing w:after="40" w:before="40"/>
            </w:pPr>
            <w:r>
              <w:rPr>
                <w:b w:val="0"/>
                <w:sz w:val="18"/>
              </w:rPr>
              <w:t>ehr_records</w:t>
            </w:r>
          </w:p>
        </w:tc>
        <w:tc>
          <w:tcPr>
            <w:tcW w:type="dxa" w:w="2280"/>
            <w:vAlign w:val="center"/>
            <w:shd w:val="clear" w:color="auto" w:fill="EBF3FB"/>
          </w:tcPr>
          <w:p>
            <w:pPr>
              <w:spacing w:after="40" w:before="40"/>
            </w:pPr>
            <w:r>
              <w:rPr>
                <w:b w:val="0"/>
                <w:sz w:val="18"/>
              </w:rPr>
              <w:t>object</w:t>
            </w:r>
          </w:p>
        </w:tc>
        <w:tc>
          <w:tcPr>
            <w:tcW w:type="dxa" w:w="2280"/>
            <w:vAlign w:val="center"/>
            <w:shd w:val="clear" w:color="auto" w:fill="EBF3FB"/>
          </w:tcPr>
          <w:p>
            <w:pPr>
              <w:spacing w:after="40" w:before="40"/>
            </w:pPr>
            <w:r>
              <w:rPr>
                <w:b w:val="0"/>
                <w:sz w:val="18"/>
              </w:rPr>
              <w:t>No</w:t>
            </w:r>
          </w:p>
        </w:tc>
        <w:tc>
          <w:tcPr>
            <w:tcW w:type="dxa" w:w="2280"/>
            <w:vAlign w:val="center"/>
            <w:shd w:val="clear" w:color="auto" w:fill="EBF3FB"/>
          </w:tcPr>
          <w:p>
            <w:pPr>
              <w:spacing w:after="40" w:before="40"/>
            </w:pPr>
            <w:r>
              <w:rPr>
                <w:b w:val="0"/>
                <w:sz w:val="18"/>
              </w:rPr>
              <w:t>Synthea metadata (file upload only)</w:t>
            </w:r>
          </w:p>
        </w:tc>
      </w:tr>
      <w:tr>
        <w:tc>
          <w:tcPr>
            <w:tcW w:type="dxa" w:w="2280"/>
            <w:vAlign w:val="center"/>
          </w:tcPr>
          <w:p>
            <w:pPr>
              <w:spacing w:after="40" w:before="40"/>
            </w:pPr>
            <w:r>
              <w:rPr>
                <w:b w:val="0"/>
                <w:sz w:val="18"/>
              </w:rPr>
              <w:t>timestamp_requested</w:t>
            </w:r>
          </w:p>
        </w:tc>
        <w:tc>
          <w:tcPr>
            <w:tcW w:type="dxa" w:w="2280"/>
            <w:vAlign w:val="center"/>
          </w:tcPr>
          <w:p>
            <w:pPr>
              <w:spacing w:after="40" w:before="40"/>
            </w:pPr>
            <w:r>
              <w:rPr>
                <w:b w:val="0"/>
                <w:sz w:val="18"/>
              </w:rPr>
              <w:t>string</w:t>
            </w:r>
          </w:p>
        </w:tc>
        <w:tc>
          <w:tcPr>
            <w:tcW w:type="dxa" w:w="2280"/>
            <w:vAlign w:val="center"/>
          </w:tcPr>
          <w:p>
            <w:pPr>
              <w:spacing w:after="40" w:before="40"/>
            </w:pPr>
            <w:r>
              <w:rPr>
                <w:b w:val="0"/>
                <w:sz w:val="18"/>
              </w:rPr>
              <w:t>No</w:t>
            </w:r>
          </w:p>
        </w:tc>
        <w:tc>
          <w:tcPr>
            <w:tcW w:type="dxa" w:w="2280"/>
            <w:vAlign w:val="center"/>
          </w:tcPr>
          <w:p>
            <w:pPr>
              <w:spacing w:after="40" w:before="40"/>
            </w:pPr>
            <w:r>
              <w:rPr>
                <w:b w:val="0"/>
                <w:sz w:val="18"/>
              </w:rPr>
              <w:t>ISO 8601 request timestamp</w:t>
            </w:r>
          </w:p>
        </w:tc>
      </w:tr>
    </w:tbl>
    <w:p>
      <w:pPr>
        <w:pStyle w:val="Heading1"/>
        <w:jc w:val="left"/>
      </w:pPr>
      <w:r>
        <w:rPr>
          <w:color w:val="1F3864"/>
        </w:rPr>
        <w:t>6. End-to-End Data Flow</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vAlign w:val="center"/>
            <w:shd w:val="clear" w:color="auto" w:fill="1F3864"/>
          </w:tcPr>
          <w:p>
            <w:pPr>
              <w:spacing w:after="40" w:before="40"/>
            </w:pPr>
            <w:r>
              <w:rPr>
                <w:b/>
                <w:sz w:val="20"/>
              </w:rPr>
              <w:t>Step</w:t>
            </w:r>
          </w:p>
        </w:tc>
        <w:tc>
          <w:tcPr>
            <w:tcW w:type="dxa" w:w="4561"/>
            <w:vAlign w:val="center"/>
            <w:shd w:val="clear" w:color="auto" w:fill="1F3864"/>
          </w:tcPr>
          <w:p>
            <w:pPr>
              <w:spacing w:after="40" w:before="40"/>
            </w:pPr>
            <w:r>
              <w:rPr>
                <w:b/>
                <w:sz w:val="20"/>
              </w:rPr>
              <w:t>Description</w:t>
            </w:r>
          </w:p>
        </w:tc>
      </w:tr>
      <w:tr>
        <w:tc>
          <w:tcPr>
            <w:tcW w:type="dxa" w:w="4561"/>
          </w:tcPr>
          <w:p>
            <w:pPr>
              <w:spacing w:after="40" w:before="40"/>
            </w:pPr>
            <w:r>
              <w:rPr>
                <w:b/>
                <w:sz w:val="20"/>
              </w:rPr>
              <w:t>Step 1</w:t>
            </w:r>
          </w:p>
        </w:tc>
        <w:tc>
          <w:tcPr>
            <w:tcW w:type="dxa" w:w="4561"/>
          </w:tcPr>
          <w:p>
            <w:pPr>
              <w:spacing w:after="40" w:before="40"/>
            </w:pPr>
            <w:r>
              <w:rPr>
                <w:sz w:val="20"/>
              </w:rPr>
              <w:t>User selects a pre-built scenario or uploads a CICIoMT2024 / Synthea file via the Streamlit dashboard.</w:t>
            </w:r>
          </w:p>
        </w:tc>
      </w:tr>
      <w:tr>
        <w:tc>
          <w:tcPr>
            <w:tcW w:type="dxa" w:w="4561"/>
            <w:shd w:val="clear" w:color="auto" w:fill="EBF3FB"/>
          </w:tcPr>
          <w:p>
            <w:pPr>
              <w:spacing w:after="40" w:before="40"/>
            </w:pPr>
            <w:r>
              <w:rPr>
                <w:b/>
                <w:sz w:val="20"/>
              </w:rPr>
              <w:t>Step 2</w:t>
            </w:r>
          </w:p>
        </w:tc>
        <w:tc>
          <w:tcPr>
            <w:tcW w:type="dxa" w:w="4561"/>
            <w:shd w:val="clear" w:color="auto" w:fill="EBF3FB"/>
          </w:tcPr>
          <w:p>
            <w:pPr>
              <w:spacing w:after="40" w:before="40"/>
            </w:pPr>
            <w:r>
              <w:rPr>
                <w:sz w:val="20"/>
              </w:rPr>
              <w:t>Dashboard validates scenario data or extracts file features (first 100 rows sampled; 40+ statistical features computed).</w:t>
            </w:r>
          </w:p>
        </w:tc>
      </w:tr>
      <w:tr>
        <w:tc>
          <w:tcPr>
            <w:tcW w:type="dxa" w:w="4561"/>
          </w:tcPr>
          <w:p>
            <w:pPr>
              <w:spacing w:after="40" w:before="40"/>
            </w:pPr>
            <w:r>
              <w:rPr>
                <w:b/>
                <w:sz w:val="20"/>
              </w:rPr>
              <w:t>Step 3</w:t>
            </w:r>
          </w:p>
        </w:tc>
        <w:tc>
          <w:tcPr>
            <w:tcW w:type="dxa" w:w="4561"/>
          </w:tcPr>
          <w:p>
            <w:pPr>
              <w:spacing w:after="40" w:before="40"/>
            </w:pPr>
            <w:r>
              <w:rPr>
                <w:sz w:val="20"/>
              </w:rPr>
              <w:t>User sets budget and downtime constraints via sidebar sliders.</w:t>
            </w:r>
          </w:p>
        </w:tc>
      </w:tr>
      <w:tr>
        <w:tc>
          <w:tcPr>
            <w:tcW w:type="dxa" w:w="4561"/>
            <w:shd w:val="clear" w:color="auto" w:fill="EBF3FB"/>
          </w:tcPr>
          <w:p>
            <w:pPr>
              <w:spacing w:after="40" w:before="40"/>
            </w:pPr>
            <w:r>
              <w:rPr>
                <w:b/>
                <w:sz w:val="20"/>
              </w:rPr>
              <w:t>Step 4</w:t>
            </w:r>
          </w:p>
        </w:tc>
        <w:tc>
          <w:tcPr>
            <w:tcW w:type="dxa" w:w="4561"/>
            <w:shd w:val="clear" w:color="auto" w:fill="EBF3FB"/>
          </w:tcPr>
          <w:p>
            <w:pPr>
              <w:spacing w:after="40" w:before="40"/>
            </w:pPr>
            <w:r>
              <w:rPr>
                <w:sz w:val="20"/>
              </w:rPr>
              <w:t>User clicks 'Run Cybersecurity Simulation'. Dashboard constructs the JSON payload and sends an HTTP POST to n8n (localhost:5678/webhook/tippss-assessment).</w:t>
            </w:r>
          </w:p>
        </w:tc>
      </w:tr>
      <w:tr>
        <w:tc>
          <w:tcPr>
            <w:tcW w:type="dxa" w:w="4561"/>
          </w:tcPr>
          <w:p>
            <w:pPr>
              <w:spacing w:after="40" w:before="40"/>
            </w:pPr>
            <w:r>
              <w:rPr>
                <w:b/>
                <w:sz w:val="20"/>
              </w:rPr>
              <w:t>Step 5</w:t>
            </w:r>
          </w:p>
        </w:tc>
        <w:tc>
          <w:tcPr>
            <w:tcW w:type="dxa" w:w="4561"/>
          </w:tcPr>
          <w:p>
            <w:pPr>
              <w:spacing w:after="40" w:before="40"/>
            </w:pPr>
            <w:r>
              <w:rPr>
                <w:sz w:val="20"/>
              </w:rPr>
              <w:t>Agent 1 validates the payload schema. Agents 2–7 run sequentially, each appending findings to a shared findings array.</w:t>
            </w:r>
          </w:p>
        </w:tc>
      </w:tr>
      <w:tr>
        <w:tc>
          <w:tcPr>
            <w:tcW w:type="dxa" w:w="4561"/>
            <w:shd w:val="clear" w:color="auto" w:fill="EBF3FB"/>
          </w:tcPr>
          <w:p>
            <w:pPr>
              <w:spacing w:after="40" w:before="40"/>
            </w:pPr>
            <w:r>
              <w:rPr>
                <w:b/>
                <w:sz w:val="20"/>
              </w:rPr>
              <w:t>Step 6</w:t>
            </w:r>
          </w:p>
        </w:tc>
        <w:tc>
          <w:tcPr>
            <w:tcW w:type="dxa" w:w="4561"/>
            <w:shd w:val="clear" w:color="auto" w:fill="EBF3FB"/>
          </w:tcPr>
          <w:p>
            <w:pPr>
              <w:spacing w:after="40" w:before="40"/>
            </w:pPr>
            <w:r>
              <w:rPr>
                <w:sz w:val="20"/>
              </w:rPr>
              <w:t>Agent 8 maps all findings to TIPPSS pillars and computes the composite PQ Risk Score and verdict.</w:t>
            </w:r>
          </w:p>
        </w:tc>
      </w:tr>
      <w:tr>
        <w:tc>
          <w:tcPr>
            <w:tcW w:type="dxa" w:w="4561"/>
          </w:tcPr>
          <w:p>
            <w:pPr>
              <w:spacing w:after="40" w:before="40"/>
            </w:pPr>
            <w:r>
              <w:rPr>
                <w:b/>
                <w:sz w:val="20"/>
              </w:rPr>
              <w:t>Step 7</w:t>
            </w:r>
          </w:p>
        </w:tc>
        <w:tc>
          <w:tcPr>
            <w:tcW w:type="dxa" w:w="4561"/>
          </w:tcPr>
          <w:p>
            <w:pPr>
              <w:spacing w:after="40" w:before="40"/>
            </w:pPr>
            <w:r>
              <w:rPr>
                <w:sz w:val="20"/>
              </w:rPr>
              <w:t>Agent 9 generates a Claude AI executive report from the top findings.</w:t>
            </w:r>
          </w:p>
        </w:tc>
      </w:tr>
      <w:tr>
        <w:tc>
          <w:tcPr>
            <w:tcW w:type="dxa" w:w="4561"/>
            <w:shd w:val="clear" w:color="auto" w:fill="EBF3FB"/>
          </w:tcPr>
          <w:p>
            <w:pPr>
              <w:spacing w:after="40" w:before="40"/>
            </w:pPr>
            <w:r>
              <w:rPr>
                <w:b/>
                <w:sz w:val="20"/>
              </w:rPr>
              <w:t>Step 8</w:t>
            </w:r>
          </w:p>
        </w:tc>
        <w:tc>
          <w:tcPr>
            <w:tcW w:type="dxa" w:w="4561"/>
            <w:shd w:val="clear" w:color="auto" w:fill="EBF3FB"/>
          </w:tcPr>
          <w:p>
            <w:pPr>
              <w:spacing w:after="40" w:before="40"/>
            </w:pPr>
            <w:r>
              <w:rPr>
                <w:sz w:val="20"/>
              </w:rPr>
              <w:t>Agent 10 (QIRO) converts findings to candidate actions, runs Simulated Annealing, and returns selected/deferred actions with the phased migration roadmap.</w:t>
            </w:r>
          </w:p>
        </w:tc>
      </w:tr>
      <w:tr>
        <w:tc>
          <w:tcPr>
            <w:tcW w:type="dxa" w:w="4561"/>
          </w:tcPr>
          <w:p>
            <w:pPr>
              <w:spacing w:after="40" w:before="40"/>
            </w:pPr>
            <w:r>
              <w:rPr>
                <w:b/>
                <w:sz w:val="20"/>
              </w:rPr>
              <w:t>Step 9</w:t>
            </w:r>
          </w:p>
        </w:tc>
        <w:tc>
          <w:tcPr>
            <w:tcW w:type="dxa" w:w="4561"/>
          </w:tcPr>
          <w:p>
            <w:pPr>
              <w:spacing w:after="40" w:before="40"/>
            </w:pPr>
            <w:r>
              <w:rPr>
                <w:sz w:val="20"/>
              </w:rPr>
              <w:t>n8n returns the complete JSON response to the Streamlit dashboard.</w:t>
            </w:r>
          </w:p>
        </w:tc>
      </w:tr>
      <w:tr>
        <w:tc>
          <w:tcPr>
            <w:tcW w:type="dxa" w:w="4561"/>
            <w:shd w:val="clear" w:color="auto" w:fill="EBF3FB"/>
          </w:tcPr>
          <w:p>
            <w:pPr>
              <w:spacing w:after="40" w:before="40"/>
            </w:pPr>
            <w:r>
              <w:rPr>
                <w:b/>
                <w:sz w:val="20"/>
              </w:rPr>
              <w:t>Step 10</w:t>
            </w:r>
          </w:p>
        </w:tc>
        <w:tc>
          <w:tcPr>
            <w:tcW w:type="dxa" w:w="4561"/>
            <w:shd w:val="clear" w:color="auto" w:fill="EBF3FB"/>
          </w:tcPr>
          <w:p>
            <w:pPr>
              <w:spacing w:after="40" w:before="40"/>
            </w:pPr>
            <w:r>
              <w:rPr>
                <w:sz w:val="20"/>
              </w:rPr>
              <w:t>Dashboard renders the verdict card, PQ risk gauge, TIPPSS spider chart, findings table, and QIRO roadmap. Results are saved to fileuploadoutput/ with a unique timestamp.</w:t>
            </w:r>
          </w:p>
        </w:tc>
      </w:tr>
    </w:tbl>
    <w:p>
      <w:pPr>
        <w:pStyle w:val="Heading1"/>
        <w:jc w:val="left"/>
      </w:pPr>
      <w:r>
        <w:rPr>
          <w:color w:val="1F3864"/>
        </w:rPr>
        <w:t>7. Security Considerations</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vAlign w:val="center"/>
            <w:shd w:val="clear" w:color="auto" w:fill="C00000"/>
          </w:tcPr>
          <w:p>
            <w:pPr>
              <w:spacing w:after="40" w:before="40"/>
            </w:pPr>
            <w:r>
              <w:rPr>
                <w:b/>
                <w:sz w:val="20"/>
              </w:rPr>
              <w:t>Risk</w:t>
            </w:r>
          </w:p>
        </w:tc>
        <w:tc>
          <w:tcPr>
            <w:tcW w:type="dxa" w:w="4561"/>
            <w:vAlign w:val="center"/>
            <w:shd w:val="clear" w:color="auto" w:fill="C00000"/>
          </w:tcPr>
          <w:p>
            <w:pPr>
              <w:spacing w:after="40" w:before="40"/>
            </w:pPr>
            <w:r>
              <w:rPr>
                <w:b/>
                <w:sz w:val="20"/>
              </w:rPr>
              <w:t>Mitigation</w:t>
            </w:r>
          </w:p>
        </w:tc>
      </w:tr>
      <w:tr>
        <w:tc>
          <w:tcPr>
            <w:tcW w:type="dxa" w:w="4561"/>
            <w:vAlign w:val="center"/>
          </w:tcPr>
          <w:p>
            <w:pPr>
              <w:spacing w:after="40" w:before="40"/>
            </w:pPr>
            <w:r>
              <w:rPr>
                <w:b w:val="0"/>
                <w:sz w:val="20"/>
              </w:rPr>
              <w:t>Real patient data in uploaded files</w:t>
            </w:r>
          </w:p>
        </w:tc>
        <w:tc>
          <w:tcPr>
            <w:tcW w:type="dxa" w:w="4561"/>
            <w:vAlign w:val="center"/>
          </w:tcPr>
          <w:p>
            <w:pPr>
              <w:spacing w:after="40" w:before="40"/>
            </w:pPr>
            <w:r>
              <w:rPr>
                <w:b w:val="0"/>
                <w:sz w:val="20"/>
              </w:rPr>
              <w:t>.gitignore blocks *.csv by default; file sampling limits data exposure; Synthea dataset is fully synthetic</w:t>
            </w:r>
          </w:p>
        </w:tc>
      </w:tr>
      <w:tr>
        <w:tc>
          <w:tcPr>
            <w:tcW w:type="dxa" w:w="4561"/>
            <w:vAlign w:val="center"/>
          </w:tcPr>
          <w:p>
            <w:pPr>
              <w:spacing w:after="40" w:before="40"/>
            </w:pPr>
            <w:r>
              <w:rPr>
                <w:b w:val="0"/>
                <w:sz w:val="20"/>
              </w:rPr>
              <w:t>API keys and credentials in environment</w:t>
            </w:r>
          </w:p>
        </w:tc>
        <w:tc>
          <w:tcPr>
            <w:tcW w:type="dxa" w:w="4561"/>
            <w:vAlign w:val="center"/>
          </w:tcPr>
          <w:p>
            <w:pPr>
              <w:spacing w:after="40" w:before="40"/>
            </w:pPr>
            <w:r>
              <w:rPr>
                <w:b w:val="0"/>
                <w:sz w:val="20"/>
              </w:rPr>
              <w:t>n8n credentials stored in Docker volume, not committed to version control; .env files git-ignored</w:t>
            </w:r>
          </w:p>
        </w:tc>
      </w:tr>
      <w:tr>
        <w:tc>
          <w:tcPr>
            <w:tcW w:type="dxa" w:w="4561"/>
            <w:vAlign w:val="center"/>
          </w:tcPr>
          <w:p>
            <w:pPr>
              <w:spacing w:after="40" w:before="40"/>
            </w:pPr>
            <w:r>
              <w:rPr>
                <w:b w:val="0"/>
                <w:sz w:val="20"/>
              </w:rPr>
              <w:t>n8n webhook network exposure</w:t>
            </w:r>
          </w:p>
        </w:tc>
        <w:tc>
          <w:tcPr>
            <w:tcW w:type="dxa" w:w="4561"/>
            <w:vAlign w:val="center"/>
          </w:tcPr>
          <w:p>
            <w:pPr>
              <w:spacing w:after="40" w:before="40"/>
            </w:pPr>
            <w:r>
              <w:rPr>
                <w:b w:val="0"/>
                <w:sz w:val="20"/>
              </w:rPr>
              <w:t>Runs on localhost only; Docker port binding not exposed to external network by default</w:t>
            </w:r>
          </w:p>
        </w:tc>
      </w:tr>
      <w:tr>
        <w:tc>
          <w:tcPr>
            <w:tcW w:type="dxa" w:w="4561"/>
            <w:vAlign w:val="center"/>
          </w:tcPr>
          <w:p>
            <w:pPr>
              <w:spacing w:after="40" w:before="40"/>
            </w:pPr>
            <w:r>
              <w:rPr>
                <w:b w:val="0"/>
                <w:sz w:val="20"/>
              </w:rPr>
              <w:t>Prompt injection in AI assistant logs</w:t>
            </w:r>
          </w:p>
        </w:tc>
        <w:tc>
          <w:tcPr>
            <w:tcW w:type="dxa" w:w="4561"/>
            <w:vAlign w:val="center"/>
          </w:tcPr>
          <w:p>
            <w:pPr>
              <w:spacing w:after="40" w:before="40"/>
            </w:pPr>
            <w:r>
              <w:rPr>
                <w:b w:val="0"/>
                <w:sz w:val="20"/>
              </w:rPr>
              <w:t>Agent 5 detects and flags injection attempts; Claude API receives sanitised finding summaries, not raw prompts</w:t>
            </w:r>
          </w:p>
        </w:tc>
      </w:tr>
      <w:tr>
        <w:tc>
          <w:tcPr>
            <w:tcW w:type="dxa" w:w="4561"/>
            <w:vAlign w:val="center"/>
          </w:tcPr>
          <w:p>
            <w:pPr>
              <w:spacing w:after="40" w:before="40"/>
            </w:pPr>
            <w:r>
              <w:rPr>
                <w:b w:val="0"/>
                <w:sz w:val="20"/>
              </w:rPr>
              <w:t>Large file upload memory consumption</w:t>
            </w:r>
          </w:p>
        </w:tc>
        <w:tc>
          <w:tcPr>
            <w:tcW w:type="dxa" w:w="4561"/>
            <w:vAlign w:val="center"/>
          </w:tcPr>
          <w:p>
            <w:pPr>
              <w:spacing w:after="40" w:before="40"/>
            </w:pPr>
            <w:r>
              <w:rPr>
                <w:b w:val="0"/>
                <w:sz w:val="20"/>
              </w:rPr>
              <w:t>Streamlit enforces file size limits; only first 100 rows processed via pandas head()</w:t>
            </w:r>
          </w:p>
        </w:tc>
      </w:tr>
      <w:tr>
        <w:tc>
          <w:tcPr>
            <w:tcW w:type="dxa" w:w="4561"/>
            <w:vAlign w:val="center"/>
          </w:tcPr>
          <w:p>
            <w:pPr>
              <w:spacing w:after="40" w:before="40"/>
            </w:pPr>
            <w:r>
              <w:rPr>
                <w:b w:val="0"/>
                <w:sz w:val="20"/>
              </w:rPr>
              <w:t>Stale results from previous scenarios</w:t>
            </w:r>
          </w:p>
        </w:tc>
        <w:tc>
          <w:tcPr>
            <w:tcW w:type="dxa" w:w="4561"/>
            <w:vAlign w:val="center"/>
          </w:tcPr>
          <w:p>
            <w:pPr>
              <w:spacing w:after="40" w:before="40"/>
            </w:pPr>
            <w:r>
              <w:rPr>
                <w:b w:val="0"/>
                <w:sz w:val="20"/>
              </w:rPr>
              <w:t>Session state cleared immediately on scenario change; constraint signature tracked to warn of unsynchronised results</w:t>
            </w:r>
          </w:p>
        </w:tc>
      </w:tr>
    </w:tbl>
    <w:p>
      <w:pPr>
        <w:pStyle w:val="Heading1"/>
        <w:jc w:val="left"/>
      </w:pPr>
      <w:r>
        <w:rPr>
          <w:color w:val="1F3864"/>
        </w:rPr>
        <w:t>8. Deployment Requirements and Startup</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vAlign w:val="center"/>
            <w:shd w:val="clear" w:color="auto" w:fill="2E75B6"/>
          </w:tcPr>
          <w:p>
            <w:pPr>
              <w:spacing w:after="40" w:before="40"/>
            </w:pPr>
            <w:r>
              <w:rPr>
                <w:b/>
                <w:sz w:val="20"/>
              </w:rPr>
              <w:t>Component</w:t>
            </w:r>
          </w:p>
        </w:tc>
        <w:tc>
          <w:tcPr>
            <w:tcW w:type="dxa" w:w="3041"/>
            <w:vAlign w:val="center"/>
            <w:shd w:val="clear" w:color="auto" w:fill="2E75B6"/>
          </w:tcPr>
          <w:p>
            <w:pPr>
              <w:spacing w:after="40" w:before="40"/>
            </w:pPr>
            <w:r>
              <w:rPr>
                <w:b/>
                <w:sz w:val="20"/>
              </w:rPr>
              <w:t>Version</w:t>
            </w:r>
          </w:p>
        </w:tc>
        <w:tc>
          <w:tcPr>
            <w:tcW w:type="dxa" w:w="3041"/>
            <w:vAlign w:val="center"/>
            <w:shd w:val="clear" w:color="auto" w:fill="2E75B6"/>
          </w:tcPr>
          <w:p>
            <w:pPr>
              <w:spacing w:after="40" w:before="40"/>
            </w:pPr>
            <w:r>
              <w:rPr>
                <w:b/>
                <w:sz w:val="20"/>
              </w:rPr>
              <w:t>Purpose</w:t>
            </w:r>
          </w:p>
        </w:tc>
      </w:tr>
      <w:tr>
        <w:tc>
          <w:tcPr>
            <w:tcW w:type="dxa" w:w="3041"/>
            <w:vAlign w:val="center"/>
          </w:tcPr>
          <w:p>
            <w:pPr>
              <w:spacing w:after="40" w:before="40"/>
            </w:pPr>
            <w:r>
              <w:rPr>
                <w:b w:val="0"/>
                <w:sz w:val="20"/>
              </w:rPr>
              <w:t>Python</w:t>
            </w:r>
          </w:p>
        </w:tc>
        <w:tc>
          <w:tcPr>
            <w:tcW w:type="dxa" w:w="3041"/>
            <w:vAlign w:val="center"/>
          </w:tcPr>
          <w:p>
            <w:pPr>
              <w:spacing w:after="40" w:before="40"/>
            </w:pPr>
            <w:r>
              <w:rPr>
                <w:b w:val="0"/>
                <w:sz w:val="20"/>
              </w:rPr>
              <w:t>3.10+</w:t>
            </w:r>
          </w:p>
        </w:tc>
        <w:tc>
          <w:tcPr>
            <w:tcW w:type="dxa" w:w="3041"/>
            <w:vAlign w:val="center"/>
          </w:tcPr>
          <w:p>
            <w:pPr>
              <w:spacing w:after="40" w:before="40"/>
            </w:pPr>
            <w:r>
              <w:rPr>
                <w:b w:val="0"/>
                <w:sz w:val="20"/>
              </w:rPr>
              <w:t>Dashboard runtime (Streamlit, pandas, plotly, requests)</w:t>
            </w:r>
          </w:p>
        </w:tc>
      </w:tr>
      <w:tr>
        <w:tc>
          <w:tcPr>
            <w:tcW w:type="dxa" w:w="3041"/>
            <w:vAlign w:val="center"/>
          </w:tcPr>
          <w:p>
            <w:pPr>
              <w:spacing w:after="40" w:before="40"/>
            </w:pPr>
            <w:r>
              <w:rPr>
                <w:b w:val="0"/>
                <w:sz w:val="20"/>
              </w:rPr>
              <w:t>Docker Desktop</w:t>
            </w:r>
          </w:p>
        </w:tc>
        <w:tc>
          <w:tcPr>
            <w:tcW w:type="dxa" w:w="3041"/>
            <w:vAlign w:val="center"/>
          </w:tcPr>
          <w:p>
            <w:pPr>
              <w:spacing w:after="40" w:before="40"/>
            </w:pPr>
            <w:r>
              <w:rPr>
                <w:b w:val="0"/>
                <w:sz w:val="20"/>
              </w:rPr>
              <w:t>Latest</w:t>
            </w:r>
          </w:p>
        </w:tc>
        <w:tc>
          <w:tcPr>
            <w:tcW w:type="dxa" w:w="3041"/>
            <w:vAlign w:val="center"/>
          </w:tcPr>
          <w:p>
            <w:pPr>
              <w:spacing w:after="40" w:before="40"/>
            </w:pPr>
            <w:r>
              <w:rPr>
                <w:b w:val="0"/>
                <w:sz w:val="20"/>
              </w:rPr>
              <w:t>Container runtime for n8n workflow engine</w:t>
            </w:r>
          </w:p>
        </w:tc>
      </w:tr>
      <w:tr>
        <w:tc>
          <w:tcPr>
            <w:tcW w:type="dxa" w:w="3041"/>
            <w:vAlign w:val="center"/>
          </w:tcPr>
          <w:p>
            <w:pPr>
              <w:spacing w:after="40" w:before="40"/>
            </w:pPr>
            <w:r>
              <w:rPr>
                <w:b w:val="0"/>
                <w:sz w:val="20"/>
              </w:rPr>
              <w:t>n8n</w:t>
            </w:r>
          </w:p>
        </w:tc>
        <w:tc>
          <w:tcPr>
            <w:tcW w:type="dxa" w:w="3041"/>
            <w:vAlign w:val="center"/>
          </w:tcPr>
          <w:p>
            <w:pPr>
              <w:spacing w:after="40" w:before="40"/>
            </w:pPr>
            <w:r>
              <w:rPr>
                <w:b w:val="0"/>
                <w:sz w:val="20"/>
              </w:rPr>
              <w:t>1.x</w:t>
            </w:r>
          </w:p>
        </w:tc>
        <w:tc>
          <w:tcPr>
            <w:tcW w:type="dxa" w:w="3041"/>
            <w:vAlign w:val="center"/>
          </w:tcPr>
          <w:p>
            <w:pPr>
              <w:spacing w:after="40" w:before="40"/>
            </w:pPr>
            <w:r>
              <w:rPr>
                <w:b w:val="0"/>
                <w:sz w:val="20"/>
              </w:rPr>
              <w:t>10-agent workflow orchestration engine</w:t>
            </w:r>
          </w:p>
        </w:tc>
      </w:tr>
      <w:tr>
        <w:tc>
          <w:tcPr>
            <w:tcW w:type="dxa" w:w="3041"/>
            <w:vAlign w:val="center"/>
          </w:tcPr>
          <w:p>
            <w:pPr>
              <w:spacing w:after="40" w:before="40"/>
            </w:pPr>
            <w:r>
              <w:rPr>
                <w:b w:val="0"/>
                <w:sz w:val="20"/>
              </w:rPr>
              <w:t>Streamlit</w:t>
            </w:r>
          </w:p>
        </w:tc>
        <w:tc>
          <w:tcPr>
            <w:tcW w:type="dxa" w:w="3041"/>
            <w:vAlign w:val="center"/>
          </w:tcPr>
          <w:p>
            <w:pPr>
              <w:spacing w:after="40" w:before="40"/>
            </w:pPr>
            <w:r>
              <w:rPr>
                <w:b w:val="0"/>
                <w:sz w:val="20"/>
              </w:rPr>
              <w:t>1.35+</w:t>
            </w:r>
          </w:p>
        </w:tc>
        <w:tc>
          <w:tcPr>
            <w:tcW w:type="dxa" w:w="3041"/>
            <w:vAlign w:val="center"/>
          </w:tcPr>
          <w:p>
            <w:pPr>
              <w:spacing w:after="40" w:before="40"/>
            </w:pPr>
            <w:r>
              <w:rPr>
                <w:b w:val="0"/>
                <w:sz w:val="20"/>
              </w:rPr>
              <w:t>Web dashboard framework</w:t>
            </w:r>
          </w:p>
        </w:tc>
      </w:tr>
      <w:tr>
        <w:tc>
          <w:tcPr>
            <w:tcW w:type="dxa" w:w="3041"/>
            <w:vAlign w:val="center"/>
          </w:tcPr>
          <w:p>
            <w:pPr>
              <w:spacing w:after="40" w:before="40"/>
            </w:pPr>
            <w:r>
              <w:rPr>
                <w:b w:val="0"/>
                <w:sz w:val="20"/>
              </w:rPr>
              <w:t>RAM</w:t>
            </w:r>
          </w:p>
        </w:tc>
        <w:tc>
          <w:tcPr>
            <w:tcW w:type="dxa" w:w="3041"/>
            <w:vAlign w:val="center"/>
          </w:tcPr>
          <w:p>
            <w:pPr>
              <w:spacing w:after="40" w:before="40"/>
            </w:pPr>
            <w:r>
              <w:rPr>
                <w:b w:val="0"/>
                <w:sz w:val="20"/>
              </w:rPr>
              <w:t>8 GB rec.</w:t>
            </w:r>
          </w:p>
        </w:tc>
        <w:tc>
          <w:tcPr>
            <w:tcW w:type="dxa" w:w="3041"/>
            <w:vAlign w:val="center"/>
          </w:tcPr>
          <w:p>
            <w:pPr>
              <w:spacing w:after="40" w:before="40"/>
            </w:pPr>
            <w:r>
              <w:rPr>
                <w:b w:val="0"/>
                <w:sz w:val="20"/>
              </w:rPr>
              <w:t>Sufficient for large CICIoMT2024 file processing</w:t>
            </w:r>
          </w:p>
        </w:tc>
      </w:tr>
      <w:tr>
        <w:tc>
          <w:tcPr>
            <w:tcW w:type="dxa" w:w="3041"/>
            <w:vAlign w:val="center"/>
          </w:tcPr>
          <w:p>
            <w:pPr>
              <w:spacing w:after="40" w:before="40"/>
            </w:pPr>
            <w:r>
              <w:rPr>
                <w:b w:val="0"/>
                <w:sz w:val="20"/>
              </w:rPr>
              <w:t>Ports</w:t>
            </w:r>
          </w:p>
        </w:tc>
        <w:tc>
          <w:tcPr>
            <w:tcW w:type="dxa" w:w="3041"/>
            <w:vAlign w:val="center"/>
          </w:tcPr>
          <w:p>
            <w:pPr>
              <w:spacing w:after="40" w:before="40"/>
            </w:pPr>
            <w:r>
              <w:rPr>
                <w:b w:val="0"/>
                <w:sz w:val="20"/>
              </w:rPr>
              <w:t>8501, 5678</w:t>
            </w:r>
          </w:p>
        </w:tc>
        <w:tc>
          <w:tcPr>
            <w:tcW w:type="dxa" w:w="3041"/>
            <w:vAlign w:val="center"/>
          </w:tcPr>
          <w:p>
            <w:pPr>
              <w:spacing w:after="40" w:before="40"/>
            </w:pPr>
            <w:r>
              <w:rPr>
                <w:b w:val="0"/>
                <w:sz w:val="20"/>
              </w:rPr>
              <w:t>Streamlit dashboard and n8n webhook</w:t>
            </w:r>
          </w:p>
        </w:tc>
      </w:tr>
    </w:tbl>
    <w:p>
      <w:pPr>
        <w:pStyle w:val="Heading2"/>
        <w:jc w:val="left"/>
      </w:pPr>
      <w:r>
        <w:rPr>
          <w:color w:val="1F3864"/>
        </w:rPr>
        <w:t>8.1 Startup Sequence</w:t>
      </w:r>
    </w:p>
    <w:p>
      <w:pPr>
        <w:pStyle w:val="ListNumber"/>
        <w:spacing w:after="80"/>
      </w:pPr>
      <w:r>
        <w:rPr>
          <w:rFonts w:ascii="Courier New" w:hAnsi="Courier New"/>
          <w:sz w:val="20"/>
        </w:rPr>
        <w:t>Start n8n:   docker run -it --rm --name n8n -p 5678:5678 n8nio/n8n</w:t>
      </w:r>
    </w:p>
    <w:p>
      <w:pPr>
        <w:pStyle w:val="ListNumber"/>
        <w:spacing w:after="80"/>
      </w:pPr>
      <w:r>
        <w:rPr>
          <w:rFonts w:ascii="Courier New" w:hAnsi="Courier New"/>
          <w:sz w:val="20"/>
        </w:rPr>
        <w:t>Import workflow:  Open localhost:5678 → Import → select 01_n8n_file/TIPPSS_SafeGuard_PQ_Sequential_v3.json → Activate</w:t>
      </w:r>
    </w:p>
    <w:p>
      <w:pPr>
        <w:pStyle w:val="ListNumber"/>
        <w:spacing w:after="80"/>
      </w:pPr>
      <w:r>
        <w:rPr>
          <w:rFonts w:ascii="Courier New" w:hAnsi="Courier New"/>
          <w:sz w:val="20"/>
        </w:rPr>
        <w:t>Start dashboard (Windows):  run.bat   |   macOS/Linux:  ./run.sh</w:t>
      </w:r>
    </w:p>
    <w:p>
      <w:pPr>
        <w:pStyle w:val="ListNumber"/>
        <w:spacing w:after="80"/>
      </w:pPr>
      <w:r>
        <w:rPr>
          <w:rFonts w:ascii="Courier New" w:hAnsi="Courier New"/>
          <w:sz w:val="20"/>
        </w:rPr>
        <w:t>Open browser:  http://localhost:8501</w:t>
      </w:r>
    </w:p>
    <w:p>
      <w:pPr>
        <w:pStyle w:val="Heading1"/>
        <w:jc w:val="left"/>
      </w:pPr>
      <w:r>
        <w:rPr>
          <w:color w:val="1F3864"/>
        </w:rPr>
        <w:t>9. Standards Compliance Mapping</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vAlign w:val="center"/>
            <w:shd w:val="clear" w:color="auto" w:fill="1F3864"/>
          </w:tcPr>
          <w:p>
            <w:pPr>
              <w:spacing w:after="40" w:before="40"/>
            </w:pPr>
            <w:r>
              <w:rPr>
                <w:b/>
                <w:sz w:val="20"/>
              </w:rPr>
              <w:t>System Component</w:t>
            </w:r>
          </w:p>
        </w:tc>
        <w:tc>
          <w:tcPr>
            <w:tcW w:type="dxa" w:w="3041"/>
            <w:vAlign w:val="center"/>
            <w:shd w:val="clear" w:color="auto" w:fill="1F3864"/>
          </w:tcPr>
          <w:p>
            <w:pPr>
              <w:spacing w:after="40" w:before="40"/>
            </w:pPr>
            <w:r>
              <w:rPr>
                <w:b/>
                <w:sz w:val="20"/>
              </w:rPr>
              <w:t>Standard</w:t>
            </w:r>
          </w:p>
        </w:tc>
        <w:tc>
          <w:tcPr>
            <w:tcW w:type="dxa" w:w="3041"/>
            <w:vAlign w:val="center"/>
            <w:shd w:val="clear" w:color="auto" w:fill="1F3864"/>
          </w:tcPr>
          <w:p>
            <w:pPr>
              <w:spacing w:after="40" w:before="40"/>
            </w:pPr>
            <w:r>
              <w:rPr>
                <w:b/>
                <w:sz w:val="20"/>
              </w:rPr>
              <w:t>Clause / Reference</w:t>
            </w:r>
          </w:p>
        </w:tc>
      </w:tr>
      <w:tr>
        <w:tc>
          <w:tcPr>
            <w:tcW w:type="dxa" w:w="3041"/>
            <w:vAlign w:val="center"/>
          </w:tcPr>
          <w:p>
            <w:pPr>
              <w:spacing w:after="40" w:before="40"/>
            </w:pPr>
            <w:r>
              <w:rPr>
                <w:b w:val="0"/>
                <w:sz w:val="20"/>
              </w:rPr>
              <w:t>Agent 3 — PQ Benchmark</w:t>
            </w:r>
          </w:p>
        </w:tc>
        <w:tc>
          <w:tcPr>
            <w:tcW w:type="dxa" w:w="3041"/>
            <w:vAlign w:val="center"/>
          </w:tcPr>
          <w:p>
            <w:pPr>
              <w:spacing w:after="40" w:before="40"/>
            </w:pPr>
            <w:r>
              <w:rPr>
                <w:b w:val="0"/>
                <w:sz w:val="20"/>
              </w:rPr>
              <w:t>NIST FIPS 203</w:t>
            </w:r>
          </w:p>
        </w:tc>
        <w:tc>
          <w:tcPr>
            <w:tcW w:type="dxa" w:w="3041"/>
            <w:vAlign w:val="center"/>
          </w:tcPr>
          <w:p>
            <w:pPr>
              <w:spacing w:after="40" w:before="40"/>
            </w:pPr>
            <w:r>
              <w:rPr>
                <w:b w:val="0"/>
                <w:sz w:val="20"/>
              </w:rPr>
              <w:t>ML-KEM key encapsulation mechanism</w:t>
            </w:r>
          </w:p>
        </w:tc>
      </w:tr>
      <w:tr>
        <w:tc>
          <w:tcPr>
            <w:tcW w:type="dxa" w:w="3041"/>
            <w:vAlign w:val="center"/>
          </w:tcPr>
          <w:p>
            <w:pPr>
              <w:spacing w:after="40" w:before="40"/>
            </w:pPr>
            <w:r>
              <w:rPr>
                <w:b w:val="0"/>
                <w:sz w:val="20"/>
              </w:rPr>
              <w:t>Agent 3 — PQ Benchmark</w:t>
            </w:r>
          </w:p>
        </w:tc>
        <w:tc>
          <w:tcPr>
            <w:tcW w:type="dxa" w:w="3041"/>
            <w:vAlign w:val="center"/>
          </w:tcPr>
          <w:p>
            <w:pPr>
              <w:spacing w:after="40" w:before="40"/>
            </w:pPr>
            <w:r>
              <w:rPr>
                <w:b w:val="0"/>
                <w:sz w:val="20"/>
              </w:rPr>
              <w:t>NIST FIPS 204</w:t>
            </w:r>
          </w:p>
        </w:tc>
        <w:tc>
          <w:tcPr>
            <w:tcW w:type="dxa" w:w="3041"/>
            <w:vAlign w:val="center"/>
          </w:tcPr>
          <w:p>
            <w:pPr>
              <w:spacing w:after="40" w:before="40"/>
            </w:pPr>
            <w:r>
              <w:rPr>
                <w:b w:val="0"/>
                <w:sz w:val="20"/>
              </w:rPr>
              <w:t>ML-DSA digital signature algorithm</w:t>
            </w:r>
          </w:p>
        </w:tc>
      </w:tr>
      <w:tr>
        <w:tc>
          <w:tcPr>
            <w:tcW w:type="dxa" w:w="3041"/>
            <w:vAlign w:val="center"/>
          </w:tcPr>
          <w:p>
            <w:pPr>
              <w:spacing w:after="40" w:before="40"/>
            </w:pPr>
            <w:r>
              <w:rPr>
                <w:b w:val="0"/>
                <w:sz w:val="20"/>
              </w:rPr>
              <w:t>Agent 3 — PQ Benchmark</w:t>
            </w:r>
          </w:p>
        </w:tc>
        <w:tc>
          <w:tcPr>
            <w:tcW w:type="dxa" w:w="3041"/>
            <w:vAlign w:val="center"/>
          </w:tcPr>
          <w:p>
            <w:pPr>
              <w:spacing w:after="40" w:before="40"/>
            </w:pPr>
            <w:r>
              <w:rPr>
                <w:b w:val="0"/>
                <w:sz w:val="20"/>
              </w:rPr>
              <w:t>NIST FIPS 205</w:t>
            </w:r>
          </w:p>
        </w:tc>
        <w:tc>
          <w:tcPr>
            <w:tcW w:type="dxa" w:w="3041"/>
            <w:vAlign w:val="center"/>
          </w:tcPr>
          <w:p>
            <w:pPr>
              <w:spacing w:after="40" w:before="40"/>
            </w:pPr>
            <w:r>
              <w:rPr>
                <w:b w:val="0"/>
                <w:sz w:val="20"/>
              </w:rPr>
              <w:t>SLH-DSA stateless hash-based signatures</w:t>
            </w:r>
          </w:p>
        </w:tc>
      </w:tr>
      <w:tr>
        <w:tc>
          <w:tcPr>
            <w:tcW w:type="dxa" w:w="3041"/>
            <w:vAlign w:val="center"/>
          </w:tcPr>
          <w:p>
            <w:pPr>
              <w:spacing w:after="40" w:before="40"/>
            </w:pPr>
            <w:r>
              <w:rPr>
                <w:b w:val="0"/>
                <w:sz w:val="20"/>
              </w:rPr>
              <w:t>Agent 4 — IoT Device Identity</w:t>
            </w:r>
          </w:p>
        </w:tc>
        <w:tc>
          <w:tcPr>
            <w:tcW w:type="dxa" w:w="3041"/>
            <w:vAlign w:val="center"/>
          </w:tcPr>
          <w:p>
            <w:pPr>
              <w:spacing w:after="40" w:before="40"/>
            </w:pPr>
            <w:r>
              <w:rPr>
                <w:b w:val="0"/>
                <w:sz w:val="20"/>
              </w:rPr>
              <w:t>IEEE 2933-2024</w:t>
            </w:r>
          </w:p>
        </w:tc>
        <w:tc>
          <w:tcPr>
            <w:tcW w:type="dxa" w:w="3041"/>
            <w:vAlign w:val="center"/>
          </w:tcPr>
          <w:p>
            <w:pPr>
              <w:spacing w:after="40" w:before="40"/>
            </w:pPr>
            <w:r>
              <w:rPr>
                <w:b w:val="0"/>
                <w:sz w:val="20"/>
              </w:rPr>
              <w:t>Clause 6.2 — Trust and Identity</w:t>
            </w:r>
          </w:p>
        </w:tc>
      </w:tr>
      <w:tr>
        <w:tc>
          <w:tcPr>
            <w:tcW w:type="dxa" w:w="3041"/>
            <w:vAlign w:val="center"/>
          </w:tcPr>
          <w:p>
            <w:pPr>
              <w:spacing w:after="40" w:before="40"/>
            </w:pPr>
            <w:r>
              <w:rPr>
                <w:b w:val="0"/>
                <w:sz w:val="20"/>
              </w:rPr>
              <w:t>Agent 5 — AI Prompt Privacy</w:t>
            </w:r>
          </w:p>
        </w:tc>
        <w:tc>
          <w:tcPr>
            <w:tcW w:type="dxa" w:w="3041"/>
            <w:vAlign w:val="center"/>
          </w:tcPr>
          <w:p>
            <w:pPr>
              <w:spacing w:after="40" w:before="40"/>
            </w:pPr>
            <w:r>
              <w:rPr>
                <w:b w:val="0"/>
                <w:sz w:val="20"/>
              </w:rPr>
              <w:t>IEEE 2933-2024</w:t>
            </w:r>
          </w:p>
        </w:tc>
        <w:tc>
          <w:tcPr>
            <w:tcW w:type="dxa" w:w="3041"/>
            <w:vAlign w:val="center"/>
          </w:tcPr>
          <w:p>
            <w:pPr>
              <w:spacing w:after="40" w:before="40"/>
            </w:pPr>
            <w:r>
              <w:rPr>
                <w:b w:val="0"/>
                <w:sz w:val="20"/>
              </w:rPr>
              <w:t>Clause 6.3 — Privacy</w:t>
            </w:r>
          </w:p>
        </w:tc>
      </w:tr>
      <w:tr>
        <w:tc>
          <w:tcPr>
            <w:tcW w:type="dxa" w:w="3041"/>
            <w:vAlign w:val="center"/>
          </w:tcPr>
          <w:p>
            <w:pPr>
              <w:spacing w:after="40" w:before="40"/>
            </w:pPr>
            <w:r>
              <w:rPr>
                <w:b w:val="0"/>
                <w:sz w:val="20"/>
              </w:rPr>
              <w:t>Agent 5 — PHI Detection</w:t>
            </w:r>
          </w:p>
        </w:tc>
        <w:tc>
          <w:tcPr>
            <w:tcW w:type="dxa" w:w="3041"/>
            <w:vAlign w:val="center"/>
          </w:tcPr>
          <w:p>
            <w:pPr>
              <w:spacing w:after="40" w:before="40"/>
            </w:pPr>
            <w:r>
              <w:rPr>
                <w:b w:val="0"/>
                <w:sz w:val="20"/>
              </w:rPr>
              <w:t>HIPAA 45 CFR §164.514</w:t>
            </w:r>
          </w:p>
        </w:tc>
        <w:tc>
          <w:tcPr>
            <w:tcW w:type="dxa" w:w="3041"/>
            <w:vAlign w:val="center"/>
          </w:tcPr>
          <w:p>
            <w:pPr>
              <w:spacing w:after="40" w:before="40"/>
            </w:pPr>
            <w:r>
              <w:rPr>
                <w:b w:val="0"/>
                <w:sz w:val="20"/>
              </w:rPr>
              <w:t>Minimum necessary standard for AI inputs</w:t>
            </w:r>
          </w:p>
        </w:tc>
      </w:tr>
      <w:tr>
        <w:tc>
          <w:tcPr>
            <w:tcW w:type="dxa" w:w="3041"/>
            <w:vAlign w:val="center"/>
          </w:tcPr>
          <w:p>
            <w:pPr>
              <w:spacing w:after="40" w:before="40"/>
            </w:pPr>
            <w:r>
              <w:rPr>
                <w:b w:val="0"/>
                <w:sz w:val="20"/>
              </w:rPr>
              <w:t>Agent 7 — Safety Risk</w:t>
            </w:r>
          </w:p>
        </w:tc>
        <w:tc>
          <w:tcPr>
            <w:tcW w:type="dxa" w:w="3041"/>
            <w:vAlign w:val="center"/>
          </w:tcPr>
          <w:p>
            <w:pPr>
              <w:spacing w:after="40" w:before="40"/>
            </w:pPr>
            <w:r>
              <w:rPr>
                <w:b w:val="0"/>
                <w:sz w:val="20"/>
              </w:rPr>
              <w:t>IEEE 2933-2024</w:t>
            </w:r>
          </w:p>
        </w:tc>
        <w:tc>
          <w:tcPr>
            <w:tcW w:type="dxa" w:w="3041"/>
            <w:vAlign w:val="center"/>
          </w:tcPr>
          <w:p>
            <w:pPr>
              <w:spacing w:after="40" w:before="40"/>
            </w:pPr>
            <w:r>
              <w:rPr>
                <w:b w:val="0"/>
                <w:sz w:val="20"/>
              </w:rPr>
              <w:t>Clause 6.5 — Safety</w:t>
            </w:r>
          </w:p>
        </w:tc>
      </w:tr>
      <w:tr>
        <w:tc>
          <w:tcPr>
            <w:tcW w:type="dxa" w:w="3041"/>
            <w:vAlign w:val="center"/>
          </w:tcPr>
          <w:p>
            <w:pPr>
              <w:spacing w:after="40" w:before="40"/>
            </w:pPr>
            <w:r>
              <w:rPr>
                <w:b w:val="0"/>
                <w:sz w:val="20"/>
              </w:rPr>
              <w:t>Agent 8 — TIPPSS Scorer</w:t>
            </w:r>
          </w:p>
        </w:tc>
        <w:tc>
          <w:tcPr>
            <w:tcW w:type="dxa" w:w="3041"/>
            <w:vAlign w:val="center"/>
          </w:tcPr>
          <w:p>
            <w:pPr>
              <w:spacing w:after="40" w:before="40"/>
            </w:pPr>
            <w:r>
              <w:rPr>
                <w:b w:val="0"/>
                <w:sz w:val="20"/>
              </w:rPr>
              <w:t>IEEE 2933-2024</w:t>
            </w:r>
          </w:p>
        </w:tc>
        <w:tc>
          <w:tcPr>
            <w:tcW w:type="dxa" w:w="3041"/>
            <w:vAlign w:val="center"/>
          </w:tcPr>
          <w:p>
            <w:pPr>
              <w:spacing w:after="40" w:before="40"/>
            </w:pPr>
            <w:r>
              <w:rPr>
                <w:b w:val="0"/>
                <w:sz w:val="20"/>
              </w:rPr>
              <w:t>Clauses 6.1–6.6 — All six pillars</w:t>
            </w:r>
          </w:p>
        </w:tc>
      </w:tr>
      <w:tr>
        <w:tc>
          <w:tcPr>
            <w:tcW w:type="dxa" w:w="3041"/>
            <w:vAlign w:val="center"/>
          </w:tcPr>
          <w:p>
            <w:pPr>
              <w:spacing w:after="40" w:before="40"/>
            </w:pPr>
            <w:r>
              <w:rPr>
                <w:b w:val="0"/>
                <w:sz w:val="20"/>
              </w:rPr>
              <w:t>QIRO Algorithm</w:t>
            </w:r>
          </w:p>
        </w:tc>
        <w:tc>
          <w:tcPr>
            <w:tcW w:type="dxa" w:w="3041"/>
            <w:vAlign w:val="center"/>
          </w:tcPr>
          <w:p>
            <w:pPr>
              <w:spacing w:after="40" w:before="40"/>
            </w:pPr>
            <w:r>
              <w:rPr>
                <w:b w:val="0"/>
                <w:sz w:val="20"/>
              </w:rPr>
              <w:t>Kirkpatrick et al. 1983</w:t>
            </w:r>
          </w:p>
        </w:tc>
        <w:tc>
          <w:tcPr>
            <w:tcW w:type="dxa" w:w="3041"/>
            <w:vAlign w:val="center"/>
          </w:tcPr>
          <w:p>
            <w:pPr>
              <w:spacing w:after="40" w:before="40"/>
            </w:pPr>
            <w:r>
              <w:rPr>
                <w:b w:val="0"/>
                <w:sz w:val="20"/>
              </w:rPr>
              <w:t>Simulated Annealing with geometric cooling</w:t>
            </w:r>
          </w:p>
        </w:tc>
      </w:tr>
      <w:tr>
        <w:tc>
          <w:tcPr>
            <w:tcW w:type="dxa" w:w="3041"/>
            <w:vAlign w:val="center"/>
          </w:tcPr>
          <w:p>
            <w:pPr>
              <w:spacing w:after="40" w:before="40"/>
            </w:pPr>
            <w:r>
              <w:rPr>
                <w:b w:val="0"/>
                <w:sz w:val="20"/>
              </w:rPr>
              <w:t>QIRO Formulation</w:t>
            </w:r>
          </w:p>
        </w:tc>
        <w:tc>
          <w:tcPr>
            <w:tcW w:type="dxa" w:w="3041"/>
            <w:vAlign w:val="center"/>
          </w:tcPr>
          <w:p>
            <w:pPr>
              <w:spacing w:after="40" w:before="40"/>
            </w:pPr>
            <w:r>
              <w:rPr>
                <w:b w:val="0"/>
                <w:sz w:val="20"/>
              </w:rPr>
              <w:t>QUBO / Ising model</w:t>
            </w:r>
          </w:p>
        </w:tc>
        <w:tc>
          <w:tcPr>
            <w:tcW w:type="dxa" w:w="3041"/>
            <w:vAlign w:val="center"/>
          </w:tcPr>
          <w:p>
            <w:pPr>
              <w:spacing w:after="40" w:before="40"/>
            </w:pPr>
            <w:r>
              <w:rPr>
                <w:b w:val="0"/>
                <w:sz w:val="20"/>
              </w:rPr>
              <w:t>Binary quadratic optimisation; NP-hard variant</w:t>
            </w:r>
          </w:p>
        </w:tc>
      </w:tr>
    </w:tbl>
    <w:p/>
    <w:p>
      <w:pPr>
        <w:jc w:val="center"/>
      </w:pPr>
      <w:r>
        <w:rPr>
          <w:i/>
          <w:color w:val="7F7F7F"/>
          <w:sz w:val="18"/>
        </w:rPr>
        <w:t>Technical Reference v3.0  ·  https://github.com/pavangemmanjunath-cell/QuantumShift_TIPPSS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