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6G Agentic AI Core Network</w:t>
      </w:r>
    </w:p>
    <w:p>
      <w:pPr>
        <w:spacing w:after="360"/>
      </w:pPr>
      <w:r>
        <w:rPr>
          <w:color w:val="176B87"/>
          <w:sz w:val="32"/>
        </w:rPr>
        <w:t>Project Report</w:t>
      </w:r>
    </w:p>
    <w:p>
      <w:pPr>
        <w:spacing w:after="360"/>
      </w:pPr>
      <w:r>
        <w:t>A technical overview of the multi-agent network services, security model, MCP interface, persistence layer, and operations dashboard.</w:t>
      </w:r>
    </w:p>
    <w:p>
      <w:r>
        <w:rPr>
          <w:color w:val="647481"/>
          <w:sz w:val="18"/>
        </w:rPr>
        <w:t>Prepared from the repository source and README  |  2 October 2026</w:t>
      </w:r>
    </w:p>
    <w:p>
      <w:pPr>
        <w:pStyle w:val="Heading1"/>
      </w:pPr>
      <w:r>
        <w:t>Executive summary</w:t>
      </w:r>
    </w:p>
    <w:p>
      <w:r>
        <w:t>This project is a local demonstration platform for coordinating 6G-inspired core-network services and industrial equipment through AI-capable agents. Its backend consists of independently hosted FastAPI services that publish agent cards, discover each other by skill, and exchange JSON-RPC-shaped messages over HTTP using the A2A client. MongoDB provides persistent subscriber, session, registry, and security records; Keycloak supplies OAuth 2.0 tokens and token introspection. A FastMCP gateway exposes network operations to MCP-compatible clients, while a browser chat service can use an optional OpenAI-compatible model to plan tool calls. A React dashboard presents a factory operations view.</w:t>
      </w:r>
    </w:p>
    <w:p>
      <w:pPr>
        <w:spacing w:before="80" w:after="160"/>
        <w:ind w:left="202"/>
      </w:pPr>
      <w:r>
        <w:rPr>
          <w:b/>
          <w:color w:val="176B87"/>
        </w:rPr>
        <w:t xml:space="preserve">Assessment  </w:t>
      </w:r>
      <w:r>
        <w:t>The repository combines a substantive agent-service backend with a polished factory-oriented interface. The UI includes seeded example state and a mock fallback path, so its visual telemetry should not be read as live production measurements without checking the active backend integration.</w:t>
      </w:r>
    </w:p>
    <w:p>
      <w:pPr>
        <w:pStyle w:val="Heading2"/>
      </w:pPr>
      <w:r>
        <w:t>Report scope and evidence</w:t>
      </w:r>
    </w:p>
    <w:p>
      <w:r>
        <w:t>This report summarizes the checked-in README and implementation under 6g_agentic_ai/. It describes the architecture and behavior visible in source. It does not assert measured throughput, deployment readiness, or standards compliance beyond what the repository demonstrates.</w:t>
      </w:r>
    </w:p>
    <w:p>
      <w:pPr>
        <w:pStyle w:val="Heading1"/>
      </w:pPr>
      <w:r>
        <w:t>Contents</w:t>
      </w:r>
    </w:p>
    <w:p>
      <w:r>
        <w:t>1. Project purpose and scope</w:t>
      </w:r>
    </w:p>
    <w:p>
      <w:r>
        <w:t>2. Architecture and service inventory</w:t>
      </w:r>
    </w:p>
    <w:p>
      <w:r>
        <w:t>3. Key workflows</w:t>
      </w:r>
    </w:p>
    <w:p>
      <w:r>
        <w:t>4. Data and security design</w:t>
      </w:r>
    </w:p>
    <w:p>
      <w:r>
        <w:t>5. Interfaces and user experience</w:t>
      </w:r>
    </w:p>
    <w:p>
      <w:r>
        <w:t>6. Technology and repository structure</w:t>
      </w:r>
    </w:p>
    <w:p>
      <w:r>
        <w:t>7. Setup and operation</w:t>
      </w:r>
    </w:p>
    <w:p>
      <w:r>
        <w:t>8. Strengths, limitations, and recommendations</w:t>
      </w:r>
    </w:p>
    <w:p>
      <w:r>
        <w:br w:type="page"/>
      </w:r>
    </w:p>
    <w:p>
      <w:pPr>
        <w:pStyle w:val="Heading1"/>
      </w:pPr>
      <w:r>
        <w:t>1. Project purpose and scope</w:t>
      </w:r>
    </w:p>
    <w:p>
      <w:r>
        <w:t>The project explores how agent-oriented services can coordinate common mobile-core functions and industrial robot tasks. Each backend service advertises capabilities in an Agent Card. A registry stores these cards and resolves skills to endpoints, allowing callers to locate a service without hard-coding every peer address.</w:t>
      </w:r>
    </w:p>
    <w:p>
      <w:pPr>
        <w:pStyle w:val="Heading2"/>
      </w:pPr>
      <w:r>
        <w:t>Goals represented in the code</w:t>
      </w:r>
    </w:p>
    <w:p>
      <w:pPr>
        <w:pStyle w:val="ListBullet"/>
      </w:pPr>
      <w:r>
        <w:t>Demonstrate an agent registry with card registration, lookup, and skill-based discovery.</w:t>
      </w:r>
    </w:p>
    <w:p>
      <w:pPr>
        <w:pStyle w:val="ListBullet"/>
      </w:pPr>
      <w:r>
        <w:t>Coordinate subscriber authentication, trust evaluation, profile retrieval, service/QoS requests, and session updates.</w:t>
      </w:r>
    </w:p>
    <w:p>
      <w:pPr>
        <w:pStyle w:val="ListBullet"/>
      </w:pPr>
      <w:r>
        <w:t>Model user equipment (UE) agents that attach, request network services, receive tasks, and exchange peer messages.</w:t>
      </w:r>
    </w:p>
    <w:p>
      <w:pPr>
        <w:pStyle w:val="ListBullet"/>
      </w:pPr>
      <w:r>
        <w:t>Secure service-to-service calls using OAuth client credentials and per-operation scopes.</w:t>
      </w:r>
    </w:p>
    <w:p>
      <w:pPr>
        <w:pStyle w:val="ListBullet"/>
      </w:pPr>
      <w:r>
        <w:t>Expose typed tools, resources, and a diagnostic prompt through an MCP server.</w:t>
      </w:r>
    </w:p>
    <w:p>
      <w:pPr>
        <w:pStyle w:val="ListBullet"/>
      </w:pPr>
      <w:r>
        <w:t>Provide a web chat, robot simulation route, and React dashboard for operator-facing interaction.</w:t>
      </w:r>
    </w:p>
    <w:p>
      <w:pPr>
        <w:pStyle w:val="Heading2"/>
      </w:pPr>
      <w:r>
        <w:t>Scope boundaries</w:t>
      </w:r>
    </w:p>
    <w:p>
      <w:r>
        <w:t>This is a local development/demo stack rather than a complete carrier-grade 6G core. The README calls for locally managed MongoDB and Keycloak and states that no Docker Compose file is included. The code implements 5G/6G-inspired terminology and workflows, but a standards-conformance claim or production performance claim is not established by the repository.</w:t>
      </w:r>
    </w:p>
    <w:p>
      <w:pPr>
        <w:pStyle w:val="Heading1"/>
      </w:pPr>
      <w:r>
        <w:t>2. Architecture and service inventory</w:t>
      </w:r>
    </w:p>
    <w:p>
      <w:r>
        <w:t>The design is a set of small HTTP services with a shared client, models, configuration, and OAuth helpers. Service startup registers Agent Cards with the registry (directly for bootstrap services, or via the notification-to-supervisor path for others). The supervisor uses skill discovery and the shared A2A client to route work.</w:t>
      </w:r>
    </w:p>
    <w:tbl>
      <w:tblPr>
        <w:tblStyle w:val="LightShading-Accent1"/>
        <w:tblW w:type="auto" w:w="0"/>
        <w:jc w:val="center"/>
        <w:tblLook w:firstColumn="1" w:firstRow="1" w:lastColumn="0" w:lastRow="0" w:noHBand="0" w:noVBand="1" w:val="04A0"/>
      </w:tblPr>
      <w:tblGrid>
        <w:gridCol w:w="3331"/>
        <w:gridCol w:w="3331"/>
        <w:gridCol w:w="3331"/>
      </w:tblGrid>
      <w:tr>
        <w:trPr>
          <w:cantSplit/>
        </w:trPr>
        <w:tc>
          <w:tcPr>
            <w:tcW w:type="dxa" w:w="1800"/>
            <w:shd w:fill="123B55"/>
          </w:tcPr>
          <w:p>
            <w:r>
              <w:rPr>
                <w:b/>
                <w:color w:val="FFFFFF"/>
                <w:sz w:val="17"/>
              </w:rPr>
              <w:t>Service</w:t>
            </w:r>
          </w:p>
        </w:tc>
        <w:tc>
          <w:tcPr>
            <w:tcW w:type="dxa" w:w="2232"/>
            <w:shd w:fill="123B55"/>
          </w:tcPr>
          <w:p>
            <w:r>
              <w:rPr>
                <w:b/>
                <w:color w:val="FFFFFF"/>
                <w:sz w:val="17"/>
              </w:rPr>
              <w:t>Module / port</w:t>
            </w:r>
          </w:p>
        </w:tc>
        <w:tc>
          <w:tcPr>
            <w:tcW w:type="dxa" w:w="6408"/>
            <w:shd w:fill="123B55"/>
          </w:tcPr>
          <w:p>
            <w:r>
              <w:rPr>
                <w:b/>
                <w:color w:val="FFFFFF"/>
                <w:sz w:val="17"/>
              </w:rPr>
              <w:t>Primary responsibility</w:t>
            </w:r>
          </w:p>
        </w:tc>
      </w:tr>
      <w:tr>
        <w:trPr>
          <w:cantSplit/>
        </w:trPr>
        <w:tc>
          <w:tcPr>
            <w:tcW w:type="dxa" w:w="1800"/>
            <w:vAlign w:val="center"/>
          </w:tcPr>
          <w:p>
            <w:pPr>
              <w:spacing w:after="40" w:before="40"/>
            </w:pPr>
            <w:r>
              <w:rPr>
                <w:sz w:val="16"/>
              </w:rPr>
              <w:t>Registry</w:t>
            </w:r>
          </w:p>
        </w:tc>
        <w:tc>
          <w:tcPr>
            <w:tcW w:type="dxa" w:w="2232"/>
            <w:vAlign w:val="center"/>
          </w:tcPr>
          <w:p>
            <w:pPr>
              <w:spacing w:after="40" w:before="40"/>
            </w:pPr>
            <w:r>
              <w:rPr>
                <w:sz w:val="16"/>
              </w:rPr>
              <w:t>registry.py / 9001</w:t>
            </w:r>
          </w:p>
        </w:tc>
        <w:tc>
          <w:tcPr>
            <w:tcW w:type="dxa" w:w="6408"/>
            <w:vAlign w:val="center"/>
          </w:tcPr>
          <w:p>
            <w:pPr>
              <w:spacing w:after="40" w:before="40"/>
            </w:pPr>
            <w:r>
              <w:rPr>
                <w:sz w:val="16"/>
              </w:rPr>
              <w:t>Stores Agent Cards; lists agents and finds agents by ID or skill.</w:t>
            </w:r>
          </w:p>
        </w:tc>
      </w:tr>
      <w:tr>
        <w:trPr>
          <w:cantSplit/>
        </w:trPr>
        <w:tc>
          <w:tcPr>
            <w:tcW w:type="dxa" w:w="1800"/>
            <w:vAlign w:val="center"/>
          </w:tcPr>
          <w:p>
            <w:pPr>
              <w:spacing w:after="40" w:before="40"/>
            </w:pPr>
            <w:r>
              <w:rPr>
                <w:sz w:val="16"/>
              </w:rPr>
              <w:t>Supervisor</w:t>
            </w:r>
          </w:p>
        </w:tc>
        <w:tc>
          <w:tcPr>
            <w:tcW w:type="dxa" w:w="2232"/>
            <w:vAlign w:val="center"/>
          </w:tcPr>
          <w:p>
            <w:pPr>
              <w:spacing w:after="40" w:before="40"/>
            </w:pPr>
            <w:r>
              <w:rPr>
                <w:sz w:val="16"/>
              </w:rPr>
              <w:t>supervisor.py / 8000</w:t>
            </w:r>
          </w:p>
        </w:tc>
        <w:tc>
          <w:tcPr>
            <w:tcW w:type="dxa" w:w="6408"/>
            <w:vAlign w:val="center"/>
          </w:tcPr>
          <w:p>
            <w:pPr>
              <w:spacing w:after="40" w:before="40"/>
            </w:pPr>
            <w:r>
              <w:rPr>
                <w:sz w:val="16"/>
              </w:rPr>
              <w:t>Routes network workflows to agents found through the registry.</w:t>
            </w:r>
          </w:p>
        </w:tc>
      </w:tr>
      <w:tr>
        <w:trPr>
          <w:cantSplit/>
        </w:trPr>
        <w:tc>
          <w:tcPr>
            <w:tcW w:type="dxa" w:w="1800"/>
            <w:vAlign w:val="center"/>
          </w:tcPr>
          <w:p>
            <w:pPr>
              <w:spacing w:after="40" w:before="40"/>
            </w:pPr>
            <w:r>
              <w:rPr>
                <w:sz w:val="16"/>
              </w:rPr>
              <w:t>AUSF</w:t>
            </w:r>
          </w:p>
        </w:tc>
        <w:tc>
          <w:tcPr>
            <w:tcW w:type="dxa" w:w="2232"/>
            <w:vAlign w:val="center"/>
          </w:tcPr>
          <w:p>
            <w:pPr>
              <w:spacing w:after="40" w:before="40"/>
            </w:pPr>
            <w:r>
              <w:rPr>
                <w:sz w:val="16"/>
              </w:rPr>
              <w:t>ausf.py / 8001</w:t>
            </w:r>
          </w:p>
        </w:tc>
        <w:tc>
          <w:tcPr>
            <w:tcW w:type="dxa" w:w="6408"/>
            <w:vAlign w:val="center"/>
          </w:tcPr>
          <w:p>
            <w:pPr>
              <w:spacing w:after="40" w:before="40"/>
            </w:pPr>
            <w:r>
              <w:rPr>
                <w:sz w:val="16"/>
              </w:rPr>
              <w:t>Authentication flow; requests auth vectors and trust evaluation; can trigger recovery.</w:t>
            </w:r>
          </w:p>
        </w:tc>
      </w:tr>
      <w:tr>
        <w:trPr>
          <w:cantSplit/>
        </w:trPr>
        <w:tc>
          <w:tcPr>
            <w:tcW w:type="dxa" w:w="1800"/>
            <w:vAlign w:val="center"/>
          </w:tcPr>
          <w:p>
            <w:pPr>
              <w:spacing w:after="40" w:before="40"/>
            </w:pPr>
            <w:r>
              <w:rPr>
                <w:sz w:val="16"/>
              </w:rPr>
              <w:t>Subscriber</w:t>
            </w:r>
          </w:p>
        </w:tc>
        <w:tc>
          <w:tcPr>
            <w:tcW w:type="dxa" w:w="2232"/>
            <w:vAlign w:val="center"/>
          </w:tcPr>
          <w:p>
            <w:pPr>
              <w:spacing w:after="40" w:before="40"/>
            </w:pPr>
            <w:r>
              <w:rPr>
                <w:sz w:val="16"/>
              </w:rPr>
              <w:t>subscriber.py / 8002</w:t>
            </w:r>
          </w:p>
        </w:tc>
        <w:tc>
          <w:tcPr>
            <w:tcW w:type="dxa" w:w="6408"/>
            <w:vAlign w:val="center"/>
          </w:tcPr>
          <w:p>
            <w:pPr>
              <w:spacing w:after="40" w:before="40"/>
            </w:pPr>
            <w:r>
              <w:rPr>
                <w:sz w:val="16"/>
              </w:rPr>
              <w:t>Subscriber lookup and session/QoS management.</w:t>
            </w:r>
          </w:p>
        </w:tc>
      </w:tr>
      <w:tr>
        <w:trPr>
          <w:cantSplit/>
        </w:trPr>
        <w:tc>
          <w:tcPr>
            <w:tcW w:type="dxa" w:w="1800"/>
            <w:vAlign w:val="center"/>
          </w:tcPr>
          <w:p>
            <w:pPr>
              <w:spacing w:after="40" w:before="40"/>
            </w:pPr>
            <w:r>
              <w:rPr>
                <w:sz w:val="16"/>
              </w:rPr>
              <w:t>UDM</w:t>
            </w:r>
          </w:p>
        </w:tc>
        <w:tc>
          <w:tcPr>
            <w:tcW w:type="dxa" w:w="2232"/>
            <w:vAlign w:val="center"/>
          </w:tcPr>
          <w:p>
            <w:pPr>
              <w:spacing w:after="40" w:before="40"/>
            </w:pPr>
            <w:r>
              <w:rPr>
                <w:sz w:val="16"/>
              </w:rPr>
              <w:t>udm.py / 8003</w:t>
            </w:r>
          </w:p>
        </w:tc>
        <w:tc>
          <w:tcPr>
            <w:tcW w:type="dxa" w:w="6408"/>
            <w:vAlign w:val="center"/>
          </w:tcPr>
          <w:p>
            <w:pPr>
              <w:spacing w:after="40" w:before="40"/>
            </w:pPr>
            <w:r>
              <w:rPr>
                <w:sz w:val="16"/>
              </w:rPr>
              <w:t>Subscriber data, auth vectors, UE/AF profiles, and subscriber re-verification.</w:t>
            </w:r>
          </w:p>
        </w:tc>
      </w:tr>
      <w:tr>
        <w:trPr>
          <w:cantSplit/>
        </w:trPr>
        <w:tc>
          <w:tcPr>
            <w:tcW w:type="dxa" w:w="1800"/>
            <w:vAlign w:val="center"/>
          </w:tcPr>
          <w:p>
            <w:pPr>
              <w:spacing w:after="40" w:before="40"/>
            </w:pPr>
            <w:r>
              <w:rPr>
                <w:sz w:val="16"/>
              </w:rPr>
              <w:t>UE agents</w:t>
            </w:r>
          </w:p>
        </w:tc>
        <w:tc>
          <w:tcPr>
            <w:tcW w:type="dxa" w:w="2232"/>
            <w:vAlign w:val="center"/>
          </w:tcPr>
          <w:p>
            <w:pPr>
              <w:spacing w:after="40" w:before="40"/>
            </w:pPr>
            <w:r>
              <w:rPr>
                <w:sz w:val="16"/>
              </w:rPr>
              <w:t>ue.py / 8004 and 8107</w:t>
            </w:r>
          </w:p>
        </w:tc>
        <w:tc>
          <w:tcPr>
            <w:tcW w:type="dxa" w:w="6408"/>
            <w:vAlign w:val="center"/>
          </w:tcPr>
          <w:p>
            <w:pPr>
              <w:spacing w:after="40" w:before="40"/>
            </w:pPr>
            <w:r>
              <w:rPr>
                <w:sz w:val="16"/>
              </w:rPr>
              <w:t>Attach, service requests, local profile, task handling, inbox, and peer messaging.</w:t>
            </w:r>
          </w:p>
        </w:tc>
      </w:tr>
      <w:tr>
        <w:trPr>
          <w:cantSplit/>
        </w:trPr>
        <w:tc>
          <w:tcPr>
            <w:tcW w:type="dxa" w:w="1800"/>
            <w:vAlign w:val="center"/>
          </w:tcPr>
          <w:p>
            <w:pPr>
              <w:spacing w:after="40" w:before="40"/>
            </w:pPr>
            <w:r>
              <w:rPr>
                <w:sz w:val="16"/>
              </w:rPr>
              <w:t>Security</w:t>
            </w:r>
          </w:p>
        </w:tc>
        <w:tc>
          <w:tcPr>
            <w:tcW w:type="dxa" w:w="2232"/>
            <w:vAlign w:val="center"/>
          </w:tcPr>
          <w:p>
            <w:pPr>
              <w:spacing w:after="40" w:before="40"/>
            </w:pPr>
            <w:r>
              <w:rPr>
                <w:sz w:val="16"/>
              </w:rPr>
              <w:t>security.py / 8105</w:t>
            </w:r>
          </w:p>
        </w:tc>
        <w:tc>
          <w:tcPr>
            <w:tcW w:type="dxa" w:w="6408"/>
            <w:vAlign w:val="center"/>
          </w:tcPr>
          <w:p>
            <w:pPr>
              <w:spacing w:after="40" w:before="40"/>
            </w:pPr>
            <w:r>
              <w:rPr>
                <w:sz w:val="16"/>
              </w:rPr>
              <w:t>Trust scoring, risk assessment, and trust re-evaluation audit.</w:t>
            </w:r>
          </w:p>
        </w:tc>
      </w:tr>
      <w:tr>
        <w:trPr>
          <w:cantSplit/>
        </w:trPr>
        <w:tc>
          <w:tcPr>
            <w:tcW w:type="dxa" w:w="1800"/>
            <w:vAlign w:val="center"/>
          </w:tcPr>
          <w:p>
            <w:pPr>
              <w:spacing w:after="40" w:before="40"/>
            </w:pPr>
            <w:r>
              <w:rPr>
                <w:sz w:val="16"/>
              </w:rPr>
              <w:t>Notification</w:t>
            </w:r>
          </w:p>
        </w:tc>
        <w:tc>
          <w:tcPr>
            <w:tcW w:type="dxa" w:w="2232"/>
            <w:vAlign w:val="center"/>
          </w:tcPr>
          <w:p>
            <w:pPr>
              <w:spacing w:after="40" w:before="40"/>
            </w:pPr>
            <w:r>
              <w:rPr>
                <w:sz w:val="16"/>
              </w:rPr>
              <w:t>notification_agent.py / 8106</w:t>
            </w:r>
          </w:p>
        </w:tc>
        <w:tc>
          <w:tcPr>
            <w:tcW w:type="dxa" w:w="6408"/>
            <w:vAlign w:val="center"/>
          </w:tcPr>
          <w:p>
            <w:pPr>
              <w:spacing w:after="40" w:before="40"/>
            </w:pPr>
            <w:r>
              <w:rPr>
                <w:sz w:val="16"/>
              </w:rPr>
              <w:t>Forwards Agent Card changes to the supervisor for registry update.</w:t>
            </w:r>
          </w:p>
        </w:tc>
      </w:tr>
      <w:tr>
        <w:trPr>
          <w:cantSplit/>
        </w:trPr>
        <w:tc>
          <w:tcPr>
            <w:tcW w:type="dxa" w:w="1800"/>
            <w:vAlign w:val="center"/>
          </w:tcPr>
          <w:p>
            <w:pPr>
              <w:spacing w:after="40" w:before="40"/>
            </w:pPr>
            <w:r>
              <w:rPr>
                <w:sz w:val="16"/>
              </w:rPr>
              <w:t>FastMCP gateway</w:t>
            </w:r>
          </w:p>
        </w:tc>
        <w:tc>
          <w:tcPr>
            <w:tcW w:type="dxa" w:w="2232"/>
            <w:vAlign w:val="center"/>
          </w:tcPr>
          <w:p>
            <w:pPr>
              <w:spacing w:after="40" w:before="40"/>
            </w:pPr>
            <w:r>
              <w:rPr>
                <w:sz w:val="16"/>
              </w:rPr>
              <w:t>mcp_server.py / 8010</w:t>
            </w:r>
          </w:p>
        </w:tc>
        <w:tc>
          <w:tcPr>
            <w:tcW w:type="dxa" w:w="6408"/>
            <w:vAlign w:val="center"/>
          </w:tcPr>
          <w:p>
            <w:pPr>
              <w:spacing w:after="40" w:before="40"/>
            </w:pPr>
            <w:r>
              <w:rPr>
                <w:sz w:val="16"/>
              </w:rPr>
              <w:t>Authenticated MCP tools/resources/prompts; delegates operations to existing services.</w:t>
            </w:r>
          </w:p>
        </w:tc>
      </w:tr>
      <w:tr>
        <w:trPr>
          <w:cantSplit/>
        </w:trPr>
        <w:tc>
          <w:tcPr>
            <w:tcW w:type="dxa" w:w="1800"/>
            <w:vAlign w:val="center"/>
          </w:tcPr>
          <w:p>
            <w:pPr>
              <w:spacing w:after="40" w:before="40"/>
            </w:pPr>
            <w:r>
              <w:rPr>
                <w:sz w:val="16"/>
              </w:rPr>
              <w:t>Chat application</w:t>
            </w:r>
          </w:p>
        </w:tc>
        <w:tc>
          <w:tcPr>
            <w:tcW w:type="dxa" w:w="2232"/>
            <w:vAlign w:val="center"/>
          </w:tcPr>
          <w:p>
            <w:pPr>
              <w:spacing w:after="40" w:before="40"/>
            </w:pPr>
            <w:r>
              <w:rPr>
                <w:sz w:val="16"/>
              </w:rPr>
              <w:t>chat_app.py / 8020</w:t>
            </w:r>
          </w:p>
        </w:tc>
        <w:tc>
          <w:tcPr>
            <w:tcW w:type="dxa" w:w="6408"/>
            <w:vAlign w:val="center"/>
          </w:tcPr>
          <w:p>
            <w:pPr>
              <w:spacing w:after="40" w:before="40"/>
            </w:pPr>
            <w:r>
              <w:rPr>
                <w:sz w:val="16"/>
              </w:rPr>
              <w:t>Browser chat; connects to MCP and optionally an OpenAI-compatible LLM.</w:t>
            </w:r>
          </w:p>
        </w:tc>
      </w:tr>
    </w:tbl>
    <w:p>
      <w:pPr>
        <w:spacing w:after="20"/>
      </w:pPr>
    </w:p>
    <w:p>
      <w:pPr>
        <w:spacing w:before="80" w:after="160"/>
        <w:ind w:left="202"/>
      </w:pPr>
      <w:r>
        <w:rPr>
          <w:b/>
          <w:color w:val="176B87"/>
        </w:rPr>
        <w:t xml:space="preserve">Port note  </w:t>
      </w:r>
      <w:r>
        <w:t>The README’s UE-002 table lists port 8107; a later quick-check section says port 8007. The configured launcher/topology source should be treated as authoritative during setup; verify the actual configured port before connecting.</w:t>
      </w:r>
    </w:p>
    <w:p>
      <w:pPr>
        <w:pStyle w:val="Heading2"/>
      </w:pPr>
      <w:r>
        <w:t>Logical request path</w:t>
      </w:r>
    </w:p>
    <w:p>
      <w:r>
        <w:t>Operator or MCP client → FastMCP gateway → Supervisor/A2A client → registry skill lookup → target agent → MongoDB/peer agent → structured result returned to the client. Keycloak issues tokens to service clients and introspects bearer tokens at protected services and the MCP gateway.</w:t>
      </w:r>
    </w:p>
    <w:p>
      <w:pPr>
        <w:pStyle w:val="Heading2"/>
      </w:pPr>
      <w:r>
        <w:t>Core shared modules</w:t>
      </w:r>
    </w:p>
    <w:p>
      <w:pPr>
        <w:pStyle w:val="ListBullet"/>
      </w:pPr>
      <w:r>
        <w:t>shared/models.py defines agent-card, skill, and network profile models.</w:t>
      </w:r>
    </w:p>
    <w:p>
      <w:pPr>
        <w:pStyle w:val="ListBullet"/>
      </w:pPr>
      <w:r>
        <w:t>shared/a2a_client.py handles registration, discovery, OAuth token retrieval, JSON-RPC calls, and peer messaging.</w:t>
      </w:r>
    </w:p>
    <w:p>
      <w:pPr>
        <w:pStyle w:val="ListBullet"/>
      </w:pPr>
      <w:r>
        <w:t>shared/oauth.py provides client-credentials support, token introspection, issuer/audience/expiry checks, and scope enforcement.</w:t>
      </w:r>
    </w:p>
    <w:p>
      <w:pPr>
        <w:pStyle w:val="ListBullet"/>
      </w:pPr>
      <w:r>
        <w:t>shared/config.py loads local environment configuration, including database and Keycloak endpoints.</w:t>
      </w:r>
    </w:p>
    <w:p>
      <w:pPr>
        <w:pStyle w:val="ListBullet"/>
      </w:pPr>
      <w:r>
        <w:t>database.py initializes MongoDB collections and includes an in-memory collection/database fallback implementation.</w:t>
      </w:r>
    </w:p>
    <w:p>
      <w:r>
        <w:br w:type="page"/>
      </w:r>
    </w:p>
    <w:p>
      <w:pPr>
        <w:pStyle w:val="Heading1"/>
      </w:pPr>
      <w:r>
        <w:t>3. Key workflows</w:t>
      </w:r>
    </w:p>
    <w:p>
      <w:pPr>
        <w:pStyle w:val="Heading2"/>
      </w:pPr>
      <w:r>
        <w:t>3.1 Agent registration and discovery</w:t>
      </w:r>
    </w:p>
    <w:p>
      <w:pPr>
        <w:ind w:left="403" w:hanging="317"/>
      </w:pPr>
      <w:r>
        <w:rPr>
          <w:b/>
        </w:rPr>
        <w:t xml:space="preserve">1. </w:t>
      </w:r>
      <w:r>
        <w:t>A service starts and publishes its Agent Card at /.well-known/agent.json.</w:t>
      </w:r>
    </w:p>
    <w:p>
      <w:pPr>
        <w:ind w:left="403" w:hanging="317"/>
      </w:pPr>
      <w:r>
        <w:rPr>
          <w:b/>
        </w:rPr>
        <w:t xml:space="preserve">2. </w:t>
      </w:r>
      <w:r>
        <w:t>Bootstrap services register directly with the registry; other services notify the notification agent, which forwards the change through the supervisor.</w:t>
      </w:r>
    </w:p>
    <w:p>
      <w:pPr>
        <w:ind w:left="403" w:hanging="317"/>
      </w:pPr>
      <w:r>
        <w:rPr>
          <w:b/>
        </w:rPr>
        <w:t xml:space="preserve">3. </w:t>
      </w:r>
      <w:r>
        <w:t>The registry stores or updates the card by agent ID.</w:t>
      </w:r>
    </w:p>
    <w:p>
      <w:pPr>
        <w:ind w:left="403" w:hanging="317"/>
      </w:pPr>
      <w:r>
        <w:rPr>
          <w:b/>
        </w:rPr>
        <w:t xml:space="preserve">4. </w:t>
      </w:r>
      <w:r>
        <w:t>A caller asks the registry for an agent by skill; the registry returns the card and resolved endpoint.</w:t>
      </w:r>
    </w:p>
    <w:p>
      <w:pPr>
        <w:ind w:left="403" w:hanging="317"/>
      </w:pPr>
      <w:r>
        <w:rPr>
          <w:b/>
        </w:rPr>
        <w:t xml:space="preserve">5. </w:t>
      </w:r>
      <w:r>
        <w:t>The A2A client obtains a client-credentials token and sends a JSON-RPC request to that endpoint.</w:t>
      </w:r>
    </w:p>
    <w:p>
      <w:pPr>
        <w:pStyle w:val="Heading2"/>
      </w:pPr>
      <w:r>
        <w:t>3.2 UE authentication and service activation</w:t>
      </w:r>
    </w:p>
    <w:p>
      <w:pPr>
        <w:ind w:left="403" w:hanging="317"/>
      </w:pPr>
      <w:r>
        <w:rPr>
          <w:b/>
        </w:rPr>
        <w:t xml:space="preserve">1. </w:t>
      </w:r>
      <w:r>
        <w:t>The supervisor receives authenticate_subscriber and routes the request to the AUSF using the auth skill.</w:t>
      </w:r>
    </w:p>
    <w:p>
      <w:pPr>
        <w:ind w:left="403" w:hanging="317"/>
      </w:pPr>
      <w:r>
        <w:rPr>
          <w:b/>
        </w:rPr>
        <w:t xml:space="preserve">2. </w:t>
      </w:r>
      <w:r>
        <w:t>AUSF asks UDM for authentication vectors and asks Security for a trust score.</w:t>
      </w:r>
    </w:p>
    <w:p>
      <w:pPr>
        <w:ind w:left="403" w:hanging="317"/>
      </w:pPr>
      <w:r>
        <w:rPr>
          <w:b/>
        </w:rPr>
        <w:t xml:space="preserve">3. </w:t>
      </w:r>
      <w:r>
        <w:t>If trust is low or risk is high, AUSF asks UDM to re-verify the subscriber and sends the returned proof to Security for re-evaluation.</w:t>
      </w:r>
    </w:p>
    <w:p>
      <w:pPr>
        <w:ind w:left="403" w:hanging="317"/>
      </w:pPr>
      <w:r>
        <w:rPr>
          <w:b/>
        </w:rPr>
        <w:t xml:space="preserve">4. </w:t>
      </w:r>
      <w:r>
        <w:t>When authentication succeeds, the supervisor updates the subscriber session with the requested network service profile.</w:t>
      </w:r>
    </w:p>
    <w:p>
      <w:pPr>
        <w:ind w:left="403" w:hanging="317"/>
      </w:pPr>
      <w:r>
        <w:rPr>
          <w:b/>
        </w:rPr>
        <w:t xml:space="preserve">5. </w:t>
      </w:r>
      <w:r>
        <w:t>The supervisor returns a completed or failed status to the original caller.</w:t>
      </w:r>
    </w:p>
    <w:p>
      <w:r>
        <w:t>The source implements a demonstration flow. For instance, the security service uses a baseline trust value and an explicit flag to simulate low trust; the report therefore treats this as workflow behavior, not evidence of production-grade authentication strength.</w:t>
      </w:r>
    </w:p>
    <w:p>
      <w:pPr>
        <w:pStyle w:val="Heading2"/>
      </w:pPr>
      <w:r>
        <w:t>3.3 Robot registration and task assignment</w:t>
      </w:r>
    </w:p>
    <w:p>
      <w:r>
        <w:t>The MCP gateway includes tools for robot registration, authentication, task assignment, session termination, skill discovery, UE attach/service requests, peer messages, inbox inspection, agent lookup, profile queries, and supervisor workflows. Local robot endpoint provisioning is attempted when registration supplies a localhost URL and an available port; externally hosted endpoints are expected to be started by their owner. The robot task service validates/records task actions through the shared data layer.</w:t>
      </w:r>
    </w:p>
    <w:p>
      <w:pPr>
        <w:pStyle w:val="Heading2"/>
      </w:pPr>
      <w:r>
        <w:t>3.4 Natural-language chat with tools</w:t>
      </w:r>
    </w:p>
    <w:p>
      <w:r>
        <w:t>The browser chat service discovers the live MCP tool names, descriptions, and input schemas. If an LLM key is configured, it submits those schemas to an OpenAI-compatible API, executes tool calls through the OAuth-authenticated MCP gateway, and returns tool results for a final response. Without a key, the service falls back to lightweight schema/name-based tool selection. The README states that the LLM key remains server-side and is not passed into browser code, MCP calls, URLs, or chat history.</w:t>
      </w:r>
    </w:p>
    <w:p>
      <w:pPr>
        <w:pStyle w:val="Heading2"/>
      </w:pPr>
      <w:r>
        <w:t>3.5 UE-to-UE messaging</w:t>
      </w:r>
    </w:p>
    <w:p>
      <w:r>
        <w:t>UE agents can send an authenticated direct message to a discovered peer endpoint, or broadcast a message to other UE agents found in the registry. The receiving UE stores messages in its inbox collection, which is exposed through an inbox route and MCP tool.</w:t>
      </w:r>
    </w:p>
    <w:p>
      <w:pPr>
        <w:pStyle w:val="Heading1"/>
      </w:pPr>
      <w:r>
        <w:t>4. Data and security design</w:t>
      </w:r>
    </w:p>
    <w:p>
      <w:pPr>
        <w:pStyle w:val="Heading2"/>
      </w:pPr>
      <w:r>
        <w:t>Persistence</w:t>
      </w:r>
    </w:p>
    <w:p>
      <w:r>
        <w:t>The data model includes subscriber profiles, active sessions, security logs, Agent Card registry entries, UE profile records, AF profile records, task records, agent messages, OAuth client/token metadata, and MCP operation sessions. MongoDB is accessed asynchronously through Motor. An in-memory database implementation is also present for fallback/test scenarios; it is process-local and is not durable across restarts.</w:t>
      </w:r>
    </w:p>
    <w:p>
      <w:pPr>
        <w:pStyle w:val="Heading2"/>
      </w:pPr>
      <w:r>
        <w:t>Authentication and authorization</w:t>
      </w:r>
    </w:p>
    <w:p>
      <w:pPr>
        <w:pStyle w:val="ListBullet"/>
      </w:pPr>
      <w:r>
        <w:t>Keycloak realm defaults to 6g; service clients use the OAuth 2.0 client-credentials grant.</w:t>
      </w:r>
    </w:p>
    <w:p>
      <w:pPr>
        <w:pStyle w:val="ListBullet"/>
      </w:pPr>
      <w:r>
        <w:t>Protected endpoints introspect bearer tokens and check active state, issuer, audience, expiry, and requested scope.</w:t>
      </w:r>
    </w:p>
    <w:p>
      <w:pPr>
        <w:pStyle w:val="ListBullet"/>
      </w:pPr>
      <w:r>
        <w:t>The MCP gateway requires mcp:execute; backend routes apply scopes such as agent:read, agent:write, authentication:request, subscriber:read/write, and security:read/write.</w:t>
      </w:r>
    </w:p>
    <w:p>
      <w:pPr>
        <w:pStyle w:val="ListBullet"/>
      </w:pPr>
      <w:r>
        <w:t>Agent Cards and session results are sanitized before being returned through MCP, including removal of MongoDB IDs and session identifiers/tokens.</w:t>
      </w:r>
    </w:p>
    <w:p>
      <w:pPr>
        <w:pStyle w:val="ListBullet"/>
      </w:pPr>
      <w:r>
        <w:t>Secrets are configured through a local .env file; the README explicitly says not to commit that file.</w:t>
      </w:r>
    </w:p>
    <w:p>
      <w:pPr>
        <w:pStyle w:val="Heading2"/>
      </w:pPr>
      <w:r>
        <w:t>Security considerations to address before broader use</w:t>
      </w:r>
    </w:p>
    <w:p>
      <w:r>
        <w:t>The repository is configured around localhost defaults and a setup script with default local Keycloak administrator credentials. Those defaults are useful for a contained demo, but operators should replace them, keep services behind an appropriate network boundary, protect generated client secrets, and review logging and retention before using real subscriber identifiers or credentials. The service-to-service HTTP URLs shown in setup are not configured as TLS endpoints.</w:t>
      </w:r>
    </w:p>
    <w:p>
      <w:pPr>
        <w:pStyle w:val="Heading1"/>
      </w:pPr>
      <w:r>
        <w:t>5. Interfaces and user experience</w:t>
      </w:r>
    </w:p>
    <w:p>
      <w:pPr>
        <w:pStyle w:val="Heading2"/>
      </w:pPr>
      <w:r>
        <w:t>MCP interface</w:t>
      </w:r>
    </w:p>
    <w:p>
      <w:r>
        <w:t>FastMCP uses Streamable HTTP at /mcp. It exposes tools for registration, authentication, assignment, skill-based lookup, session management, UE operations, registry queries, active sessions, profiles, and supervisor workflows. It also provides resources for agent cards, active sessions, and topology, plus a diagnose_network_issue prompt. The MCP tools delegate to existing agents rather than reimplementing their business logic.</w:t>
      </w:r>
    </w:p>
    <w:p>
      <w:pPr>
        <w:pStyle w:val="Heading2"/>
      </w:pPr>
      <w:r>
        <w:t>Browser chat</w:t>
      </w:r>
    </w:p>
    <w:p>
      <w:r>
        <w:t>chat_app.py serves a local chat client at http://127.0.0.1:8020 and provides status, chat, inbox, agent list, and robot-simulation APIs. MCP URL and chat port can be overridden with environment variables. The chat backend—not the browser—makes authenticated MCP calls.</w:t>
      </w:r>
    </w:p>
    <w:p>
      <w:pPr>
        <w:pStyle w:val="Heading2"/>
      </w:pPr>
      <w:r>
        <w:t>React factory dashboard</w:t>
      </w:r>
    </w:p>
    <w:p>
      <w:r>
        <w:t>The Vite/React/TypeScript frontend provides pages for the factory dashboard, agent network, MCP control, security center, tasks, analytics, and system logs. The main dashboard includes a natural-language command bar, workflow stages, a factory twin view of stations/robots/packages, recent event stream, and command execution output. It can call API endpoints and connect to a WebSocket for events.</w:t>
      </w:r>
    </w:p>
    <w:p>
      <w:pPr>
        <w:spacing w:before="80" w:after="160"/>
        <w:ind w:left="202"/>
      </w:pPr>
      <w:r>
        <w:rPr>
          <w:b/>
          <w:color w:val="176B87"/>
        </w:rPr>
        <w:t xml:space="preserve">UI integration qualification  </w:t>
      </w:r>
      <w:r>
        <w:t>Initial robots, stations, events, analytics, MCP tools, security counters, and pipeline stages are defined as frontend seed state. The API client falls back to a simulated “connected” status when /api/status fails and returns null for failed chat requests. Treat dashboard counters and online indicators as presentation/demo data unless they are confirmed to be driven by the running service.</w:t>
      </w:r>
    </w:p>
    <w:p>
      <w:pPr>
        <w:pStyle w:val="Heading1"/>
      </w:pPr>
      <w:r>
        <w:t>6. Technology and repository structure</w:t>
      </w:r>
    </w:p>
    <w:tbl>
      <w:tblPr>
        <w:tblStyle w:val="LightShading-Accent1"/>
        <w:tblW w:type="auto" w:w="0"/>
        <w:jc w:val="center"/>
        <w:tblLook w:firstColumn="1" w:firstRow="1" w:lastColumn="0" w:lastRow="0" w:noHBand="0" w:noVBand="1" w:val="04A0"/>
      </w:tblPr>
      <w:tblGrid>
        <w:gridCol w:w="3331"/>
        <w:gridCol w:w="3331"/>
        <w:gridCol w:w="3331"/>
      </w:tblGrid>
      <w:tr>
        <w:trPr>
          <w:cantSplit/>
        </w:trPr>
        <w:tc>
          <w:tcPr>
            <w:tcW w:type="dxa" w:w="1512"/>
            <w:shd w:fill="123B55"/>
          </w:tcPr>
          <w:p>
            <w:r>
              <w:rPr>
                <w:b/>
                <w:color w:val="FFFFFF"/>
                <w:sz w:val="17"/>
              </w:rPr>
              <w:t>Layer</w:t>
            </w:r>
          </w:p>
        </w:tc>
        <w:tc>
          <w:tcPr>
            <w:tcW w:type="dxa" w:w="3528"/>
            <w:shd w:fill="123B55"/>
          </w:tcPr>
          <w:p>
            <w:r>
              <w:rPr>
                <w:b/>
                <w:color w:val="FFFFFF"/>
                <w:sz w:val="17"/>
              </w:rPr>
              <w:t>Technology / files</w:t>
            </w:r>
          </w:p>
        </w:tc>
        <w:tc>
          <w:tcPr>
            <w:tcW w:type="dxa" w:w="5400"/>
            <w:shd w:fill="123B55"/>
          </w:tcPr>
          <w:p>
            <w:r>
              <w:rPr>
                <w:b/>
                <w:color w:val="FFFFFF"/>
                <w:sz w:val="17"/>
              </w:rPr>
              <w:t>Purpose</w:t>
            </w:r>
          </w:p>
        </w:tc>
      </w:tr>
      <w:tr>
        <w:trPr>
          <w:cantSplit/>
        </w:trPr>
        <w:tc>
          <w:tcPr>
            <w:tcW w:type="dxa" w:w="1512"/>
            <w:vAlign w:val="center"/>
          </w:tcPr>
          <w:p>
            <w:pPr>
              <w:spacing w:after="40" w:before="40"/>
            </w:pPr>
            <w:r>
              <w:rPr>
                <w:sz w:val="16"/>
              </w:rPr>
              <w:t>Backend APIs</w:t>
            </w:r>
          </w:p>
        </w:tc>
        <w:tc>
          <w:tcPr>
            <w:tcW w:type="dxa" w:w="3528"/>
            <w:vAlign w:val="center"/>
          </w:tcPr>
          <w:p>
            <w:pPr>
              <w:spacing w:after="40" w:before="40"/>
            </w:pPr>
            <w:r>
              <w:rPr>
                <w:sz w:val="16"/>
              </w:rPr>
              <w:t>Python 3.10+, FastAPI, Uvicorn</w:t>
            </w:r>
          </w:p>
        </w:tc>
        <w:tc>
          <w:tcPr>
            <w:tcW w:type="dxa" w:w="5400"/>
            <w:vAlign w:val="center"/>
          </w:tcPr>
          <w:p>
            <w:pPr>
              <w:spacing w:after="40" w:before="40"/>
            </w:pPr>
            <w:r>
              <w:rPr>
                <w:sz w:val="16"/>
              </w:rPr>
              <w:t>Asynchronous HTTP services and web endpoints.</w:t>
            </w:r>
          </w:p>
        </w:tc>
      </w:tr>
      <w:tr>
        <w:trPr>
          <w:cantSplit/>
        </w:trPr>
        <w:tc>
          <w:tcPr>
            <w:tcW w:type="dxa" w:w="1512"/>
            <w:vAlign w:val="center"/>
          </w:tcPr>
          <w:p>
            <w:pPr>
              <w:spacing w:after="40" w:before="40"/>
            </w:pPr>
            <w:r>
              <w:rPr>
                <w:sz w:val="16"/>
              </w:rPr>
              <w:t>Agent communication</w:t>
            </w:r>
          </w:p>
        </w:tc>
        <w:tc>
          <w:tcPr>
            <w:tcW w:type="dxa" w:w="3528"/>
            <w:vAlign w:val="center"/>
          </w:tcPr>
          <w:p>
            <w:pPr>
              <w:spacing w:after="40" w:before="40"/>
            </w:pPr>
            <w:r>
              <w:rPr>
                <w:sz w:val="16"/>
              </w:rPr>
              <w:t>A2A client; JSON-RPC-shaped HTTP</w:t>
            </w:r>
          </w:p>
        </w:tc>
        <w:tc>
          <w:tcPr>
            <w:tcW w:type="dxa" w:w="5400"/>
            <w:vAlign w:val="center"/>
          </w:tcPr>
          <w:p>
            <w:pPr>
              <w:spacing w:after="40" w:before="40"/>
            </w:pPr>
            <w:r>
              <w:rPr>
                <w:sz w:val="16"/>
              </w:rPr>
              <w:t>Agent-card discovery and inter-agent requests.</w:t>
            </w:r>
          </w:p>
        </w:tc>
      </w:tr>
      <w:tr>
        <w:trPr>
          <w:cantSplit/>
        </w:trPr>
        <w:tc>
          <w:tcPr>
            <w:tcW w:type="dxa" w:w="1512"/>
            <w:vAlign w:val="center"/>
          </w:tcPr>
          <w:p>
            <w:pPr>
              <w:spacing w:after="40" w:before="40"/>
            </w:pPr>
            <w:r>
              <w:rPr>
                <w:sz w:val="16"/>
              </w:rPr>
              <w:t>LLM tool bridge</w:t>
            </w:r>
          </w:p>
        </w:tc>
        <w:tc>
          <w:tcPr>
            <w:tcW w:type="dxa" w:w="3528"/>
            <w:vAlign w:val="center"/>
          </w:tcPr>
          <w:p>
            <w:pPr>
              <w:spacing w:after="40" w:before="40"/>
            </w:pPr>
            <w:r>
              <w:rPr>
                <w:sz w:val="16"/>
              </w:rPr>
              <w:t>FastMCP, Streamable HTTP</w:t>
            </w:r>
          </w:p>
        </w:tc>
        <w:tc>
          <w:tcPr>
            <w:tcW w:type="dxa" w:w="5400"/>
            <w:vAlign w:val="center"/>
          </w:tcPr>
          <w:p>
            <w:pPr>
              <w:spacing w:after="40" w:before="40"/>
            </w:pPr>
            <w:r>
              <w:rPr>
                <w:sz w:val="16"/>
              </w:rPr>
              <w:t>Makes network capabilities available as typed MCP tools.</w:t>
            </w:r>
          </w:p>
        </w:tc>
      </w:tr>
      <w:tr>
        <w:trPr>
          <w:cantSplit/>
        </w:trPr>
        <w:tc>
          <w:tcPr>
            <w:tcW w:type="dxa" w:w="1512"/>
            <w:vAlign w:val="center"/>
          </w:tcPr>
          <w:p>
            <w:pPr>
              <w:spacing w:after="40" w:before="40"/>
            </w:pPr>
            <w:r>
              <w:rPr>
                <w:sz w:val="16"/>
              </w:rPr>
              <w:t>Identity</w:t>
            </w:r>
          </w:p>
        </w:tc>
        <w:tc>
          <w:tcPr>
            <w:tcW w:type="dxa" w:w="3528"/>
            <w:vAlign w:val="center"/>
          </w:tcPr>
          <w:p>
            <w:pPr>
              <w:spacing w:after="40" w:before="40"/>
            </w:pPr>
            <w:r>
              <w:rPr>
                <w:sz w:val="16"/>
              </w:rPr>
              <w:t>Keycloak, OAuth 2.0 introspection</w:t>
            </w:r>
          </w:p>
        </w:tc>
        <w:tc>
          <w:tcPr>
            <w:tcW w:type="dxa" w:w="5400"/>
            <w:vAlign w:val="center"/>
          </w:tcPr>
          <w:p>
            <w:pPr>
              <w:spacing w:after="40" w:before="40"/>
            </w:pPr>
            <w:r>
              <w:rPr>
                <w:sz w:val="16"/>
              </w:rPr>
              <w:t>Service client authentication and scope-based authorization.</w:t>
            </w:r>
          </w:p>
        </w:tc>
      </w:tr>
      <w:tr>
        <w:trPr>
          <w:cantSplit/>
        </w:trPr>
        <w:tc>
          <w:tcPr>
            <w:tcW w:type="dxa" w:w="1512"/>
            <w:vAlign w:val="center"/>
          </w:tcPr>
          <w:p>
            <w:pPr>
              <w:spacing w:after="40" w:before="40"/>
            </w:pPr>
            <w:r>
              <w:rPr>
                <w:sz w:val="16"/>
              </w:rPr>
              <w:t>Persistence</w:t>
            </w:r>
          </w:p>
        </w:tc>
        <w:tc>
          <w:tcPr>
            <w:tcW w:type="dxa" w:w="3528"/>
            <w:vAlign w:val="center"/>
          </w:tcPr>
          <w:p>
            <w:pPr>
              <w:spacing w:after="40" w:before="40"/>
            </w:pPr>
            <w:r>
              <w:rPr>
                <w:sz w:val="16"/>
              </w:rPr>
              <w:t>MongoDB, Motor, PyMongo</w:t>
            </w:r>
          </w:p>
        </w:tc>
        <w:tc>
          <w:tcPr>
            <w:tcW w:type="dxa" w:w="5400"/>
            <w:vAlign w:val="center"/>
          </w:tcPr>
          <w:p>
            <w:pPr>
              <w:spacing w:after="40" w:before="40"/>
            </w:pPr>
            <w:r>
              <w:rPr>
                <w:sz w:val="16"/>
              </w:rPr>
              <w:t>Asynchronous document persistence and database support.</w:t>
            </w:r>
          </w:p>
        </w:tc>
      </w:tr>
      <w:tr>
        <w:trPr>
          <w:cantSplit/>
        </w:trPr>
        <w:tc>
          <w:tcPr>
            <w:tcW w:type="dxa" w:w="1512"/>
            <w:vAlign w:val="center"/>
          </w:tcPr>
          <w:p>
            <w:pPr>
              <w:spacing w:after="40" w:before="40"/>
            </w:pPr>
            <w:r>
              <w:rPr>
                <w:sz w:val="16"/>
              </w:rPr>
              <w:t>Chat</w:t>
            </w:r>
          </w:p>
        </w:tc>
        <w:tc>
          <w:tcPr>
            <w:tcW w:type="dxa" w:w="3528"/>
            <w:vAlign w:val="center"/>
          </w:tcPr>
          <w:p>
            <w:pPr>
              <w:spacing w:after="40" w:before="40"/>
            </w:pPr>
            <w:r>
              <w:rPr>
                <w:sz w:val="16"/>
              </w:rPr>
              <w:t>FastAPI; optional OpenAI-compatible model</w:t>
            </w:r>
          </w:p>
        </w:tc>
        <w:tc>
          <w:tcPr>
            <w:tcW w:type="dxa" w:w="5400"/>
            <w:vAlign w:val="center"/>
          </w:tcPr>
          <w:p>
            <w:pPr>
              <w:spacing w:after="40" w:before="40"/>
            </w:pPr>
            <w:r>
              <w:rPr>
                <w:sz w:val="16"/>
              </w:rPr>
              <w:t>Tool discovery, tool execution, and natural-language responses.</w:t>
            </w:r>
          </w:p>
        </w:tc>
      </w:tr>
      <w:tr>
        <w:trPr>
          <w:cantSplit/>
        </w:trPr>
        <w:tc>
          <w:tcPr>
            <w:tcW w:type="dxa" w:w="1512"/>
            <w:vAlign w:val="center"/>
          </w:tcPr>
          <w:p>
            <w:pPr>
              <w:spacing w:after="40" w:before="40"/>
            </w:pPr>
            <w:r>
              <w:rPr>
                <w:sz w:val="16"/>
              </w:rPr>
              <w:t>Frontend</w:t>
            </w:r>
          </w:p>
        </w:tc>
        <w:tc>
          <w:tcPr>
            <w:tcW w:type="dxa" w:w="3528"/>
            <w:vAlign w:val="center"/>
          </w:tcPr>
          <w:p>
            <w:pPr>
              <w:spacing w:after="40" w:before="40"/>
            </w:pPr>
            <w:r>
              <w:rPr>
                <w:sz w:val="16"/>
              </w:rPr>
              <w:t>React 18, TypeScript, Vite, Tailwind CSS, Recharts</w:t>
            </w:r>
          </w:p>
        </w:tc>
        <w:tc>
          <w:tcPr>
            <w:tcW w:type="dxa" w:w="5400"/>
            <w:vAlign w:val="center"/>
          </w:tcPr>
          <w:p>
            <w:pPr>
              <w:spacing w:after="40" w:before="40"/>
            </w:pPr>
            <w:r>
              <w:rPr>
                <w:sz w:val="16"/>
              </w:rPr>
              <w:t>Factory control/dashboard interface and analytics visualizations.</w:t>
            </w:r>
          </w:p>
        </w:tc>
      </w:tr>
      <w:tr>
        <w:trPr>
          <w:cantSplit/>
        </w:trPr>
        <w:tc>
          <w:tcPr>
            <w:tcW w:type="dxa" w:w="1512"/>
            <w:vAlign w:val="center"/>
          </w:tcPr>
          <w:p>
            <w:pPr>
              <w:spacing w:after="40" w:before="40"/>
            </w:pPr>
            <w:r>
              <w:rPr>
                <w:sz w:val="16"/>
              </w:rPr>
              <w:t>Testing</w:t>
            </w:r>
          </w:p>
        </w:tc>
        <w:tc>
          <w:tcPr>
            <w:tcW w:type="dxa" w:w="3528"/>
            <w:vAlign w:val="center"/>
          </w:tcPr>
          <w:p>
            <w:pPr>
              <w:spacing w:after="40" w:before="40"/>
            </w:pPr>
            <w:r>
              <w:rPr>
                <w:sz w:val="16"/>
              </w:rPr>
              <w:t>pytest, pytest-asyncio</w:t>
            </w:r>
          </w:p>
        </w:tc>
        <w:tc>
          <w:tcPr>
            <w:tcW w:type="dxa" w:w="5400"/>
            <w:vAlign w:val="center"/>
          </w:tcPr>
          <w:p>
            <w:pPr>
              <w:spacing w:after="40" w:before="40"/>
            </w:pPr>
            <w:r>
              <w:rPr>
                <w:sz w:val="16"/>
              </w:rPr>
              <w:t>Backend tests for chat, MCP tools, and authentication.</w:t>
            </w:r>
          </w:p>
        </w:tc>
      </w:tr>
    </w:tbl>
    <w:p>
      <w:pPr>
        <w:spacing w:after="20"/>
      </w:pPr>
    </w:p>
    <w:p>
      <w:r>
        <w:t>The main implementation lives in 6g_agentic_ai/. The React frontend is in 6g_agentic_ai/frontend/. Backend tests are in 6g_agentic_ai/tests/. The README is the primary setup guide.</w:t>
      </w:r>
    </w:p>
    <w:p>
      <w:r>
        <w:br w:type="page"/>
      </w:r>
    </w:p>
    <w:p>
      <w:pPr>
        <w:pStyle w:val="Heading1"/>
      </w:pPr>
      <w:r>
        <w:t>7. Setup and operation</w:t>
      </w:r>
    </w:p>
    <w:p>
      <w:r>
        <w:t>The checked-in README documents a Windows PowerShell workflow. The services also use standard Python and Uvicorn tooling. MongoDB and Keycloak must be started separately because the repository has no Docker Compose deployment file.</w:t>
      </w:r>
    </w:p>
    <w:p>
      <w:pPr>
        <w:pStyle w:val="Heading2"/>
      </w:pPr>
      <w:r>
        <w:t>Prerequisites</w:t>
      </w:r>
    </w:p>
    <w:p>
      <w:pPr>
        <w:pStyle w:val="ListBullet"/>
      </w:pPr>
      <w:r>
        <w:t>Windows PowerShell (as documented), Python 3.10 or later, MongoDB or MongoDB Atlas, and Keycloak 24 or later.</w:t>
      </w:r>
    </w:p>
    <w:p>
      <w:pPr>
        <w:pStyle w:val="ListBullet"/>
      </w:pPr>
      <w:r>
        <w:t>VS Code with MCP support is optional for connecting to the gateway.</w:t>
      </w:r>
    </w:p>
    <w:p>
      <w:pPr>
        <w:pStyle w:val="ListBullet"/>
      </w:pPr>
      <w:r>
        <w:t>A local .env file with Mongo URI, database name, Keycloak URLs, audience/scopes, resource client secret, and service client secrets.</w:t>
      </w:r>
    </w:p>
    <w:p>
      <w:pPr>
        <w:pStyle w:val="Heading2"/>
      </w:pPr>
      <w:r>
        <w:t>Documented startup sequence</w:t>
      </w:r>
    </w:p>
    <w:p>
      <w:pPr>
        <w:ind w:left="403" w:hanging="317"/>
      </w:pPr>
      <w:r>
        <w:rPr>
          <w:b/>
        </w:rPr>
        <w:t xml:space="preserve">1. </w:t>
      </w:r>
      <w:r>
        <w:t>Start MongoDB and Keycloak.</w:t>
      </w:r>
    </w:p>
    <w:p>
      <w:pPr>
        <w:ind w:left="403" w:hanging="317"/>
      </w:pPr>
      <w:r>
        <w:rPr>
          <w:b/>
        </w:rPr>
        <w:t xml:space="preserve">2. </w:t>
      </w:r>
      <w:r>
        <w:t>Create and activate a virtual environment; install 6g_agentic_ai/requirements.txt.</w:t>
      </w:r>
    </w:p>
    <w:p>
      <w:pPr>
        <w:ind w:left="403" w:hanging="317"/>
      </w:pPr>
      <w:r>
        <w:rPr>
          <w:b/>
        </w:rPr>
        <w:t xml:space="preserve">3. </w:t>
      </w:r>
      <w:r>
        <w:t>Run setup-keycloak.ps1 to create/update the realm, clients, scopes, audiences, and local registration hosts.</w:t>
      </w:r>
    </w:p>
    <w:p>
      <w:pPr>
        <w:ind w:left="403" w:hanging="317"/>
      </w:pPr>
      <w:r>
        <w:rPr>
          <w:b/>
        </w:rPr>
        <w:t xml:space="preserve">4. </w:t>
      </w:r>
      <w:r>
        <w:t>Seed sample records with python seed.py --reset. This clears and recreates selected sample application data; do not run against data that must be retained.</w:t>
      </w:r>
    </w:p>
    <w:p>
      <w:pPr>
        <w:ind w:left="403" w:hanging="317"/>
      </w:pPr>
      <w:r>
        <w:rPr>
          <w:b/>
        </w:rPr>
        <w:t xml:space="preserve">5. </w:t>
      </w:r>
      <w:r>
        <w:t>Start core services with python run_all.py. The launcher starts the registry and agents in dependency order and handles child processes.</w:t>
      </w:r>
    </w:p>
    <w:p>
      <w:pPr>
        <w:ind w:left="403" w:hanging="317"/>
      </w:pPr>
      <w:r>
        <w:rPr>
          <w:b/>
        </w:rPr>
        <w:t xml:space="preserve">6. </w:t>
      </w:r>
      <w:r>
        <w:t>Start the MCP gateway separately with python mcp_server.py.</w:t>
      </w:r>
    </w:p>
    <w:p>
      <w:pPr>
        <w:ind w:left="403" w:hanging="317"/>
      </w:pPr>
      <w:r>
        <w:rPr>
          <w:b/>
        </w:rPr>
        <w:t xml:space="preserve">7. </w:t>
      </w:r>
      <w:r>
        <w:t>Optionally start the browser chat service with python chat_app.py and open http://127.0.0.1:8020.</w:t>
      </w:r>
    </w:p>
    <w:p>
      <w:pPr>
        <w:ind w:left="403" w:hanging="317"/>
      </w:pPr>
      <w:r>
        <w:rPr>
          <w:b/>
        </w:rPr>
        <w:t xml:space="preserve">8. </w:t>
      </w:r>
      <w:r>
        <w:t>For VS Code, configure an HTTP MCP server at http://localhost:8010/mcp and authenticate using the 6g realm.</w:t>
      </w:r>
    </w:p>
    <w:p>
      <w:pPr>
        <w:pStyle w:val="Heading2"/>
      </w:pPr>
      <w:r>
        <w:t>Configuration and operational notes</w:t>
      </w:r>
    </w:p>
    <w:p>
      <w:pPr>
        <w:pStyle w:val="ListBullet"/>
      </w:pPr>
      <w:r>
        <w:t>BASE_URI controls the host used for local service URLs; MONGO_URI is mandatory in shared.config.py.</w:t>
      </w:r>
    </w:p>
    <w:p>
      <w:pPr>
        <w:pStyle w:val="ListBullet"/>
      </w:pPr>
      <w:r>
        <w:t>LLM_API_KEY, LLM_API_BASE_URL, LLM_MODEL, and LLM_MAX_TOOL_ROUNDS enable/configure external-compatible LLM planning. Leaving the key empty enables the local selection fallback.</w:t>
      </w:r>
    </w:p>
    <w:p>
      <w:pPr>
        <w:pStyle w:val="ListBullet"/>
      </w:pPr>
      <w:r>
        <w:t>The README documents a sample registry check at http://localhost:9001/registry/agents.</w:t>
      </w:r>
    </w:p>
    <w:p>
      <w:pPr>
        <w:pStyle w:val="ListBullet"/>
      </w:pPr>
      <w:r>
        <w:t>The README endpoint table and later UE quick-check identifiers contain a port discrepancy for UE Agent 002; inspect run_all.py and current Agent Cards when validating a live setup.</w:t>
      </w:r>
    </w:p>
    <w:p>
      <w:pPr>
        <w:pStyle w:val="Heading2"/>
      </w:pPr>
      <w:r>
        <w:t>Tests and verification</w:t>
      </w:r>
    </w:p>
    <w:p>
      <w:r>
        <w:t>The repository includes pytest modules named test_chat_app.py, test_mcp_tools.py, and test_authentication.py. The README gives python -m pytest -v as the test command. This report was prepared from source inspection; no application test run or live infrastructure validation is represented here.</w:t>
      </w:r>
    </w:p>
    <w:p>
      <w:pPr>
        <w:pStyle w:val="Heading1"/>
      </w:pPr>
      <w:r>
        <w:t>8. Strengths, limitations, and recommendations</w:t>
      </w:r>
    </w:p>
    <w:p>
      <w:pPr>
        <w:pStyle w:val="Heading2"/>
      </w:pPr>
      <w:r>
        <w:t>Strengths</w:t>
      </w:r>
    </w:p>
    <w:p>
      <w:pPr>
        <w:pStyle w:val="ListBullet"/>
      </w:pPr>
      <w:r>
        <w:t>Clear separation into discoverable services with explicit Agent Cards and skill declarations.</w:t>
      </w:r>
    </w:p>
    <w:p>
      <w:pPr>
        <w:pStyle w:val="ListBullet"/>
      </w:pPr>
      <w:r>
        <w:t>A shared A2A client centralizes discovery, OAuth token acquisition, and inter-agent requests.</w:t>
      </w:r>
    </w:p>
    <w:p>
      <w:pPr>
        <w:pStyle w:val="ListBullet"/>
      </w:pPr>
      <w:r>
        <w:t>MCP access extends operations to compatible tools/assistants without duplicating backend business logic.</w:t>
      </w:r>
    </w:p>
    <w:p>
      <w:pPr>
        <w:pStyle w:val="ListBullet"/>
      </w:pPr>
      <w:r>
        <w:t>The authentication/trust flow includes an observable re-verification and audit path.</w:t>
      </w:r>
    </w:p>
    <w:p>
      <w:pPr>
        <w:pStyle w:val="ListBullet"/>
      </w:pPr>
      <w:r>
        <w:t>The repository contains both backend tests and an operator-facing dashboard/chat experience.</w:t>
      </w:r>
    </w:p>
    <w:p>
      <w:pPr>
        <w:pStyle w:val="Heading2"/>
      </w:pPr>
      <w:r>
        <w:t>Limitations visible in the repository</w:t>
      </w:r>
    </w:p>
    <w:p>
      <w:pPr>
        <w:pStyle w:val="ListBullet"/>
      </w:pPr>
      <w:r>
        <w:t>No checked-in Docker Compose stack or automated environment bootstrap for MongoDB and Keycloak.</w:t>
      </w:r>
    </w:p>
    <w:p>
      <w:pPr>
        <w:pStyle w:val="ListBullet"/>
      </w:pPr>
      <w:r>
        <w:t>The UI’s initial telemetry is seeded, with explicit simulated fallback behavior; production-grade live dashboard synchronization is not established by those initial values.</w:t>
      </w:r>
    </w:p>
    <w:p>
      <w:pPr>
        <w:pStyle w:val="ListBullet"/>
      </w:pPr>
      <w:r>
        <w:t>Trust scoring and re-evaluation include simple deterministic/demo logic; the authentication sequence should not be treated as a validated telecom security implementation.</w:t>
      </w:r>
    </w:p>
    <w:p>
      <w:pPr>
        <w:pStyle w:val="ListBullet"/>
      </w:pPr>
      <w:r>
        <w:t>The in-memory persistence fallback is ephemeral and differs from MongoDB behavior.</w:t>
      </w:r>
    </w:p>
    <w:p>
      <w:pPr>
        <w:pStyle w:val="ListBullet"/>
      </w:pPr>
      <w:r>
        <w:t>The README has an apparent UE-002 port inconsistency.</w:t>
      </w:r>
    </w:p>
    <w:p>
      <w:pPr>
        <w:pStyle w:val="ListBullet"/>
      </w:pPr>
      <w:r>
        <w:t>The code and repository documentation do not establish scale testing, high availability, deployment hardening, or 3GPP/6G conformance.</w:t>
      </w:r>
    </w:p>
    <w:p>
      <w:pPr>
        <w:pStyle w:val="Heading2"/>
      </w:pPr>
      <w:r>
        <w:t>Recommended next steps</w:t>
      </w:r>
    </w:p>
    <w:p>
      <w:pPr>
        <w:ind w:left="403" w:hanging="317"/>
      </w:pPr>
      <w:r>
        <w:rPr>
          <w:b/>
        </w:rPr>
        <w:t xml:space="preserve">1. </w:t>
      </w:r>
      <w:r>
        <w:t>Reconcile the UE-002 port in README, launcher, and topology metadata; derive the documentation from one source of truth.</w:t>
      </w:r>
    </w:p>
    <w:p>
      <w:pPr>
        <w:ind w:left="403" w:hanging="317"/>
      </w:pPr>
      <w:r>
        <w:rPr>
          <w:b/>
        </w:rPr>
        <w:t xml:space="preserve">2. </w:t>
      </w:r>
      <w:r>
        <w:t>Label simulated dashboard values clearly, and connect each visible operational metric to a backend endpoint or event feed before presenting it as live telemetry.</w:t>
      </w:r>
    </w:p>
    <w:p>
      <w:pPr>
        <w:ind w:left="403" w:hanging="317"/>
      </w:pPr>
      <w:r>
        <w:rPr>
          <w:b/>
        </w:rPr>
        <w:t xml:space="preserve">3. </w:t>
      </w:r>
      <w:r>
        <w:t>Add a reproducible local deployment profile for MongoDB and Keycloak, with safe development-only defaults and a clear production configuration boundary.</w:t>
      </w:r>
    </w:p>
    <w:p>
      <w:pPr>
        <w:ind w:left="403" w:hanging="317"/>
      </w:pPr>
      <w:r>
        <w:rPr>
          <w:b/>
        </w:rPr>
        <w:t xml:space="preserve">4. </w:t>
      </w:r>
      <w:r>
        <w:t>Replace deterministic trust and re-authentication demonstration behavior with a documented threat model, verifiable challenge/proof handling, and tests for failure cases.</w:t>
      </w:r>
    </w:p>
    <w:p>
      <w:pPr>
        <w:ind w:left="403" w:hanging="317"/>
      </w:pPr>
      <w:r>
        <w:rPr>
          <w:b/>
        </w:rPr>
        <w:t xml:space="preserve">5. </w:t>
      </w:r>
      <w:r>
        <w:t>Add integration tests for registry registration, supervisor routing, end-to-end authentication/recovery, MCP authorization, and UE peer messaging.</w:t>
      </w:r>
    </w:p>
    <w:p>
      <w:pPr>
        <w:ind w:left="403" w:hanging="317"/>
      </w:pPr>
      <w:r>
        <w:rPr>
          <w:b/>
        </w:rPr>
        <w:t xml:space="preserve">6. </w:t>
      </w:r>
      <w:r>
        <w:t>Review transport security, credential rotation, data retention, log redaction, and handling of subscriber identifiers before moving beyond isolated local demonstrations.</w:t>
      </w:r>
    </w:p>
    <w:p>
      <w:pPr>
        <w:ind w:left="403" w:hanging="317"/>
      </w:pPr>
      <w:r>
        <w:rPr>
          <w:b/>
        </w:rPr>
        <w:t xml:space="preserve">7. </w:t>
      </w:r>
      <w:r>
        <w:t>Document supported API payloads, error behavior, service dependencies, and expected startup health checks.</w:t>
      </w:r>
    </w:p>
    <w:p>
      <w:pPr>
        <w:pStyle w:val="Heading1"/>
      </w:pPr>
      <w:r>
        <w:t>Conclusion</w:t>
      </w:r>
    </w:p>
    <w:p>
      <w:r>
        <w:t>The project is a useful end-to-end prototype of a discoverable multi-agent network service stack with OAuth-protected A2A calls and an MCP-facing automation layer. Its most valuable next step is to make the boundary between live backend behavior and demonstration UI/security logic explicit, then improve reproducibility and integration verification. This will make the system easier to evaluate, operate, and safely extend.</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F7D89"/>
        <w:sz w:val="16"/>
      </w:rPr>
      <w:t>6G Agentic AI Core Network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A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6G Agentic AI Core Network Project Report</dc:title>
  <dc:subject>Technical project report based on repository source and README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