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Data Scientist Technical Brief: IFTA Evidence Normalization, Analytics &amp; Machine Learning</w:t>
      </w:r>
    </w:p>
    <w:p>
      <w:pPr>
        <w:spacing w:after="8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Prepared By: Pavan R. Hebbar</w:t>
      </w:r>
    </w:p>
    <w:p>
      <w:pPr>
        <w:spacing w:after="360" w:before="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Domain Focus: International Fuel Tax Agreement (IFTA) Compliance Audit &amp; Multi-Stage Anomaly Detection Pipeline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Multi-Modal Data Extraction and Processing Baseline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Three heterogeneous source files were ingested using a fully AWS-native extraction pipeline. Raw documents land in Amazon S3 (ca-west-1, prh-ifta-audit-lake), where format-specific extractors produce pipe-delimited CSVs that are registered as Athena external tables. The pipe delimiter was chosen deliberately over comma to prevent Athena's LazySimpleSerDe from misreading quoted city-province strings such as "Nisku, AB" as column boundaries.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Tabular Distance Log (Distance log 1.xlsx — Truck 1, 2016–2021): </w:t>
      </w:r>
      <w:r>
        <w:rPr>
          <w:rFonts w:ascii="Arial" w:cs="Arial" w:eastAsia="Arial" w:hAnsi="Arial"/>
          <w:sz w:val="22"/>
          <w:szCs w:val="22"/>
        </w:rPr>
        <w:t xml:space="preserve">The well-structured Excel spreadsheet is read directly via pandas.read_excel(). Each row is a single trip leg with origin, destination, odometer readings, and total distance. Jurisdictional fuel and km columns (AB, BC, MB, ON, SK) were populated by fuzzy-matching the nearest invoice within a ±3-day window.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Scanned PDF Distance Log (Distance log 2.pdf — Truck 2, 2022): </w:t>
      </w:r>
      <w:r>
        <w:rPr>
          <w:rFonts w:ascii="Arial" w:cs="Arial" w:eastAsia="Arial" w:hAnsi="Arial"/>
          <w:sz w:val="22"/>
          <w:szCs w:val="22"/>
        </w:rPr>
        <w:t xml:space="preserve">This multi-page scanned document is staged in S3 and processed via Textract's asynchronous start_document_analysis() endpoint. The job polls until completion, then stitches table blocks across page boundaries using get_df_texttables_special(). Where distance_km was absent, total_km is derived as end_odometer minus start_odometer (clipped at 0). The two distance logs are disambiguated throughout the pipeline using the source_log column (Log_1_Excel / Log_2_PDF), which is also used as the truck boundary for per-vehicle odometer continuity checks.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Fuel Invoice Repository (Fuel invoices.docx): </w:t>
      </w:r>
      <w:r>
        <w:rPr>
          <w:rFonts w:ascii="Arial" w:cs="Arial" w:eastAsia="Arial" w:hAnsi="Arial"/>
          <w:sz w:val="22"/>
          <w:szCs w:val="22"/>
        </w:rPr>
        <w:t xml:space="preserve">Invoice images embedded inside the Word document are extracted and each is passed through Textract's analyze_expense() API (ca-central-1, the only Canadian region supporting Textract). The expense parser returns semantically typed fields — VENDOR, DATE, TOTAL, QUANTITY — with per-field confidence scores that are retained as a data reliability signal. A fallback regex pass resolves values that the structured parser misses.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standardize_df_columns() function applies a fuzzy alias lookup (e.g. "AB KMs", "ab kms", "Alberta km" all resolve to ab_kms) before falling back to NaN for genuinely missing columns. A diagnostic report prints matched, renamed, and NaN-filled columns at runtime. Both distance logs and the invoice extract are written to S3 as pipe-delimited CSVs under ocr-extracted-csv/, where Athena external table definitions register them as queryable Glue catalog entries.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Engineered Feature Space &amp; ML-Ready Target Dataset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unified modeling matrix is constructed by joining both distance logs with matched invoice records via an Athena SQL view (ifta_audit_merged_view) that applies a ±3-day fuzzy date join and ranks matches by proximity. The resulting dataset is then enriched by a CTAS (Create Table As Select) query that computes all engineered features inside Athena, writing the output directly to S3 as a compressed Parquet file for efficient downstream querying.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Critical Analytical Insight — Fuel Record Sparsity: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The pipeline identifies four tiers of fuel record confidence: invoice (Textract-verified receipt), provincial_log (self-reported fuel on the exact row), provincial_log_nearby (self-reported fuel within ±3 days), and missing (no fuel record anywhere near the trip). Only a minority of trips carry a matched invoice. This systemic sparsity makes the fuelling-cycle window features and jurisdictional proportion vectors mathematically essential for isolating true anomalies from routine refuelling noise.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Comprehensive Target Dataset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Feature Column 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Dtype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trip_date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Chronological index pairing log events with transaction markers.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trip_origin / trip_destination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(str)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Geographical text identifiers for boundary tracing.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start_odometer / end_odometer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Raw instrumentation records confirming log line continuity.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scalar distance leg. Derived as end_odometer − start_odometer where distance_km is absent (Log 2).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provincial_sum_km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 of all provincial km columns (AB+BC+MB+ON+SK). Should equal total_km for compliant records.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km_reconciliation_gap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total_km − provincial_sum_km, clipped at 0. Non-zero values indicate jurisdictional under-reporting.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ab_km / bc_km / mb_km / on_km / sk_km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Physical distance segments mapped inside each of the five tracked provincial jurisdictions.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ab_fuel / bc_fuel / mb_fuel / on_fuel / sk_fuel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Volumetric fuel allocations recorded at each provincial transaction node.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matching_invoice_number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(str)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receipt key string. "NO MATCHING INVOICE" when no invoice was matched within ±3 days.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invoice_date / invoice_time / invoice_location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(str)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Spatial-temporal fields derived from Textract expense OCR metadata.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total_cost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Gross invoice currency paid for the fuel allocation.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total_fuel_litres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Reconciled fuel volume: invoice quantity takes priority, provincial log fills gaps, nearby cycle average used as last resort.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fuel_source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(str)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4-tier confidence label: invoice | provincial_log | provincial_log_nearby | missing.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fuel_source_reliability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int64 (0–3)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Ordinal encoding of fuel_source for the ML model: 3=invoice, 2=provincial_log, 1=nearby, 0=missing.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fuel_litres_per_km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Single-trip consumption efficiency ratio. Expected fleet envelope: 0.3–0.7 L/km.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fuel_cost_per_km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Financial efficiency ratio on matched invoice lines. Flags implausibly high (&gt;$1.00/km) or low (&lt;$0.10/km) costs.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km_per_tank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km driven across all trips in the current fuelling cycle (between the previous and next fill-up events). Shared by all trips in the same cycle. Validates physical tank range.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avg_fuel_per_tank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Average of the two surrounding fill-up quantities. Used as the denominator-neutral fuel anchor for cycle efficiency.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cycle_fuel_per_km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avg_fuel_per_tank ÷ km_per_tank. Tank-range efficiency signal — catches patterns that look normal per trip but are implausible over a full fuelling cycle.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odometer_gap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int64 (0/1)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Binary flag: 1 if start_odometer of this trip exceeds end_odometer of the prior trip for the same truck by &gt;50 km. Computed per vehicle (source_log) to avoid false gaps at log boundaries.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cross_border_trip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 (0/1)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Binary flag: 1 when origin and destination provinces differ. Used as a post-hoc audit priority filter, not a model feature.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{prov}_dist_prop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Fractional distance scalar indicating provincial footprint ratio inside travel zone.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{prov}_fuel_prop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Fractional fuel purchase scalar representing regional tax share ratio.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{prov}_dist_fuel_variance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Cross-examination vector: dist_prop − fuel_prop. Non-zero values indicate jurisdictional misalignment.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weekly_avg_distance_km / _fuel_litres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7-day rolling average (closed=left, excludes current day) used as short-term operational baseline.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monthly_avg_distance_km / _fuel_litres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30-day rolling average used as long-term structural baseline.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dist_to_weekly_ratio / fuel_to_weekly_ratio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Ratio of this trip's value to the 7-day rolling average. Values &gt;1 indicate above-baseline activity.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dist_to_monthly_ratio / fuel_to_monthly_ratio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Ratio of this trip's value to the 30-day rolling average.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source_log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(str)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provenance tag (Log_1_Excel / Log_2_PDF) indicating vehicle identity and source document lineage.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AWS Cloud Pipeline Architecture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analytical workflow runs natively on AWS, using a staged S3-centric architecture where each service processes data and writes outputs back to the data lake without local compute. The pipeline is orchestrated by a main_aws.py script that calls each stage in sequence and supports skip flags (--skip-extraction, --skip-schema) for iterative re-runs.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AWS Service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Role in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S3 (ca-west-1)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Central data lake. All intermediate outputs (raw/, ocr-extracted-csv/, engineered-features/, audit-stage1/, audit-stage2/, audit-results/) live in prh-ifta-audit-lake. Single source of truth between every stage.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Textract (ca-central-1)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OCR extraction. analyze_expense() extracts structured invoice fields with confidence scores. start_document_analysis() handles multi-page PDF distance logs asynchronously. Textract runs in ca-central-1 (the only Canadian region supporting it) with a dedicated staging bucket; all other services use ca-west-1.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AWS Glue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Schema catalogue. Two external table definitions (ifta_extracted_invoices, ifta_extracted_distance_logs) point Athena at the S3 CSV locations without moving 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Athena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Serverless SQL. Three sequential operations: (1) CREATE OR REPLACE VIEW for the ±3-day fuzzy join; (2) CTAS writing the full feature matrix to S3 as Parquet; (3) Two additional CTAS operations executing Stage 1 deterministic rules and writing flagged and clean-pool outputs.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Apache Parquet (via CTAS)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Columnar output format for the feature table. Enables predicate pushdown, embeds schema, and dramatically reduces Athena scan costs compared to CSV.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SageMaker Processing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Managed ML compute. A SKLearnProcessor job runs analysis_bysagemaker.py on an ml.t3.medium instance. SageMaker mounts the clean-pool Parquet from S3, executes Isolation Forest + feature ablation, and uploads outputs back to S3 automatically. Full job history and logs available in CloudWatch.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CloudWatch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Automatic logging of the SageMaker Processing Job. Provides a reproducible audit trail of every ML run without additional instrumentation.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Pipeline data flow: S3 raw/ → Textract → S3 ocr-extracted-csv/ → Athena external tables → Athena view (fuzzy join) → Athena CTAS (engineered-features/ Parquet) → Athena CTAS Stage 1 (audit-stage1/flagged/ + audit-stage1/clean-pool/) → SageMaker Processing Job (audit-stage2/) → boto3 merge → audit-results/master_audit_ledger.csv.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Two-Stage Anomaly Detection Pipeline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hybrid two-stage pipeline enforces structural compliance. Explicit univariate process violations are separated from subtle, latent statistical anomalies. Each flagged record carries a Primary Driver and Secondary Driver label drawn from seven named rule categories, enabling auditors to triage by violation type rather than by raw score.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Stage 1: Deterministic Rules Engine (Athena SQL)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Stage 1 runs entirely inside Athena as a SQL CTAS query. Population statistics (mean, standard deviation, median) are computed in a WITH clause and cross-joined to every record. Thirteen rule conditions spanning seven named categories flag explicit violations. Two CTAS outputs are produced: one for flagged records, one clean pool for Stage 2. No local compute is required.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Driver Category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Rules Included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Missing fuel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fuel_source_reliability == 0 AND total_km &gt; 0. Trip moved but no fuel record exists anywhere within ±3 days. Highest audit priority.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Odometer gap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odometer_gap == 1. start_odometer of this trip exceeds end_odometer of the previous trip for the same truck by more than 50 km. Computed per vehicle to avoid false positives at log boundaries.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Distance mismatch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km_reconciliation_gap ≥ 10 km. The sum of provincial km columns does not account for all recorded distance, indicating a jurisdictional reporting gap.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 quantity or km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total_km, total_fuel_litres, avg_fuel_per_tank, or km_per_tank exceeds +3σ. Also fires if avg_fuel_per_tank &lt; 100 L (physically implausible fill-up).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 efficiency mismatch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fuel_litres_per_km or cycle_fuel_per_km exceeds +3σ, or cycle_fuel_per_km &lt; 0.05 L/km (impossibly efficient). Also catches the IFTA boundary violation: 100% of fuel in Alberta but 0% of distance logged there.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 cost high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fuel_cost_per_km &gt; $1.00/km on a matched invoice. Flags inflated cost claims relative to physical distance driven.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Temporal trend mismatch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dist_to_weekly_ratio, fuel_to_weekly_ratio, dist_to_monthly_ratio, or fuel_to_monthly_ratio exceeds +3σ. Also catches macro drift: weekly or monthly rolling averages deviating beyond 3σ of their population median (using median as a robust centre to avoid inflating the threshold with the outliers being detected).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flagged record receives a Primary Driver (highest-priority rule that fired) and a Secondary Driver (next co-occurring rule, if any). A terminal summary table is printed after Stage 1 showing the count of records each category contributes to as primary and secondary driver, enabling rapid assessment of which rule categories dominate the audit batch.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Stage 2: Isolation Forest (SageMaker Processing Job)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Records that pass all Stage 1 filters are written to S3 as a clean pool and submitted to a SageMaker Processing Job. The job fits an Isolation Forest ensemble (200 trees, contamination=0.03, validated by sensitivity analysis across rates from 1% to 10%) on the following 16 base features plus 15 jurisdictional proportion features (5 provinces × 3 metrics):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Base features: total_km, total_fuel_litres, fuel_litres_per_km, fuel_cost_per_km, cycle_fuel_per_km, km_per_tank, avg_fuel_per_tank, provincial_sum_km, km_reconciliation_gap, fuel_source_reliability, odometer_gap, weekly_avg_distance_km, weekly_avg_fuel_litres, dist_to_weekly_ratio, fuel_to_weekly_ratio, dist_to_monthly_ratio, fuel_to_monthly_ratio.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Isolation Forest exploits the fact that anomalous records — sitting in sparse regions of the feature space — require fewer recursive random splits to isolate from the population than normal records buried deep in dense clusters. Short average path length across 200 trees produces a highly negative anomaly score.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After scoring, a Local Feature Ablation analysis explains each flagged record individually: each feature is neutralised to its population mean (zero under StandardScaler) one at a time, and the improvement in anomaly score is measured. The feature whose removal most improves the score is assigned as the Primary Driver; the next is the Secondary Driver. A global importance chart aggregates driver frequencies across all Stage 2 flags.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Deep Forensic Interpretation &amp; Explainability Analysis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Part A: Rule-Based Diagnostics (Stage 1)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deterministic engine flags records across multiple named categories. Representative examples from each major category illustrate the types of compliance risk identified: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Fuel efficiency mismatch (2022-06-06 | Nisku to Spruce Grove → Nisku, AB): </w:t>
      </w:r>
      <w:r>
        <w:rPr>
          <w:rFonts w:ascii="Arial" w:cs="Arial" w:eastAsia="Arial" w:hAnsi="Arial"/>
          <w:sz w:val="22"/>
          <w:szCs w:val="22"/>
        </w:rPr>
        <w:t xml:space="preserve">Fuel intensity spiked to 2.5 L/km — far beyond the expected 0.3–0.7 L/km envelope for commercial trucks. Primary Driver: Fuel efficiency mismatch. This profile points directly to omitted distance sheets, where fuel was recorded but the corresponding distance was not fully captured.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IFTA boundary violation (2022-01-06 | Valemount, BC → Nisku, AB): </w:t>
      </w:r>
      <w:r>
        <w:rPr>
          <w:rFonts w:ascii="Arial" w:cs="Arial" w:eastAsia="Arial" w:hAnsi="Arial"/>
          <w:sz w:val="22"/>
          <w:szCs w:val="22"/>
        </w:rPr>
        <w:t xml:space="preserve">The asset recorded 100% of its fuel in Alberta (ab_fuel_prop = 1.0) while logging 0% of its distance there (ab_dist_prop = 0.0). This cross-border mismatch is a direct IFTA compliance breach. Primary Driver: Fuel efficiency mismatch (IFTA boundary sub-rule).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Temporal trend mismatch (2022-02-13 | Nisku to Kamloops → Williams Lake, BC): </w:t>
      </w:r>
      <w:r>
        <w:rPr>
          <w:rFonts w:ascii="Arial" w:cs="Arial" w:eastAsia="Arial" w:hAnsi="Arial"/>
          <w:sz w:val="22"/>
          <w:szCs w:val="22"/>
        </w:rPr>
        <w:t xml:space="preserve">Trip distance spiked to 4.0× the vehicle's 7-day rolling average. Normal fleet variance sits below 2.5×, indicating multiple physical travel legs were batched under a single date entry. Primary Driver: Temporal trend mismatch.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Fuel quantity or km (2016-03-16 | Caledon → Red Deer): </w:t>
      </w:r>
      <w:r>
        <w:rPr>
          <w:rFonts w:ascii="Arial" w:cs="Arial" w:eastAsia="Arial" w:hAnsi="Arial"/>
          <w:sz w:val="22"/>
          <w:szCs w:val="22"/>
        </w:rPr>
        <w:t xml:space="preserve">A cross-country distance of 3,250 km was logged alongside only 46 L of fuel — a physical impossibility confirming unsubmitted fuel invoices. Primary Driver: Fuel quantity or km (km_per_tank exceeds +3σ).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 fuel: </w:t>
      </w:r>
      <w:r>
        <w:rPr>
          <w:rFonts w:ascii="Arial" w:cs="Arial" w:eastAsia="Arial" w:hAnsi="Arial"/>
          <w:sz w:val="22"/>
          <w:szCs w:val="22"/>
        </w:rPr>
        <w:t xml:space="preserve">Trips where total_km &gt; 0 but fuel_source_reliability == 0 (no fuel record of any kind within ±3 days) are flagged as highest-priority audit items, as the distance cannot be verified against any purchase record.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Odometer gap: </w:t>
      </w:r>
      <w:r>
        <w:rPr>
          <w:rFonts w:ascii="Arial" w:cs="Arial" w:eastAsia="Arial" w:hAnsi="Arial"/>
          <w:sz w:val="22"/>
          <w:szCs w:val="22"/>
        </w:rPr>
        <w:t xml:space="preserve">Where start_odometer of a trip exceeds end_odometer of the previous trip for the same truck by more than 50 km, an undocumented segment of distance exists that cannot be allocated to any jurisdiction. Per-vehicle grouping ensures Log 1 and Log 2 odometer sequences do not generate spurious cross-truck gaps.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terminal driver contribution summary printed after Stage 1 provides a breakdown of how many records each category contributes to as Primary and Secondary Driver, enabling rapid triage of which rule types dominate the batch.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Part B: Latent Multi-Dimensional Discoveries (Stage 2)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Following the rules engine, the Isolation Forest flags additional trips exhibiting subtle multi-feature interactions that fall below the Stage 1 univariate thresholds. To maintain full transparency, a Global Feature Ablation Analysis quantifies the structural drivers behind each unsupervised classification by systematically neutralising individual features and tracking the resulting change in anomaly score.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An important finding from the contamination rate sensitivity analysis is that the flagged record count increases gradually and near-linearly as the threshold rises from 1% (2 records) to 10% (13 records), with no sharp elbow or inflection point in the curve. This smooth gradient indicates that the Stage 2 clean pool contains no records that stand dramatically apart from the rest of the population — the flagged trips are borderline cases sitting just beyond the decision boundary, not clear-cut structural outliers. This is the expected and healthy outcome: Stage 1 has already removed the unambiguous violations, leaving the Isolation Forest to detect only the subtler, multi-dimensional signals that warranted the 3% threshold selection as a pragmatic balance between audit workload and detection sensitivity.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Global Feature Ablation analysis across the four records flagged at the 3% threshold produced the following driver frequency distribution: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Feature (Ablation Driver)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Frequency as Primary or Secondary Driver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km_per_tank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records — highest frequency. Trips where the cycle distance between fill-ups is unusual relative to population norms. Indicates a fuelling cycle length that is implausible given the truck's operational profile.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fuel_litres_per_km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record — single-trip fuel intensity deviates from the fleet baseline even though it did not cross the Stage 1 ±3σ hard threshold.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provincial_sum_km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record — the sum of provincial km columns differs subtly from total_km in a way that individually does not breach the 10 km reconciliation threshold but contributes to a multi-feature anomaly path.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fuel_to_weekly_ratio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record — fuel consumption relative to the 7-day rolling average is elevated, indicating above-baseline activity for this period without crossing the univariate threshold.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fuel_to_monthly_ratio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record — fuel consumption relative to the 30-day rolling average is elevated, complementing the weekly signal and confirming a sustained above-baseline pattern.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dominance of km_per_tank as the primary ablation driver is diagnostically meaningful: it confirms that the Isolation Forest is detecting trips where the physical distance covered within a fuelling cycle is inconsistent with the rest of the fleet’s operational profile — a signal that is difficult to catch with univariate rules alone but emerges naturally from the model’s multi-dimensional isolation path. The co-occurrence of temporal ratio features (fuel_to_weekly_ratio, fuel_to_monthly_ratio) as secondary drivers corroborates that these are sustained behavioural deviations rather than single-event noise.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Both Stage 1 and Stage 2 outputs are concatenated into a master audit ledger (master_audit_ledger.csv) written to S3 and queryable directly via Athena, enabling auditors to filter, sort, and triage records by driver category, anomaly source, route context, and anomaly score without any local tooling.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Links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GitHub project: </w:t>
      </w:r>
      <w:hyperlink w:history="1" r:id="rIdrnt_9ngrcpgouqhtmdxub">
        <w:r>
          <w:rPr>
            <w:rStyle w:val="Hyperlink"/>
            <w:rFonts w:ascii="Arial" w:cs="Arial" w:eastAsia="Arial" w:hAnsi="Arial"/>
            <w:color w:val="0563C1"/>
            <w:sz w:val="22"/>
            <w:szCs w:val="22"/>
            <w:u w:val="single"/>
          </w:rPr>
          <w:t xml:space="preserve">https://github.com/pavanhebbar/DataScietist_TRB_GoV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nt_9ngrcpgouqhtmdxub" Type="http://schemas.openxmlformats.org/officeDocument/2006/relationships/hyperlink" Target="https://github.com/pavanhebbar/DataScietist_TRB_Go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2026-06-04T15:17:50.222Z</dcterms:created>
  <dcterms:modified xsi:type="dcterms:W3CDTF">2026-06-04T15:17:50.236Z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