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Infrastructure Manual v3.4</w:t>
      </w:r>
    </w:p>
    <w:p>
      <w:r>
        <w:t>Document ID: MAN-IT-3.4 | Version: 3.4 | Department: Information Technology | Year: 2026</w:t>
      </w:r>
    </w:p>
    <w:p>
      <w:pPr>
        <w:pStyle w:val="Heading1"/>
      </w:pPr>
      <w:r>
        <w:t>Section 1: Infrastructure Overview &amp; Architecture</w:t>
      </w:r>
    </w:p>
    <w:p>
      <w:r>
        <w:t>NexusCorp operates a hybrid cloud infrastructure across AWS and on-premise data centers. All production services adhere to zero-trust architecture principles governed by Regulation SR-402.</w:t>
      </w:r>
    </w:p>
    <w:p>
      <w:pPr>
        <w:pStyle w:val="Heading1"/>
      </w:pPr>
      <w:r>
        <w:t>Section 2: Incident Response Workflow (Process X)</w:t>
      </w:r>
    </w:p>
    <w:p>
      <w:r>
        <w:t>Process X defines the mission-critical incident triage and server provisioning pipeline for high-availability systems.</w:t>
      </w:r>
    </w:p>
    <w:p>
      <w:r>
        <w:t>Step 1: Level 1 triage must be acknowledged within 15 minutes of automated alert triggering.</w:t>
      </w:r>
    </w:p>
    <w:p>
      <w:r>
        <w:t>Step 2: If the incident severity is classified as High (Sev-1 or Sev-2), escalation to the Level 2 Engineering Team must occur within 1 hour.</w:t>
      </w:r>
    </w:p>
    <w:p>
      <w:r>
        <w:t>Step 3: Process X requires full audit trace logging and compliance with Regulation SR-402 Section 5 incident notification window (2 hours maximum).</w:t>
      </w:r>
    </w:p>
    <w:p>
      <w:pPr>
        <w:pStyle w:val="Heading1"/>
      </w:pPr>
      <w:r>
        <w:t>Section 3: Remote Access VPN Provisioning</w:t>
      </w:r>
    </w:p>
    <w:p>
      <w:r>
        <w:t>Employees approved for remote work under Employee Operations Policy 2026 must be assigned an encrypted WireGuard/OpenVPN profile with split-tunneling disabled for corporate networks.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