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Pain Points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Pain Point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Slow refunds (6 days)</w:t>
            </w:r>
          </w:p>
        </w:tc>
        <w:tc>
          <w:tcPr>
            <w:tcW w:type="dxa" w:w="2880"/>
          </w:tcPr>
          <w:p>
            <w:r>
              <w:t>Low trust, churn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 status visibility</w:t>
            </w:r>
          </w:p>
        </w:tc>
        <w:tc>
          <w:tcPr>
            <w:tcW w:type="dxa" w:w="2880"/>
          </w:tcPr>
          <w:p>
            <w:r>
              <w:t>High support load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Confusing policy</w:t>
            </w:r>
          </w:p>
        </w:tc>
        <w:tc>
          <w:tcPr>
            <w:tcW w:type="dxa" w:w="2880"/>
          </w:tcPr>
          <w:p>
            <w:r>
              <w:t>Fewer completed returns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Poor communication</w:t>
            </w:r>
          </w:p>
        </w:tc>
        <w:tc>
          <w:tcPr>
            <w:tcW w:type="dxa" w:w="2880"/>
          </w:tcPr>
          <w:p>
            <w:r>
              <w:t>Repeat contacts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Rejected genuine returns</w:t>
            </w:r>
          </w:p>
        </w:tc>
        <w:tc>
          <w:tcPr>
            <w:tcW w:type="dxa" w:w="2880"/>
          </w:tcPr>
          <w:p>
            <w:r>
              <w:t>Negative reviews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