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Market Research</w:t>
      </w:r>
    </w:p>
    <w:p>
      <w:r>
        <w:rPr>
          <w:i/>
        </w:rPr>
        <w:t>Smart Returns &amp; Customer Trust Platform</w:t>
      </w:r>
    </w:p>
    <w:p>
      <w:r>
        <w:t>Project Code: SRCTP-2025 | Version 1.0 | Status: Final</w:t>
      </w:r>
    </w:p>
    <w:p/>
    <w:p>
      <w:r>
        <w:t>Global e-commerce returns average 20-30% of online orders. 79% of shoppers expect free returns; 67% check return policy before buying. Reverse logistics is a multi-billion market growing ~10% CAGR.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Trend</w:t>
            </w:r>
          </w:p>
        </w:tc>
        <w:tc>
          <w:tcPr>
            <w:tcW w:type="dxa" w:w="4320"/>
          </w:tcPr>
          <w:p>
            <w:r>
              <w:t>Implication</w:t>
            </w:r>
          </w:p>
        </w:tc>
      </w:tr>
      <w:tr>
        <w:tc>
          <w:tcPr>
            <w:tcW w:type="dxa" w:w="4320"/>
          </w:tcPr>
          <w:p>
            <w:r>
              <w:t>Instant refunds</w:t>
            </w:r>
          </w:p>
        </w:tc>
        <w:tc>
          <w:tcPr>
            <w:tcW w:type="dxa" w:w="4320"/>
          </w:tcPr>
          <w:p>
            <w:r>
              <w:t>Build refund automation</w:t>
            </w:r>
          </w:p>
        </w:tc>
      </w:tr>
      <w:tr>
        <w:tc>
          <w:tcPr>
            <w:tcW w:type="dxa" w:w="4320"/>
          </w:tcPr>
          <w:p>
            <w:r>
              <w:t>Fraud analytics</w:t>
            </w:r>
          </w:p>
        </w:tc>
        <w:tc>
          <w:tcPr>
            <w:tcW w:type="dxa" w:w="4320"/>
          </w:tcPr>
          <w:p>
            <w:r>
              <w:t>Build fraud-scoring model</w:t>
            </w:r>
          </w:p>
        </w:tc>
      </w:tr>
      <w:tr>
        <w:tc>
          <w:tcPr>
            <w:tcW w:type="dxa" w:w="4320"/>
          </w:tcPr>
          <w:p>
            <w:r>
              <w:t>Self-service returns</w:t>
            </w:r>
          </w:p>
        </w:tc>
        <w:tc>
          <w:tcPr>
            <w:tcW w:type="dxa" w:w="4320"/>
          </w:tcPr>
          <w:p>
            <w:r>
              <w:t>Customer portal &amp; tracker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