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Objectives</w:t>
      </w:r>
    </w:p>
    <w:p>
      <w:r>
        <w:rPr>
          <w:i/>
        </w:rPr>
        <w:t>Smart Returns &amp; Customer Trust Platform</w:t>
      </w:r>
    </w:p>
    <w:p>
      <w:r>
        <w:t>Project Code: SRCTP-2025 | Version 1.0 | Status: Final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BO-1</w:t>
            </w:r>
          </w:p>
        </w:tc>
        <w:tc>
          <w:tcPr>
            <w:tcW w:type="dxa" w:w="2880"/>
          </w:tcPr>
          <w:p>
            <w:r>
              <w:t>Reduce returns</w:t>
            </w:r>
          </w:p>
        </w:tc>
        <w:tc>
          <w:tcPr>
            <w:tcW w:type="dxa" w:w="2880"/>
          </w:tcPr>
          <w:p>
            <w:r>
              <w:t>18% -&gt; 13%</w:t>
            </w:r>
          </w:p>
        </w:tc>
      </w:tr>
      <w:tr>
        <w:tc>
          <w:tcPr>
            <w:tcW w:type="dxa" w:w="2880"/>
          </w:tcPr>
          <w:p>
            <w:r>
              <w:t>BO-2</w:t>
            </w:r>
          </w:p>
        </w:tc>
        <w:tc>
          <w:tcPr>
            <w:tcW w:type="dxa" w:w="2880"/>
          </w:tcPr>
          <w:p>
            <w:r>
              <w:t>Faster refunds</w:t>
            </w:r>
          </w:p>
        </w:tc>
        <w:tc>
          <w:tcPr>
            <w:tcW w:type="dxa" w:w="2880"/>
          </w:tcPr>
          <w:p>
            <w:r>
              <w:t>6 -&gt; 2 days</w:t>
            </w:r>
          </w:p>
        </w:tc>
      </w:tr>
      <w:tr>
        <w:tc>
          <w:tcPr>
            <w:tcW w:type="dxa" w:w="2880"/>
          </w:tcPr>
          <w:p>
            <w:r>
              <w:t>BO-3</w:t>
            </w:r>
          </w:p>
        </w:tc>
        <w:tc>
          <w:tcPr>
            <w:tcW w:type="dxa" w:w="2880"/>
          </w:tcPr>
          <w:p>
            <w:r>
              <w:t>Cut fraud</w:t>
            </w:r>
          </w:p>
        </w:tc>
        <w:tc>
          <w:tcPr>
            <w:tcW w:type="dxa" w:w="2880"/>
          </w:tcPr>
          <w:p>
            <w:r>
              <w:t>12% -&gt; 7%</w:t>
            </w:r>
          </w:p>
        </w:tc>
      </w:tr>
      <w:tr>
        <w:tc>
          <w:tcPr>
            <w:tcW w:type="dxa" w:w="2880"/>
          </w:tcPr>
          <w:p>
            <w:r>
              <w:t>BO-4</w:t>
            </w:r>
          </w:p>
        </w:tc>
        <w:tc>
          <w:tcPr>
            <w:tcW w:type="dxa" w:w="2880"/>
          </w:tcPr>
          <w:p>
            <w:r>
              <w:t>Improve trust</w:t>
            </w:r>
          </w:p>
        </w:tc>
        <w:tc>
          <w:tcPr>
            <w:tcW w:type="dxa" w:w="2880"/>
          </w:tcPr>
          <w:p>
            <w:r>
              <w:t>62% -&gt; 85%</w:t>
            </w:r>
          </w:p>
        </w:tc>
      </w:tr>
      <w:tr>
        <w:tc>
          <w:tcPr>
            <w:tcW w:type="dxa" w:w="2880"/>
          </w:tcPr>
          <w:p>
            <w:r>
              <w:t>BO-5</w:t>
            </w:r>
          </w:p>
        </w:tc>
        <w:tc>
          <w:tcPr>
            <w:tcW w:type="dxa" w:w="2880"/>
          </w:tcPr>
          <w:p>
            <w:r>
              <w:t>Lower cost</w:t>
            </w:r>
          </w:p>
        </w:tc>
        <w:tc>
          <w:tcPr>
            <w:tcW w:type="dxa" w:w="2880"/>
          </w:tcPr>
          <w:p>
            <w:r>
              <w:t>-20%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