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Problem Statement</w:t>
      </w:r>
    </w:p>
    <w:p>
      <w:r>
        <w:rPr>
          <w:i/>
        </w:rPr>
        <w:t>Smart Returns &amp; Customer Trust Platform</w:t>
      </w:r>
    </w:p>
    <w:p>
      <w:r>
        <w:t>Project Code: SRCTP-2025 | Version 1.0 | Status: Final</w:t>
      </w:r>
    </w:p>
    <w:p/>
    <w:p>
      <w:r>
        <w:t>ShopSphere is experiencing a 30% YoY rise in product returns caused by slow refunds, fraudulent claims, absent analytics, poor communication, and high reverse-logistics cost. This erodes margins and damages customer trust.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