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Success Metrics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Return rate</w:t>
            </w:r>
          </w:p>
        </w:tc>
        <w:tc>
          <w:tcPr>
            <w:tcW w:type="dxa" w:w="2880"/>
          </w:tcPr>
          <w:p>
            <w:r>
              <w:t>18%</w:t>
            </w:r>
          </w:p>
        </w:tc>
        <w:tc>
          <w:tcPr>
            <w:tcW w:type="dxa" w:w="2880"/>
          </w:tcPr>
          <w:p>
            <w:r>
              <w:t>13%</w:t>
            </w:r>
          </w:p>
        </w:tc>
      </w:tr>
      <w:tr>
        <w:tc>
          <w:tcPr>
            <w:tcW w:type="dxa" w:w="2880"/>
          </w:tcPr>
          <w:p>
            <w:r>
              <w:t>Refund time</w:t>
            </w:r>
          </w:p>
        </w:tc>
        <w:tc>
          <w:tcPr>
            <w:tcW w:type="dxa" w:w="2880"/>
          </w:tcPr>
          <w:p>
            <w:r>
              <w:t>6 days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  <w:tr>
        <w:tc>
          <w:tcPr>
            <w:tcW w:type="dxa" w:w="2880"/>
          </w:tcPr>
          <w:p>
            <w:r>
              <w:t>Fraud rate</w:t>
            </w:r>
          </w:p>
        </w:tc>
        <w:tc>
          <w:tcPr>
            <w:tcW w:type="dxa" w:w="2880"/>
          </w:tcPr>
          <w:p>
            <w:r>
              <w:t>12%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CSAT</w:t>
            </w:r>
          </w:p>
        </w:tc>
        <w:tc>
          <w:tcPr>
            <w:tcW w:type="dxa" w:w="2880"/>
          </w:tcPr>
          <w:p>
            <w:r>
              <w:t>62%</w:t>
            </w:r>
          </w:p>
        </w:tc>
        <w:tc>
          <w:tcPr>
            <w:tcW w:type="dxa" w:w="2880"/>
          </w:tcPr>
          <w:p>
            <w:r>
              <w:t>85%</w:t>
            </w:r>
          </w:p>
        </w:tc>
      </w:tr>
      <w:tr>
        <w:tc>
          <w:tcPr>
            <w:tcW w:type="dxa" w:w="2880"/>
          </w:tcPr>
          <w:p>
            <w:r>
              <w:t>Auto-refund %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Support tickets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