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 Whys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Problem: Refunds take 6 days.</w:t>
      </w:r>
    </w:p>
    <w:p>
      <w:r>
        <w:t>1. Why? Manual approval at 3 levels.</w:t>
      </w:r>
    </w:p>
    <w:p>
      <w:r>
        <w:t>2. Why? No automation/rules engine.</w:t>
      </w:r>
    </w:p>
    <w:p>
      <w:r>
        <w:t>3. Why? System not designed for returns at scale.</w:t>
      </w:r>
    </w:p>
    <w:p>
      <w:r>
        <w:t>4. Why? Returns treated as edge case.</w:t>
      </w:r>
    </w:p>
    <w:p>
      <w:r>
        <w:t>5. Why? No return analytics to show cost.</w:t>
      </w:r>
    </w:p>
    <w:p>
      <w:r>
        <w:t>Root cause: Absence of automated, analytics-driven return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