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Root Cause Analysis</w:t>
      </w:r>
    </w:p>
    <w:p>
      <w:r>
        <w:rPr>
          <w:i/>
        </w:rPr>
        <w:t>Smart Returns &amp; Customer Trust Platform</w:t>
      </w:r>
    </w:p>
    <w:p>
      <w:r>
        <w:t>Project Code: SRCTP-2025 | Version 1.0 | Status: Final</w:t>
      </w:r>
    </w:p>
    <w:p/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Symptom</w:t>
            </w:r>
          </w:p>
        </w:tc>
        <w:tc>
          <w:tcPr>
            <w:tcW w:type="dxa" w:w="2880"/>
          </w:tcPr>
          <w:p>
            <w:r>
              <w:t>Root Cause</w:t>
            </w:r>
          </w:p>
        </w:tc>
        <w:tc>
          <w:tcPr>
            <w:tcW w:type="dxa" w:w="2880"/>
          </w:tcPr>
          <w:p>
            <w:r>
              <w:t>Solution</w:t>
            </w:r>
          </w:p>
        </w:tc>
      </w:tr>
      <w:tr>
        <w:tc>
          <w:tcPr>
            <w:tcW w:type="dxa" w:w="2880"/>
          </w:tcPr>
          <w:p>
            <w:r>
              <w:t>Slow refunds</w:t>
            </w:r>
          </w:p>
        </w:tc>
        <w:tc>
          <w:tcPr>
            <w:tcW w:type="dxa" w:w="2880"/>
          </w:tcPr>
          <w:p>
            <w:r>
              <w:t>Manual approvals</w:t>
            </w:r>
          </w:p>
        </w:tc>
        <w:tc>
          <w:tcPr>
            <w:tcW w:type="dxa" w:w="2880"/>
          </w:tcPr>
          <w:p>
            <w:r>
              <w:t>Auto-refund engine</w:t>
            </w:r>
          </w:p>
        </w:tc>
      </w:tr>
      <w:tr>
        <w:tc>
          <w:tcPr>
            <w:tcW w:type="dxa" w:w="2880"/>
          </w:tcPr>
          <w:p>
            <w:r>
              <w:t>High fraud</w:t>
            </w:r>
          </w:p>
        </w:tc>
        <w:tc>
          <w:tcPr>
            <w:tcW w:type="dxa" w:w="2880"/>
          </w:tcPr>
          <w:p>
            <w:r>
              <w:t>No detection</w:t>
            </w:r>
          </w:p>
        </w:tc>
        <w:tc>
          <w:tcPr>
            <w:tcW w:type="dxa" w:w="2880"/>
          </w:tcPr>
          <w:p>
            <w:r>
              <w:t>Fraud-scoring model</w:t>
            </w:r>
          </w:p>
        </w:tc>
      </w:tr>
      <w:tr>
        <w:tc>
          <w:tcPr>
            <w:tcW w:type="dxa" w:w="2880"/>
          </w:tcPr>
          <w:p>
            <w:r>
              <w:t>Poor visibility</w:t>
            </w:r>
          </w:p>
        </w:tc>
        <w:tc>
          <w:tcPr>
            <w:tcW w:type="dxa" w:w="2880"/>
          </w:tcPr>
          <w:p>
            <w:r>
              <w:t>No tracking</w:t>
            </w:r>
          </w:p>
        </w:tc>
        <w:tc>
          <w:tcPr>
            <w:tcW w:type="dxa" w:w="2880"/>
          </w:tcPr>
          <w:p>
            <w:r>
              <w:t>Tracker + Power BI</w:t>
            </w:r>
          </w:p>
        </w:tc>
      </w:tr>
      <w:tr>
        <w:tc>
          <w:tcPr>
            <w:tcW w:type="dxa" w:w="2880"/>
          </w:tcPr>
          <w:p>
            <w:r>
              <w:t>Repeated tickets</w:t>
            </w:r>
          </w:p>
        </w:tc>
        <w:tc>
          <w:tcPr>
            <w:tcW w:type="dxa" w:w="2880"/>
          </w:tcPr>
          <w:p>
            <w:r>
              <w:t>No comms</w:t>
            </w:r>
          </w:p>
        </w:tc>
        <w:tc>
          <w:tcPr>
            <w:tcW w:type="dxa" w:w="2880"/>
          </w:tcPr>
          <w:p>
            <w:r>
              <w:t>Notification service</w:t>
            </w:r>
          </w:p>
        </w:tc>
      </w:tr>
    </w:tbl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