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KPIs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Return Rate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Avg Refund Time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t>Fraud Rate</w:t>
            </w:r>
          </w:p>
        </w:tc>
        <w:tc>
          <w:tcPr>
            <w:tcW w:type="dxa" w:w="4320"/>
          </w:tcPr>
          <w:p>
            <w:r>
              <w:t>7%</w:t>
            </w:r>
          </w:p>
        </w:tc>
      </w:tr>
      <w:tr>
        <w:tc>
          <w:tcPr>
            <w:tcW w:type="dxa" w:w="4320"/>
          </w:tcPr>
          <w:p>
            <w:r>
              <w:t>Auto-Refund %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CSAT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