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Summary Report</w:t>
      </w:r>
    </w:p>
    <w:p>
      <w:r>
        <w:rPr>
          <w:i/>
        </w:rPr>
        <w:t>Smart Returns &amp; Customer Trust Platform</w:t>
      </w:r>
    </w:p>
    <w:p>
      <w:r>
        <w:t>Project Code: SRCTP-2025 | Version 1.0 | Status: Final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cases</w:t>
            </w:r>
          </w:p>
        </w:tc>
        <w:tc>
          <w:tcPr>
            <w:tcW w:type="dxa" w:w="4320"/>
          </w:tcPr>
          <w:p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Passed</w:t>
            </w:r>
          </w:p>
        </w:tc>
        <w:tc>
          <w:tcPr>
            <w:tcW w:type="dxa" w:w="4320"/>
          </w:tcPr>
          <w:p>
            <w:r>
              <w:t>116</w:t>
            </w:r>
          </w:p>
        </w:tc>
      </w:tr>
      <w:tr>
        <w:tc>
          <w:tcPr>
            <w:tcW w:type="dxa" w:w="4320"/>
          </w:tcPr>
          <w:p>
            <w:r>
              <w:t>Failed (fixed)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Pass rate</w:t>
            </w:r>
          </w:p>
        </w:tc>
        <w:tc>
          <w:tcPr>
            <w:tcW w:type="dxa" w:w="4320"/>
          </w:tcPr>
          <w:p>
            <w:r>
              <w:t>100% post-fix</w:t>
            </w:r>
          </w:p>
        </w:tc>
      </w:tr>
      <w:tr>
        <w:tc>
          <w:tcPr>
            <w:tcW w:type="dxa" w:w="4320"/>
          </w:tcPr>
          <w:p>
            <w:r>
              <w:t>Critical defects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Recommendation</w:t>
            </w:r>
          </w:p>
        </w:tc>
        <w:tc>
          <w:tcPr>
            <w:tcW w:type="dxa" w:w="4320"/>
          </w:tcPr>
          <w:p>
            <w:r>
              <w:t>Approved for go-live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