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Note 3</w:t>
      </w:r>
    </w:p>
    <w:p>
      <w:r>
        <w:t>Synthetic data for the LifeVault demo.</w:t>
      </w:r>
    </w:p>
    <w:p>
      <w:r>
        <w:t>Business certainly treat including imagine term begin PM. First size right professor agent street design. Development sing bank better interest. Partner decade your various article message recognize. Commercial product class through. Information lay none them small voice Republican. Cup Mr offer deep key. Meet part top. Special fine economic city actually issue who federal. A fly central space score national couple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