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272D2A47" w:rsidR="00917BFD" w:rsidRPr="00E61E7A" w:rsidRDefault="002F5B8A" w:rsidP="002F5B8A">
          <w:pPr>
            <w:widowControl/>
            <w:tabs>
              <w:tab w:val="left" w:pos="0"/>
              <w:tab w:val="left" w:pos="7005"/>
            </w:tabs>
            <w:autoSpaceDE/>
            <w:autoSpaceDN/>
            <w:spacing w:after="160" w:line="259" w:lineRule="auto"/>
            <w:ind w:right="120"/>
            <w:rPr>
              <w:rFonts w:ascii="Palatino Linotype" w:hAnsi="Palatino Linotype" w:cs="Arial"/>
              <w:b/>
              <w:bCs/>
              <w:sz w:val="24"/>
              <w:szCs w:val="24"/>
            </w:rPr>
          </w:pPr>
          <w:r>
            <w:rPr>
              <w:rFonts w:ascii="Palatino Linotype" w:hAnsi="Palatino Linotype" w:cs="Arial"/>
              <w:b/>
              <w:bCs/>
              <w:sz w:val="24"/>
              <w:szCs w:val="24"/>
            </w:rPr>
            <w:tab/>
          </w: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852FA89"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2F5B8A">
            <w:rPr>
              <w:rFonts w:ascii="Palatino Linotype" w:hAnsi="Palatino Linotype" w:cs="Times New Roman"/>
              <w:b/>
              <w:bCs/>
              <w:color w:val="000000"/>
              <w:sz w:val="40"/>
              <w:szCs w:val="40"/>
              <w:u w:val="single"/>
            </w:rPr>
            <w:t>50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1B1B3DB" w:rsidR="00911571" w:rsidRPr="006916C1" w:rsidRDefault="00563431"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TSH</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5306481D"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2F5B8A">
                  <w:rPr>
                    <w:noProof/>
                    <w:webHidden/>
                  </w:rPr>
                  <w:t>2</w:t>
                </w:r>
                <w:r w:rsidR="00C104FC">
                  <w:rPr>
                    <w:noProof/>
                    <w:webHidden/>
                  </w:rPr>
                  <w:fldChar w:fldCharType="end"/>
                </w:r>
              </w:hyperlink>
            </w:p>
            <w:p w14:paraId="0539BF9F" w14:textId="08E2A64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2F5B8A">
                  <w:rPr>
                    <w:noProof/>
                    <w:webHidden/>
                  </w:rPr>
                  <w:t>3</w:t>
                </w:r>
                <w:r>
                  <w:rPr>
                    <w:noProof/>
                    <w:webHidden/>
                  </w:rPr>
                  <w:fldChar w:fldCharType="end"/>
                </w:r>
              </w:hyperlink>
            </w:p>
            <w:p w14:paraId="1378E18C" w14:textId="27AF9FE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2F5B8A">
                  <w:rPr>
                    <w:noProof/>
                    <w:webHidden/>
                  </w:rPr>
                  <w:t>4</w:t>
                </w:r>
                <w:r>
                  <w:rPr>
                    <w:noProof/>
                    <w:webHidden/>
                  </w:rPr>
                  <w:fldChar w:fldCharType="end"/>
                </w:r>
              </w:hyperlink>
            </w:p>
            <w:p w14:paraId="1F7186D6" w14:textId="5975656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2F5B8A">
                  <w:rPr>
                    <w:noProof/>
                    <w:webHidden/>
                  </w:rPr>
                  <w:t>5</w:t>
                </w:r>
                <w:r>
                  <w:rPr>
                    <w:noProof/>
                    <w:webHidden/>
                  </w:rPr>
                  <w:fldChar w:fldCharType="end"/>
                </w:r>
              </w:hyperlink>
            </w:p>
            <w:p w14:paraId="614E8473" w14:textId="1950318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2F5B8A">
                  <w:rPr>
                    <w:noProof/>
                    <w:webHidden/>
                  </w:rPr>
                  <w:t>6</w:t>
                </w:r>
                <w:r>
                  <w:rPr>
                    <w:noProof/>
                    <w:webHidden/>
                  </w:rPr>
                  <w:fldChar w:fldCharType="end"/>
                </w:r>
              </w:hyperlink>
            </w:p>
            <w:p w14:paraId="1C3C1F46" w14:textId="09FC945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2F5B8A">
                  <w:rPr>
                    <w:noProof/>
                    <w:webHidden/>
                  </w:rPr>
                  <w:t>7</w:t>
                </w:r>
                <w:r>
                  <w:rPr>
                    <w:noProof/>
                    <w:webHidden/>
                  </w:rPr>
                  <w:fldChar w:fldCharType="end"/>
                </w:r>
              </w:hyperlink>
            </w:p>
            <w:p w14:paraId="49887EB2" w14:textId="627E7F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2F5B8A">
                  <w:rPr>
                    <w:noProof/>
                    <w:webHidden/>
                  </w:rPr>
                  <w:t>7</w:t>
                </w:r>
                <w:r>
                  <w:rPr>
                    <w:noProof/>
                    <w:webHidden/>
                  </w:rPr>
                  <w:fldChar w:fldCharType="end"/>
                </w:r>
              </w:hyperlink>
            </w:p>
            <w:p w14:paraId="14714A55" w14:textId="60CDCF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2F5B8A">
                  <w:rPr>
                    <w:noProof/>
                    <w:webHidden/>
                  </w:rPr>
                  <w:t>7</w:t>
                </w:r>
                <w:r>
                  <w:rPr>
                    <w:noProof/>
                    <w:webHidden/>
                  </w:rPr>
                  <w:fldChar w:fldCharType="end"/>
                </w:r>
              </w:hyperlink>
            </w:p>
            <w:p w14:paraId="593D6649" w14:textId="17C17A5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2F5B8A">
                  <w:rPr>
                    <w:noProof/>
                    <w:webHidden/>
                  </w:rPr>
                  <w:t>7</w:t>
                </w:r>
                <w:r>
                  <w:rPr>
                    <w:noProof/>
                    <w:webHidden/>
                  </w:rPr>
                  <w:fldChar w:fldCharType="end"/>
                </w:r>
              </w:hyperlink>
            </w:p>
            <w:p w14:paraId="2389DC55" w14:textId="5A8F253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2F5B8A">
                  <w:rPr>
                    <w:noProof/>
                    <w:webHidden/>
                  </w:rPr>
                  <w:t>7</w:t>
                </w:r>
                <w:r>
                  <w:rPr>
                    <w:noProof/>
                    <w:webHidden/>
                  </w:rPr>
                  <w:fldChar w:fldCharType="end"/>
                </w:r>
              </w:hyperlink>
            </w:p>
            <w:p w14:paraId="7AD66C3C" w14:textId="6D1323C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2F5B8A">
                  <w:rPr>
                    <w:noProof/>
                    <w:webHidden/>
                  </w:rPr>
                  <w:t>8</w:t>
                </w:r>
                <w:r>
                  <w:rPr>
                    <w:noProof/>
                    <w:webHidden/>
                  </w:rPr>
                  <w:fldChar w:fldCharType="end"/>
                </w:r>
              </w:hyperlink>
            </w:p>
            <w:p w14:paraId="0F034551" w14:textId="22B545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2F5B8A">
                  <w:rPr>
                    <w:noProof/>
                    <w:webHidden/>
                  </w:rPr>
                  <w:t>8</w:t>
                </w:r>
                <w:r>
                  <w:rPr>
                    <w:noProof/>
                    <w:webHidden/>
                  </w:rPr>
                  <w:fldChar w:fldCharType="end"/>
                </w:r>
              </w:hyperlink>
            </w:p>
            <w:p w14:paraId="0B86F04C" w14:textId="5DE843A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2F5B8A">
                  <w:rPr>
                    <w:noProof/>
                    <w:webHidden/>
                  </w:rPr>
                  <w:t>9</w:t>
                </w:r>
                <w:r>
                  <w:rPr>
                    <w:noProof/>
                    <w:webHidden/>
                  </w:rPr>
                  <w:fldChar w:fldCharType="end"/>
                </w:r>
              </w:hyperlink>
            </w:p>
            <w:p w14:paraId="52BD4C1B" w14:textId="39019FA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2F5B8A">
                  <w:rPr>
                    <w:noProof/>
                    <w:webHidden/>
                  </w:rPr>
                  <w:t>9</w:t>
                </w:r>
                <w:r>
                  <w:rPr>
                    <w:noProof/>
                    <w:webHidden/>
                  </w:rPr>
                  <w:fldChar w:fldCharType="end"/>
                </w:r>
              </w:hyperlink>
            </w:p>
            <w:p w14:paraId="431D8000" w14:textId="4770B10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2F5B8A">
                  <w:rPr>
                    <w:noProof/>
                    <w:webHidden/>
                  </w:rPr>
                  <w:t>9</w:t>
                </w:r>
                <w:r>
                  <w:rPr>
                    <w:noProof/>
                    <w:webHidden/>
                  </w:rPr>
                  <w:fldChar w:fldCharType="end"/>
                </w:r>
              </w:hyperlink>
            </w:p>
            <w:p w14:paraId="5DC451D2" w14:textId="3C256E4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2F5B8A">
                  <w:rPr>
                    <w:noProof/>
                    <w:webHidden/>
                  </w:rPr>
                  <w:t>10</w:t>
                </w:r>
                <w:r>
                  <w:rPr>
                    <w:noProof/>
                    <w:webHidden/>
                  </w:rPr>
                  <w:fldChar w:fldCharType="end"/>
                </w:r>
              </w:hyperlink>
            </w:p>
            <w:p w14:paraId="4F83CC9D" w14:textId="03EAFD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2F5B8A">
                  <w:rPr>
                    <w:noProof/>
                    <w:webHidden/>
                  </w:rPr>
                  <w:t>11</w:t>
                </w:r>
                <w:r>
                  <w:rPr>
                    <w:noProof/>
                    <w:webHidden/>
                  </w:rPr>
                  <w:fldChar w:fldCharType="end"/>
                </w:r>
              </w:hyperlink>
            </w:p>
            <w:p w14:paraId="0E4D8F63" w14:textId="1ECEB69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2F5B8A">
                  <w:rPr>
                    <w:noProof/>
                    <w:webHidden/>
                  </w:rPr>
                  <w:t>12</w:t>
                </w:r>
                <w:r>
                  <w:rPr>
                    <w:noProof/>
                    <w:webHidden/>
                  </w:rPr>
                  <w:fldChar w:fldCharType="end"/>
                </w:r>
              </w:hyperlink>
            </w:p>
            <w:p w14:paraId="50826F1A" w14:textId="4EACDA8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w:t>
                </w:r>
                <w:r w:rsidRPr="005E16C7">
                  <w:rPr>
                    <w:rStyle w:val="Hyperlink"/>
                    <w:noProof/>
                  </w:rPr>
                  <w:t>t</w:t>
                </w:r>
                <w:r w:rsidRPr="005E16C7">
                  <w:rPr>
                    <w:rStyle w:val="Hyperlink"/>
                    <w:noProof/>
                  </w:rPr>
                  <w: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2F5B8A">
                  <w:rPr>
                    <w:noProof/>
                    <w:webHidden/>
                  </w:rPr>
                  <w:t>13</w:t>
                </w:r>
                <w:r>
                  <w:rPr>
                    <w:noProof/>
                    <w:webHidden/>
                  </w:rPr>
                  <w:fldChar w:fldCharType="end"/>
                </w:r>
              </w:hyperlink>
            </w:p>
            <w:p w14:paraId="36ED23BE" w14:textId="04FA4E0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2F5B8A">
                  <w:rPr>
                    <w:noProof/>
                    <w:webHidden/>
                  </w:rPr>
                  <w:t>15</w:t>
                </w:r>
                <w:r>
                  <w:rPr>
                    <w:noProof/>
                    <w:webHidden/>
                  </w:rPr>
                  <w:fldChar w:fldCharType="end"/>
                </w:r>
              </w:hyperlink>
            </w:p>
            <w:p w14:paraId="42810E0F" w14:textId="7D1A7C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2F5B8A">
                  <w:rPr>
                    <w:noProof/>
                    <w:webHidden/>
                  </w:rPr>
                  <w:t>17</w:t>
                </w:r>
                <w:r>
                  <w:rPr>
                    <w:noProof/>
                    <w:webHidden/>
                  </w:rPr>
                  <w:fldChar w:fldCharType="end"/>
                </w:r>
              </w:hyperlink>
            </w:p>
            <w:p w14:paraId="6C052DB6" w14:textId="68EE05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2F5B8A">
                  <w:rPr>
                    <w:noProof/>
                    <w:webHidden/>
                  </w:rPr>
                  <w:t>18</w:t>
                </w:r>
                <w:r>
                  <w:rPr>
                    <w:noProof/>
                    <w:webHidden/>
                  </w:rPr>
                  <w:fldChar w:fldCharType="end"/>
                </w:r>
              </w:hyperlink>
            </w:p>
            <w:p w14:paraId="1DB79E46" w14:textId="21FC92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2F5B8A">
                  <w:rPr>
                    <w:noProof/>
                    <w:webHidden/>
                  </w:rPr>
                  <w:t>18</w:t>
                </w:r>
                <w:r>
                  <w:rPr>
                    <w:noProof/>
                    <w:webHidden/>
                  </w:rPr>
                  <w:fldChar w:fldCharType="end"/>
                </w:r>
              </w:hyperlink>
            </w:p>
            <w:p w14:paraId="283FA059" w14:textId="6587CAC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 xml:space="preserve">Procedure when </w:t>
                </w:r>
                <w:r w:rsidRPr="005E16C7">
                  <w:rPr>
                    <w:rStyle w:val="Hyperlink"/>
                    <w:noProof/>
                  </w:rPr>
                  <w:t>R</w:t>
                </w:r>
                <w:r w:rsidRPr="005E16C7">
                  <w:rPr>
                    <w:rStyle w:val="Hyperlink"/>
                    <w:noProof/>
                  </w:rPr>
                  <w:t>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2F5B8A">
                  <w:rPr>
                    <w:noProof/>
                    <w:webHidden/>
                  </w:rPr>
                  <w:t>18</w:t>
                </w:r>
                <w:r>
                  <w:rPr>
                    <w:noProof/>
                    <w:webHidden/>
                  </w:rPr>
                  <w:fldChar w:fldCharType="end"/>
                </w:r>
              </w:hyperlink>
            </w:p>
            <w:p w14:paraId="2BF743A9" w14:textId="6A3656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2F5B8A">
                  <w:rPr>
                    <w:noProof/>
                    <w:webHidden/>
                  </w:rPr>
                  <w:t>18</w:t>
                </w:r>
                <w:r>
                  <w:rPr>
                    <w:noProof/>
                    <w:webHidden/>
                  </w:rPr>
                  <w:fldChar w:fldCharType="end"/>
                </w:r>
              </w:hyperlink>
            </w:p>
            <w:p w14:paraId="47EB6F41" w14:textId="0FCD01A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2F5B8A">
                  <w:rPr>
                    <w:noProof/>
                    <w:webHidden/>
                  </w:rPr>
                  <w:t>18</w:t>
                </w:r>
                <w:r>
                  <w:rPr>
                    <w:noProof/>
                    <w:webHidden/>
                  </w:rPr>
                  <w:fldChar w:fldCharType="end"/>
                </w:r>
              </w:hyperlink>
            </w:p>
            <w:p w14:paraId="2E17E7AE" w14:textId="34AB29C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2F5B8A">
                  <w:rPr>
                    <w:noProof/>
                    <w:webHidden/>
                  </w:rPr>
                  <w:t>19</w:t>
                </w:r>
                <w:r>
                  <w:rPr>
                    <w:noProof/>
                    <w:webHidden/>
                  </w:rPr>
                  <w:fldChar w:fldCharType="end"/>
                </w:r>
              </w:hyperlink>
            </w:p>
            <w:p w14:paraId="661FDA98" w14:textId="2FBF87D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2F5B8A">
                  <w:rPr>
                    <w:noProof/>
                    <w:webHidden/>
                  </w:rPr>
                  <w:t>19</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83CEDF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65BB791" w14:textId="77777777" w:rsidR="00074111" w:rsidRDefault="0007411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74111" w:rsidRPr="00156BFB" w14:paraId="48CD9884" w14:textId="77777777" w:rsidTr="00AF2A07">
            <w:trPr>
              <w:trHeight w:val="1417"/>
            </w:trPr>
            <w:tc>
              <w:tcPr>
                <w:tcW w:w="1664" w:type="dxa"/>
                <w:vMerge w:val="restart"/>
                <w:shd w:val="clear" w:color="auto" w:fill="B4C6E7" w:themeFill="accent1" w:themeFillTint="66"/>
                <w:vAlign w:val="center"/>
              </w:tcPr>
              <w:p w14:paraId="54D10CC3" w14:textId="77777777" w:rsidR="00074111" w:rsidRPr="00156BFB" w:rsidRDefault="00074111"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2E36B9B" w14:textId="77777777" w:rsidR="00074111" w:rsidRPr="00156BFB" w:rsidRDefault="0007411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9A40030" w14:textId="77777777" w:rsidR="00074111" w:rsidRPr="008D0CC5" w:rsidRDefault="0007411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3A7F40D" w14:textId="77777777" w:rsidR="00074111" w:rsidRPr="00156BFB" w:rsidRDefault="0007411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D4A5C8F" w14:textId="77777777" w:rsidR="00074111" w:rsidRPr="00156BFB" w:rsidRDefault="0007411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74111" w:rsidRPr="00156BFB" w14:paraId="48715E9F" w14:textId="77777777" w:rsidTr="00AF2A07">
            <w:trPr>
              <w:trHeight w:val="1541"/>
            </w:trPr>
            <w:tc>
              <w:tcPr>
                <w:tcW w:w="1664" w:type="dxa"/>
                <w:vMerge/>
                <w:shd w:val="clear" w:color="auto" w:fill="B4C6E7" w:themeFill="accent1" w:themeFillTint="66"/>
                <w:vAlign w:val="center"/>
              </w:tcPr>
              <w:p w14:paraId="1260CD22" w14:textId="77777777" w:rsidR="00074111" w:rsidRPr="00156BFB" w:rsidRDefault="0007411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AA4847" w14:textId="77777777" w:rsidR="00074111" w:rsidRPr="00156BFB" w:rsidRDefault="0007411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DA384BC" w14:textId="77777777" w:rsidR="00074111" w:rsidRPr="00156BFB" w:rsidRDefault="0007411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18ED2FC" wp14:editId="5F40CF42">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3528224C" w14:textId="77777777" w:rsidR="00074111" w:rsidRPr="00156BFB" w:rsidRDefault="0007411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FB89D24" w14:textId="77777777" w:rsidR="00074111" w:rsidRPr="00156BFB" w:rsidRDefault="00074111" w:rsidP="00AF2A07">
                <w:pPr>
                  <w:pStyle w:val="BodyText"/>
                  <w:rPr>
                    <w:rFonts w:ascii="Palatino Linotype" w:hAnsi="Palatino Linotype"/>
                    <w:b/>
                    <w:bCs/>
                    <w:sz w:val="24"/>
                    <w:szCs w:val="24"/>
                  </w:rPr>
                </w:pPr>
              </w:p>
            </w:tc>
          </w:tr>
          <w:tr w:rsidR="00074111" w:rsidRPr="00156BFB" w14:paraId="17FE2CBD" w14:textId="77777777" w:rsidTr="00AF2A07">
            <w:trPr>
              <w:trHeight w:val="1417"/>
            </w:trPr>
            <w:tc>
              <w:tcPr>
                <w:tcW w:w="1664" w:type="dxa"/>
                <w:vMerge w:val="restart"/>
                <w:shd w:val="clear" w:color="auto" w:fill="E2EFD9" w:themeFill="accent6" w:themeFillTint="33"/>
                <w:vAlign w:val="center"/>
              </w:tcPr>
              <w:p w14:paraId="4047CCDC" w14:textId="77777777" w:rsidR="00074111" w:rsidRPr="00156BFB" w:rsidRDefault="00074111"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D8AD842" w14:textId="77777777" w:rsidR="00074111" w:rsidRPr="00156BFB" w:rsidRDefault="0007411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29728A0" w14:textId="77777777" w:rsidR="00074111" w:rsidRPr="008D0CC5" w:rsidRDefault="0007411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BFE7B5C" w14:textId="77777777" w:rsidR="00074111" w:rsidRPr="00156BFB" w:rsidRDefault="0007411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CCF4E5D" w14:textId="77777777" w:rsidR="00074111" w:rsidRPr="00156BFB" w:rsidRDefault="0007411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74111" w:rsidRPr="00156BFB" w14:paraId="4F8078C2" w14:textId="77777777" w:rsidTr="00AF2A07">
            <w:trPr>
              <w:trHeight w:val="1417"/>
            </w:trPr>
            <w:tc>
              <w:tcPr>
                <w:tcW w:w="1664" w:type="dxa"/>
                <w:vMerge/>
                <w:shd w:val="clear" w:color="auto" w:fill="E2EFD9" w:themeFill="accent6" w:themeFillTint="33"/>
                <w:vAlign w:val="center"/>
              </w:tcPr>
              <w:p w14:paraId="0D07182B" w14:textId="77777777" w:rsidR="00074111" w:rsidRPr="00156BFB" w:rsidRDefault="0007411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36E45D" w14:textId="77777777" w:rsidR="00074111" w:rsidRPr="00156BFB" w:rsidRDefault="0007411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8E3AD36" w14:textId="77777777" w:rsidR="00074111" w:rsidRPr="00156BFB" w:rsidRDefault="0007411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45BFC48" wp14:editId="67EA2B4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178B9E6" w14:textId="77777777" w:rsidR="00074111" w:rsidRPr="00156BFB" w:rsidRDefault="00074111" w:rsidP="00AF2A07">
                <w:pPr>
                  <w:pStyle w:val="BodyText"/>
                  <w:rPr>
                    <w:rFonts w:ascii="Palatino Linotype" w:hAnsi="Palatino Linotype"/>
                    <w:b/>
                    <w:bCs/>
                    <w:sz w:val="24"/>
                    <w:szCs w:val="24"/>
                  </w:rPr>
                </w:pPr>
              </w:p>
            </w:tc>
          </w:tr>
          <w:tr w:rsidR="00074111" w:rsidRPr="00156BFB" w14:paraId="06DA4FBA" w14:textId="77777777" w:rsidTr="00AF2A07">
            <w:trPr>
              <w:trHeight w:val="1417"/>
            </w:trPr>
            <w:tc>
              <w:tcPr>
                <w:tcW w:w="1664" w:type="dxa"/>
                <w:vMerge w:val="restart"/>
                <w:shd w:val="clear" w:color="auto" w:fill="B4C6E7" w:themeFill="accent1" w:themeFillTint="66"/>
                <w:vAlign w:val="center"/>
              </w:tcPr>
              <w:p w14:paraId="0EA579E7" w14:textId="77777777" w:rsidR="00074111" w:rsidRPr="00156BFB" w:rsidRDefault="0007411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D425B12" w14:textId="77777777" w:rsidR="00074111" w:rsidRPr="00156BFB" w:rsidRDefault="0007411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5ACBEAB" w14:textId="77777777" w:rsidR="00074111" w:rsidRDefault="00074111"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F1B8D25" w14:textId="77777777" w:rsidR="00074111" w:rsidRPr="00156BFB" w:rsidRDefault="0007411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F02BB5A" w14:textId="77777777" w:rsidR="00074111" w:rsidRPr="00156BFB" w:rsidRDefault="0007411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74111" w:rsidRPr="00156BFB" w14:paraId="0517EA94" w14:textId="77777777" w:rsidTr="00AF2A07">
            <w:trPr>
              <w:trHeight w:val="1417"/>
            </w:trPr>
            <w:tc>
              <w:tcPr>
                <w:tcW w:w="1664" w:type="dxa"/>
                <w:vMerge/>
                <w:shd w:val="clear" w:color="auto" w:fill="B4C6E7" w:themeFill="accent1" w:themeFillTint="66"/>
                <w:vAlign w:val="center"/>
              </w:tcPr>
              <w:p w14:paraId="003158DB" w14:textId="77777777" w:rsidR="00074111" w:rsidRPr="00156BFB" w:rsidRDefault="0007411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02A8B93" w14:textId="77777777" w:rsidR="00074111" w:rsidRPr="00156BFB" w:rsidRDefault="0007411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B393ADA" w14:textId="77777777" w:rsidR="00074111" w:rsidRPr="00156BFB" w:rsidRDefault="00074111"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D8B0375" wp14:editId="79106FF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D93AB1A" w14:textId="77777777" w:rsidR="00074111" w:rsidRPr="00156BFB" w:rsidRDefault="00074111" w:rsidP="00AF2A07">
                <w:pPr>
                  <w:pStyle w:val="BodyText"/>
                  <w:rPr>
                    <w:rFonts w:ascii="Palatino Linotype" w:hAnsi="Palatino Linotype"/>
                    <w:b/>
                    <w:bCs/>
                    <w:sz w:val="24"/>
                    <w:szCs w:val="24"/>
                  </w:rPr>
                </w:pPr>
              </w:p>
            </w:tc>
          </w:tr>
        </w:tbl>
        <w:p w14:paraId="219B78C6" w14:textId="77777777" w:rsidR="00074111" w:rsidRPr="00B70912" w:rsidRDefault="00074111" w:rsidP="00074111">
          <w:pPr>
            <w:pStyle w:val="TDPL-BodyTxt"/>
            <w:sectPr w:rsidR="00074111"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550C96" w:rsidRPr="001064D5" w14:paraId="470BF022" w14:textId="77777777" w:rsidTr="00E72A7C">
            <w:trPr>
              <w:trHeight w:val="57"/>
              <w:jc w:val="center"/>
            </w:trPr>
            <w:tc>
              <w:tcPr>
                <w:tcW w:w="1331" w:type="dxa"/>
              </w:tcPr>
              <w:p w14:paraId="5A4499FC" w14:textId="34B82662" w:rsidR="00550C96" w:rsidRDefault="00550C96" w:rsidP="00550C96">
                <w:pPr>
                  <w:pStyle w:val="BodyText"/>
                  <w:jc w:val="center"/>
                  <w:rPr>
                    <w:rFonts w:ascii="Palatino Linotype" w:hAnsi="Palatino Linotype"/>
                  </w:rPr>
                </w:pPr>
                <w:r>
                  <w:rPr>
                    <w:rFonts w:ascii="Palatino Linotype" w:hAnsi="Palatino Linotype"/>
                  </w:rPr>
                  <w:t>8</w:t>
                </w:r>
              </w:p>
            </w:tc>
            <w:tc>
              <w:tcPr>
                <w:tcW w:w="1981" w:type="dxa"/>
              </w:tcPr>
              <w:p w14:paraId="14D42C8B" w14:textId="2E98D7DE" w:rsidR="00550C96" w:rsidRPr="006916C1" w:rsidRDefault="00550C96" w:rsidP="00550C96">
                <w:pPr>
                  <w:pStyle w:val="BodyText"/>
                  <w:jc w:val="center"/>
                  <w:rPr>
                    <w:rFonts w:ascii="Palatino Linotype" w:hAnsi="Palatino Linotype"/>
                  </w:rPr>
                </w:pPr>
                <w:r>
                  <w:rPr>
                    <w:rFonts w:ascii="Palatino Linotype" w:hAnsi="Palatino Linotype"/>
                  </w:rPr>
                  <w:t>HAMA</w:t>
                </w:r>
              </w:p>
            </w:tc>
            <w:tc>
              <w:tcPr>
                <w:tcW w:w="5868" w:type="dxa"/>
              </w:tcPr>
              <w:p w14:paraId="2ABD9BBA" w14:textId="649AC82C" w:rsidR="00550C96" w:rsidRPr="006916C1" w:rsidRDefault="00550C96" w:rsidP="00550C96">
                <w:pPr>
                  <w:pStyle w:val="BodyText"/>
                  <w:jc w:val="center"/>
                  <w:rPr>
                    <w:rFonts w:ascii="Palatino Linotype" w:hAnsi="Palatino Linotype"/>
                  </w:rPr>
                </w:pPr>
                <w:r>
                  <w:rPr>
                    <w:rFonts w:ascii="Palatino Linotype" w:hAnsi="Palatino Linotype"/>
                  </w:rPr>
                  <w:t>Human Anti-Mouse Antibody</w:t>
                </w:r>
              </w:p>
            </w:tc>
          </w:tr>
          <w:tr w:rsidR="00550C96" w:rsidRPr="001064D5" w14:paraId="46C0C635" w14:textId="77777777" w:rsidTr="00E72A7C">
            <w:trPr>
              <w:trHeight w:val="57"/>
              <w:jc w:val="center"/>
            </w:trPr>
            <w:tc>
              <w:tcPr>
                <w:tcW w:w="1331" w:type="dxa"/>
              </w:tcPr>
              <w:p w14:paraId="6D608444" w14:textId="17A5550C" w:rsidR="00550C96" w:rsidRDefault="00550C96" w:rsidP="00550C96">
                <w:pPr>
                  <w:pStyle w:val="BodyText"/>
                  <w:jc w:val="center"/>
                  <w:rPr>
                    <w:rFonts w:ascii="Palatino Linotype" w:hAnsi="Palatino Linotype"/>
                  </w:rPr>
                </w:pPr>
                <w:r>
                  <w:rPr>
                    <w:rFonts w:ascii="Palatino Linotype" w:hAnsi="Palatino Linotype"/>
                  </w:rPr>
                  <w:t>9</w:t>
                </w:r>
              </w:p>
            </w:tc>
            <w:tc>
              <w:tcPr>
                <w:tcW w:w="1981" w:type="dxa"/>
              </w:tcPr>
              <w:p w14:paraId="2ABF1A6B" w14:textId="0429A0E9" w:rsidR="00550C96" w:rsidRPr="006916C1" w:rsidRDefault="00550C96" w:rsidP="00550C96">
                <w:pPr>
                  <w:pStyle w:val="BodyText"/>
                  <w:jc w:val="center"/>
                  <w:rPr>
                    <w:rFonts w:ascii="Palatino Linotype" w:hAnsi="Palatino Linotype"/>
                  </w:rPr>
                </w:pPr>
                <w:r>
                  <w:rPr>
                    <w:rFonts w:ascii="Palatino Linotype" w:hAnsi="Palatino Linotype"/>
                  </w:rPr>
                  <w:t>HOD</w:t>
                </w:r>
              </w:p>
            </w:tc>
            <w:tc>
              <w:tcPr>
                <w:tcW w:w="5868" w:type="dxa"/>
              </w:tcPr>
              <w:p w14:paraId="00653C23" w14:textId="4C0ECC35" w:rsidR="00550C96" w:rsidRPr="006916C1" w:rsidRDefault="00550C96" w:rsidP="00550C96">
                <w:pPr>
                  <w:pStyle w:val="BodyText"/>
                  <w:jc w:val="center"/>
                  <w:rPr>
                    <w:rFonts w:ascii="Palatino Linotype" w:hAnsi="Palatino Linotype"/>
                  </w:rPr>
                </w:pPr>
                <w:r>
                  <w:rPr>
                    <w:rFonts w:ascii="Palatino Linotype" w:hAnsi="Palatino Linotype"/>
                  </w:rPr>
                  <w:t>Head of Department</w:t>
                </w:r>
              </w:p>
            </w:tc>
          </w:tr>
          <w:tr w:rsidR="00550C96" w:rsidRPr="001064D5" w14:paraId="7BBF4AF5" w14:textId="77777777" w:rsidTr="00E72A7C">
            <w:trPr>
              <w:trHeight w:val="57"/>
              <w:jc w:val="center"/>
            </w:trPr>
            <w:tc>
              <w:tcPr>
                <w:tcW w:w="1331" w:type="dxa"/>
              </w:tcPr>
              <w:p w14:paraId="299C0154" w14:textId="3CBC5FDD" w:rsidR="00550C96" w:rsidRDefault="00550C96" w:rsidP="00550C96">
                <w:pPr>
                  <w:pStyle w:val="BodyText"/>
                  <w:jc w:val="center"/>
                  <w:rPr>
                    <w:rFonts w:ascii="Palatino Linotype" w:hAnsi="Palatino Linotype"/>
                  </w:rPr>
                </w:pPr>
                <w:r>
                  <w:rPr>
                    <w:rFonts w:ascii="Palatino Linotype" w:hAnsi="Palatino Linotype"/>
                  </w:rPr>
                  <w:t>10</w:t>
                </w:r>
              </w:p>
            </w:tc>
            <w:tc>
              <w:tcPr>
                <w:tcW w:w="1981" w:type="dxa"/>
              </w:tcPr>
              <w:p w14:paraId="60EBC76F" w14:textId="6EBCE49E" w:rsidR="00550C96" w:rsidRPr="006916C1" w:rsidRDefault="00550C96" w:rsidP="00550C96">
                <w:pPr>
                  <w:pStyle w:val="BodyText"/>
                  <w:jc w:val="center"/>
                  <w:rPr>
                    <w:rFonts w:ascii="Palatino Linotype" w:hAnsi="Palatino Linotype"/>
                  </w:rPr>
                </w:pPr>
                <w:r>
                  <w:rPr>
                    <w:rFonts w:ascii="Palatino Linotype" w:hAnsi="Palatino Linotype"/>
                  </w:rPr>
                  <w:t>IFCC</w:t>
                </w:r>
              </w:p>
            </w:tc>
            <w:tc>
              <w:tcPr>
                <w:tcW w:w="5868" w:type="dxa"/>
              </w:tcPr>
              <w:p w14:paraId="504ED7F2" w14:textId="5F9B79A8" w:rsidR="00550C96" w:rsidRPr="006916C1" w:rsidRDefault="00550C96" w:rsidP="00550C96">
                <w:pPr>
                  <w:pStyle w:val="BodyText"/>
                  <w:jc w:val="center"/>
                  <w:rPr>
                    <w:rFonts w:ascii="Palatino Linotype" w:hAnsi="Palatino Linotype"/>
                  </w:rPr>
                </w:pPr>
                <w:r w:rsidRPr="006B4752">
                  <w:rPr>
                    <w:rFonts w:ascii="Palatino Linotype" w:hAnsi="Palatino Linotype"/>
                  </w:rPr>
                  <w:t>International Federation for Clinical Chemistry</w:t>
                </w:r>
              </w:p>
            </w:tc>
          </w:tr>
          <w:tr w:rsidR="00550C96" w:rsidRPr="001064D5" w14:paraId="0183782B" w14:textId="77777777" w:rsidTr="00E72A7C">
            <w:trPr>
              <w:trHeight w:val="57"/>
              <w:jc w:val="center"/>
            </w:trPr>
            <w:tc>
              <w:tcPr>
                <w:tcW w:w="1331" w:type="dxa"/>
              </w:tcPr>
              <w:p w14:paraId="149D1D62" w14:textId="21B66519" w:rsidR="00550C96" w:rsidRPr="006916C1" w:rsidRDefault="00550C96" w:rsidP="00550C96">
                <w:pPr>
                  <w:pStyle w:val="BodyText"/>
                  <w:jc w:val="center"/>
                  <w:rPr>
                    <w:rFonts w:ascii="Palatino Linotype" w:hAnsi="Palatino Linotype"/>
                  </w:rPr>
                </w:pPr>
                <w:r>
                  <w:rPr>
                    <w:rFonts w:ascii="Palatino Linotype" w:hAnsi="Palatino Linotype"/>
                  </w:rPr>
                  <w:t>11</w:t>
                </w:r>
              </w:p>
            </w:tc>
            <w:tc>
              <w:tcPr>
                <w:tcW w:w="1981" w:type="dxa"/>
              </w:tcPr>
              <w:p w14:paraId="6A7CFB6F" w14:textId="6A971066" w:rsidR="00550C96" w:rsidRDefault="00550C96" w:rsidP="00550C96">
                <w:pPr>
                  <w:pStyle w:val="BodyText"/>
                  <w:jc w:val="center"/>
                  <w:rPr>
                    <w:rFonts w:ascii="Palatino Linotype" w:hAnsi="Palatino Linotype"/>
                  </w:rPr>
                </w:pPr>
                <w:r>
                  <w:rPr>
                    <w:rFonts w:ascii="Palatino Linotype" w:hAnsi="Palatino Linotype"/>
                  </w:rPr>
                  <w:t>IQC</w:t>
                </w:r>
              </w:p>
            </w:tc>
            <w:tc>
              <w:tcPr>
                <w:tcW w:w="5868" w:type="dxa"/>
              </w:tcPr>
              <w:p w14:paraId="57C6D26D" w14:textId="405D0840" w:rsidR="00550C96" w:rsidRDefault="00550C96" w:rsidP="00550C96">
                <w:pPr>
                  <w:pStyle w:val="BodyText"/>
                  <w:jc w:val="center"/>
                  <w:rPr>
                    <w:rFonts w:ascii="Palatino Linotype" w:hAnsi="Palatino Linotype"/>
                  </w:rPr>
                </w:pPr>
                <w:r>
                  <w:rPr>
                    <w:rFonts w:ascii="Palatino Linotype" w:hAnsi="Palatino Linotype"/>
                  </w:rPr>
                  <w:t>Internal Quality Control</w:t>
                </w:r>
              </w:p>
            </w:tc>
          </w:tr>
          <w:tr w:rsidR="00550C96" w:rsidRPr="001064D5" w14:paraId="66DBB078" w14:textId="77777777" w:rsidTr="00E72A7C">
            <w:trPr>
              <w:trHeight w:val="57"/>
              <w:jc w:val="center"/>
            </w:trPr>
            <w:tc>
              <w:tcPr>
                <w:tcW w:w="1331" w:type="dxa"/>
              </w:tcPr>
              <w:p w14:paraId="723A0ED5" w14:textId="6D513251" w:rsidR="00550C96" w:rsidRPr="006916C1" w:rsidRDefault="00550C96" w:rsidP="00550C96">
                <w:pPr>
                  <w:pStyle w:val="BodyText"/>
                  <w:jc w:val="center"/>
                  <w:rPr>
                    <w:rFonts w:ascii="Palatino Linotype" w:hAnsi="Palatino Linotype"/>
                  </w:rPr>
                </w:pPr>
                <w:r>
                  <w:rPr>
                    <w:rFonts w:ascii="Palatino Linotype" w:hAnsi="Palatino Linotype"/>
                  </w:rPr>
                  <w:t>12</w:t>
                </w:r>
              </w:p>
            </w:tc>
            <w:tc>
              <w:tcPr>
                <w:tcW w:w="1981" w:type="dxa"/>
              </w:tcPr>
              <w:p w14:paraId="3857E868" w14:textId="1FB24A35" w:rsidR="00550C96" w:rsidRPr="00187D29" w:rsidRDefault="00550C96" w:rsidP="00550C96">
                <w:pPr>
                  <w:pStyle w:val="BodyText"/>
                  <w:jc w:val="center"/>
                  <w:rPr>
                    <w:rFonts w:ascii="Palatino Linotype" w:hAnsi="Palatino Linotype"/>
                  </w:rPr>
                </w:pPr>
                <w:r>
                  <w:rPr>
                    <w:rFonts w:ascii="Palatino Linotype" w:hAnsi="Palatino Linotype"/>
                  </w:rPr>
                  <w:t>LLOQ</w:t>
                </w:r>
              </w:p>
            </w:tc>
            <w:tc>
              <w:tcPr>
                <w:tcW w:w="5868" w:type="dxa"/>
              </w:tcPr>
              <w:p w14:paraId="1F7BAE55" w14:textId="15D58862" w:rsidR="00550C96" w:rsidRDefault="00550C96" w:rsidP="00550C96">
                <w:pPr>
                  <w:pStyle w:val="BodyText"/>
                  <w:jc w:val="center"/>
                  <w:rPr>
                    <w:rFonts w:ascii="Palatino Linotype" w:hAnsi="Palatino Linotype"/>
                  </w:rPr>
                </w:pPr>
                <w:r>
                  <w:rPr>
                    <w:rFonts w:ascii="Palatino Linotype" w:hAnsi="Palatino Linotype"/>
                  </w:rPr>
                  <w:t>Lower Limit of Quantitation</w:t>
                </w:r>
              </w:p>
            </w:tc>
          </w:tr>
          <w:tr w:rsidR="00550C96" w:rsidRPr="001064D5" w14:paraId="46F816E1" w14:textId="77777777" w:rsidTr="00E72A7C">
            <w:trPr>
              <w:trHeight w:val="57"/>
              <w:jc w:val="center"/>
            </w:trPr>
            <w:tc>
              <w:tcPr>
                <w:tcW w:w="1331" w:type="dxa"/>
              </w:tcPr>
              <w:p w14:paraId="2481A2A3" w14:textId="5F043D24" w:rsidR="00550C96" w:rsidRDefault="00550C96" w:rsidP="00550C96">
                <w:pPr>
                  <w:pStyle w:val="BodyText"/>
                  <w:jc w:val="center"/>
                  <w:rPr>
                    <w:rFonts w:ascii="Palatino Linotype" w:hAnsi="Palatino Linotype"/>
                  </w:rPr>
                </w:pPr>
                <w:r>
                  <w:rPr>
                    <w:rFonts w:ascii="Palatino Linotype" w:hAnsi="Palatino Linotype"/>
                  </w:rPr>
                  <w:t>13</w:t>
                </w:r>
              </w:p>
            </w:tc>
            <w:tc>
              <w:tcPr>
                <w:tcW w:w="1981" w:type="dxa"/>
              </w:tcPr>
              <w:p w14:paraId="1C491CEF" w14:textId="3BDDC2C3" w:rsidR="00550C96" w:rsidRPr="006916C1" w:rsidRDefault="00550C96" w:rsidP="00550C96">
                <w:pPr>
                  <w:pStyle w:val="BodyText"/>
                  <w:jc w:val="center"/>
                  <w:rPr>
                    <w:rFonts w:ascii="Palatino Linotype" w:hAnsi="Palatino Linotype"/>
                  </w:rPr>
                </w:pPr>
                <w:r>
                  <w:rPr>
                    <w:rFonts w:ascii="Palatino Linotype" w:hAnsi="Palatino Linotype"/>
                  </w:rPr>
                  <w:t>MSP</w:t>
                </w:r>
              </w:p>
            </w:tc>
            <w:tc>
              <w:tcPr>
                <w:tcW w:w="5868" w:type="dxa"/>
              </w:tcPr>
              <w:p w14:paraId="3BE7CEDF" w14:textId="45857E4B" w:rsidR="00550C96" w:rsidRPr="006916C1" w:rsidRDefault="00550C96" w:rsidP="00550C96">
                <w:pPr>
                  <w:pStyle w:val="BodyText"/>
                  <w:jc w:val="center"/>
                  <w:rPr>
                    <w:rFonts w:ascii="Palatino Linotype" w:hAnsi="Palatino Linotype"/>
                  </w:rPr>
                </w:pPr>
                <w:r>
                  <w:rPr>
                    <w:rFonts w:ascii="Palatino Linotype" w:hAnsi="Palatino Linotype"/>
                  </w:rPr>
                  <w:t>Management System Procedure</w:t>
                </w:r>
              </w:p>
            </w:tc>
          </w:tr>
          <w:tr w:rsidR="00550C96" w:rsidRPr="001064D5" w14:paraId="3A3D8FEA" w14:textId="77777777" w:rsidTr="00E72A7C">
            <w:trPr>
              <w:trHeight w:val="57"/>
              <w:jc w:val="center"/>
            </w:trPr>
            <w:tc>
              <w:tcPr>
                <w:tcW w:w="1331" w:type="dxa"/>
              </w:tcPr>
              <w:p w14:paraId="6388F3E3" w14:textId="40AA87B0" w:rsidR="00550C96" w:rsidRDefault="00550C96" w:rsidP="00550C96">
                <w:pPr>
                  <w:pStyle w:val="BodyText"/>
                  <w:jc w:val="center"/>
                  <w:rPr>
                    <w:rFonts w:ascii="Palatino Linotype" w:hAnsi="Palatino Linotype"/>
                  </w:rPr>
                </w:pPr>
                <w:r>
                  <w:rPr>
                    <w:rFonts w:ascii="Palatino Linotype" w:hAnsi="Palatino Linotype"/>
                  </w:rPr>
                  <w:t>14</w:t>
                </w:r>
              </w:p>
            </w:tc>
            <w:tc>
              <w:tcPr>
                <w:tcW w:w="1981" w:type="dxa"/>
              </w:tcPr>
              <w:p w14:paraId="18014706" w14:textId="2D4AD9B7" w:rsidR="00550C96" w:rsidRDefault="00550C96" w:rsidP="00550C96">
                <w:pPr>
                  <w:pStyle w:val="BodyText"/>
                  <w:jc w:val="center"/>
                  <w:rPr>
                    <w:rFonts w:ascii="Palatino Linotype" w:hAnsi="Palatino Linotype"/>
                  </w:rPr>
                </w:pPr>
                <w:r>
                  <w:rPr>
                    <w:rFonts w:ascii="Palatino Linotype" w:hAnsi="Palatino Linotype"/>
                  </w:rPr>
                  <w:t>N/A</w:t>
                </w:r>
              </w:p>
            </w:tc>
            <w:tc>
              <w:tcPr>
                <w:tcW w:w="5868" w:type="dxa"/>
              </w:tcPr>
              <w:p w14:paraId="040E78D1" w14:textId="2B8F0C7C" w:rsidR="00550C96" w:rsidRPr="00905C77" w:rsidRDefault="00550C96" w:rsidP="00550C96">
                <w:pPr>
                  <w:pStyle w:val="BodyText"/>
                  <w:jc w:val="center"/>
                  <w:rPr>
                    <w:rFonts w:ascii="Palatino Linotype" w:hAnsi="Palatino Linotype"/>
                  </w:rPr>
                </w:pPr>
                <w:r>
                  <w:rPr>
                    <w:rFonts w:ascii="Palatino Linotype" w:hAnsi="Palatino Linotype"/>
                  </w:rPr>
                  <w:t>Not Applicable/Available</w:t>
                </w:r>
              </w:p>
            </w:tc>
          </w:tr>
          <w:tr w:rsidR="00550C96" w:rsidRPr="001064D5" w14:paraId="1A8FC3AC" w14:textId="77777777" w:rsidTr="00E72A7C">
            <w:trPr>
              <w:trHeight w:val="57"/>
              <w:jc w:val="center"/>
            </w:trPr>
            <w:tc>
              <w:tcPr>
                <w:tcW w:w="1331" w:type="dxa"/>
              </w:tcPr>
              <w:p w14:paraId="6EE7143A" w14:textId="69243D35" w:rsidR="00550C96" w:rsidRPr="006916C1" w:rsidRDefault="00550C96" w:rsidP="00550C96">
                <w:pPr>
                  <w:pStyle w:val="BodyText"/>
                  <w:jc w:val="center"/>
                  <w:rPr>
                    <w:rFonts w:ascii="Palatino Linotype" w:hAnsi="Palatino Linotype"/>
                  </w:rPr>
                </w:pPr>
                <w:r>
                  <w:rPr>
                    <w:rFonts w:ascii="Palatino Linotype" w:hAnsi="Palatino Linotype"/>
                  </w:rPr>
                  <w:t>15</w:t>
                </w:r>
              </w:p>
            </w:tc>
            <w:tc>
              <w:tcPr>
                <w:tcW w:w="1981" w:type="dxa"/>
              </w:tcPr>
              <w:p w14:paraId="31FFEF21" w14:textId="29DEC412" w:rsidR="00550C96" w:rsidRDefault="00550C96" w:rsidP="00550C96">
                <w:pPr>
                  <w:pStyle w:val="BodyText"/>
                  <w:jc w:val="center"/>
                  <w:rPr>
                    <w:rFonts w:ascii="Palatino Linotype" w:hAnsi="Palatino Linotype"/>
                  </w:rPr>
                </w:pPr>
                <w:r>
                  <w:rPr>
                    <w:rFonts w:ascii="Palatino Linotype" w:hAnsi="Palatino Linotype"/>
                  </w:rPr>
                  <w:t>pH</w:t>
                </w:r>
              </w:p>
            </w:tc>
            <w:tc>
              <w:tcPr>
                <w:tcW w:w="5868" w:type="dxa"/>
              </w:tcPr>
              <w:p w14:paraId="42859AC8" w14:textId="6214A3E7" w:rsidR="00550C96" w:rsidRPr="00905C77" w:rsidRDefault="00550C96" w:rsidP="00550C96">
                <w:pPr>
                  <w:pStyle w:val="BodyText"/>
                  <w:jc w:val="center"/>
                  <w:rPr>
                    <w:rFonts w:ascii="Palatino Linotype" w:hAnsi="Palatino Linotype"/>
                  </w:rPr>
                </w:pPr>
                <w:r>
                  <w:rPr>
                    <w:rFonts w:ascii="Palatino Linotype" w:hAnsi="Palatino Linotype"/>
                  </w:rPr>
                  <w:t>Potential of Hydrogen</w:t>
                </w:r>
              </w:p>
            </w:tc>
          </w:tr>
          <w:tr w:rsidR="00550C96" w:rsidRPr="001064D5" w14:paraId="0A9B8313" w14:textId="77777777" w:rsidTr="00E72A7C">
            <w:trPr>
              <w:trHeight w:val="57"/>
              <w:jc w:val="center"/>
            </w:trPr>
            <w:tc>
              <w:tcPr>
                <w:tcW w:w="1331" w:type="dxa"/>
              </w:tcPr>
              <w:p w14:paraId="1CE2278C" w14:textId="2E4D0507" w:rsidR="00550C96" w:rsidRPr="006916C1" w:rsidRDefault="00550C96" w:rsidP="00550C96">
                <w:pPr>
                  <w:pStyle w:val="BodyText"/>
                  <w:jc w:val="center"/>
                  <w:rPr>
                    <w:rFonts w:ascii="Palatino Linotype" w:hAnsi="Palatino Linotype"/>
                  </w:rPr>
                </w:pPr>
                <w:r>
                  <w:rPr>
                    <w:rFonts w:ascii="Palatino Linotype" w:hAnsi="Palatino Linotype"/>
                  </w:rPr>
                  <w:t>16</w:t>
                </w:r>
              </w:p>
            </w:tc>
            <w:tc>
              <w:tcPr>
                <w:tcW w:w="1981" w:type="dxa"/>
              </w:tcPr>
              <w:p w14:paraId="2B13FA74" w14:textId="4CE0CC0E" w:rsidR="00550C96" w:rsidRDefault="00550C96" w:rsidP="00550C96">
                <w:pPr>
                  <w:pStyle w:val="BodyText"/>
                  <w:jc w:val="center"/>
                  <w:rPr>
                    <w:rFonts w:ascii="Palatino Linotype" w:hAnsi="Palatino Linotype"/>
                  </w:rPr>
                </w:pPr>
                <w:r>
                  <w:rPr>
                    <w:rFonts w:ascii="Palatino Linotype" w:hAnsi="Palatino Linotype"/>
                  </w:rPr>
                  <w:t>QC</w:t>
                </w:r>
              </w:p>
            </w:tc>
            <w:tc>
              <w:tcPr>
                <w:tcW w:w="5868" w:type="dxa"/>
              </w:tcPr>
              <w:p w14:paraId="387C10C1" w14:textId="67010794" w:rsidR="00550C96" w:rsidRPr="00905C77" w:rsidRDefault="00550C96" w:rsidP="00550C96">
                <w:pPr>
                  <w:pStyle w:val="BodyText"/>
                  <w:jc w:val="center"/>
                  <w:rPr>
                    <w:rFonts w:ascii="Palatino Linotype" w:hAnsi="Palatino Linotype"/>
                  </w:rPr>
                </w:pPr>
                <w:r>
                  <w:rPr>
                    <w:rFonts w:ascii="Palatino Linotype" w:hAnsi="Palatino Linotype"/>
                  </w:rPr>
                  <w:t>Quality Control</w:t>
                </w:r>
              </w:p>
            </w:tc>
          </w:tr>
          <w:tr w:rsidR="00550C96" w:rsidRPr="001064D5" w14:paraId="23C598A7" w14:textId="77777777" w:rsidTr="00E72A7C">
            <w:trPr>
              <w:trHeight w:val="57"/>
              <w:jc w:val="center"/>
            </w:trPr>
            <w:tc>
              <w:tcPr>
                <w:tcW w:w="1331" w:type="dxa"/>
              </w:tcPr>
              <w:p w14:paraId="189F5687" w14:textId="5BC6B129" w:rsidR="00550C96" w:rsidRDefault="00550C96" w:rsidP="00550C96">
                <w:pPr>
                  <w:pStyle w:val="BodyText"/>
                  <w:jc w:val="center"/>
                  <w:rPr>
                    <w:rFonts w:ascii="Palatino Linotype" w:hAnsi="Palatino Linotype"/>
                  </w:rPr>
                </w:pPr>
                <w:r>
                  <w:rPr>
                    <w:rFonts w:ascii="Palatino Linotype" w:hAnsi="Palatino Linotype"/>
                  </w:rPr>
                  <w:t>17</w:t>
                </w:r>
              </w:p>
            </w:tc>
            <w:tc>
              <w:tcPr>
                <w:tcW w:w="1981" w:type="dxa"/>
              </w:tcPr>
              <w:p w14:paraId="33C73B5B" w14:textId="2D8CB872" w:rsidR="00550C96" w:rsidRDefault="00550C96" w:rsidP="00550C96">
                <w:pPr>
                  <w:pStyle w:val="BodyText"/>
                  <w:jc w:val="center"/>
                  <w:rPr>
                    <w:rFonts w:ascii="Palatino Linotype" w:hAnsi="Palatino Linotype"/>
                  </w:rPr>
                </w:pPr>
                <w:r>
                  <w:rPr>
                    <w:rFonts w:ascii="Palatino Linotype" w:hAnsi="Palatino Linotype"/>
                  </w:rPr>
                  <w:t>QM</w:t>
                </w:r>
              </w:p>
            </w:tc>
            <w:tc>
              <w:tcPr>
                <w:tcW w:w="5868" w:type="dxa"/>
              </w:tcPr>
              <w:p w14:paraId="7D3CE261" w14:textId="0A8CB4AD" w:rsidR="00550C96" w:rsidRDefault="00550C96" w:rsidP="00550C96">
                <w:pPr>
                  <w:pStyle w:val="BodyText"/>
                  <w:jc w:val="center"/>
                  <w:rPr>
                    <w:rFonts w:ascii="Palatino Linotype" w:hAnsi="Palatino Linotype"/>
                  </w:rPr>
                </w:pPr>
                <w:r>
                  <w:rPr>
                    <w:rFonts w:ascii="Palatino Linotype" w:hAnsi="Palatino Linotype"/>
                  </w:rPr>
                  <w:t>Quality Manager</w:t>
                </w:r>
              </w:p>
            </w:tc>
          </w:tr>
          <w:tr w:rsidR="00550C96" w:rsidRPr="001064D5" w14:paraId="059225F5" w14:textId="77777777" w:rsidTr="00E72A7C">
            <w:trPr>
              <w:trHeight w:val="57"/>
              <w:jc w:val="center"/>
            </w:trPr>
            <w:tc>
              <w:tcPr>
                <w:tcW w:w="1331" w:type="dxa"/>
              </w:tcPr>
              <w:p w14:paraId="08E4D938" w14:textId="70876701" w:rsidR="00550C96" w:rsidRDefault="00550C96" w:rsidP="00550C96">
                <w:pPr>
                  <w:pStyle w:val="BodyText"/>
                  <w:jc w:val="center"/>
                  <w:rPr>
                    <w:rFonts w:ascii="Palatino Linotype" w:hAnsi="Palatino Linotype"/>
                  </w:rPr>
                </w:pPr>
                <w:r>
                  <w:rPr>
                    <w:rFonts w:ascii="Palatino Linotype" w:hAnsi="Palatino Linotype"/>
                  </w:rPr>
                  <w:t>18</w:t>
                </w:r>
              </w:p>
            </w:tc>
            <w:tc>
              <w:tcPr>
                <w:tcW w:w="1981" w:type="dxa"/>
              </w:tcPr>
              <w:p w14:paraId="4E6DFE81" w14:textId="52FBFA5B" w:rsidR="00550C96" w:rsidRDefault="00550C96" w:rsidP="00550C96">
                <w:pPr>
                  <w:pStyle w:val="BodyText"/>
                  <w:jc w:val="center"/>
                  <w:rPr>
                    <w:rFonts w:ascii="Palatino Linotype" w:hAnsi="Palatino Linotype"/>
                  </w:rPr>
                </w:pPr>
                <w:r>
                  <w:rPr>
                    <w:rFonts w:ascii="Palatino Linotype" w:hAnsi="Palatino Linotype"/>
                  </w:rPr>
                  <w:t>QNS</w:t>
                </w:r>
              </w:p>
            </w:tc>
            <w:tc>
              <w:tcPr>
                <w:tcW w:w="5868" w:type="dxa"/>
              </w:tcPr>
              <w:p w14:paraId="6CC96770" w14:textId="27C06707" w:rsidR="00550C96" w:rsidRDefault="00550C96" w:rsidP="00550C96">
                <w:pPr>
                  <w:pStyle w:val="BodyText"/>
                  <w:jc w:val="center"/>
                  <w:rPr>
                    <w:rFonts w:ascii="Palatino Linotype" w:hAnsi="Palatino Linotype"/>
                  </w:rPr>
                </w:pPr>
                <w:r>
                  <w:rPr>
                    <w:rFonts w:ascii="Palatino Linotype" w:hAnsi="Palatino Linotype"/>
                  </w:rPr>
                  <w:t>Quantity Not Sufficient</w:t>
                </w:r>
              </w:p>
            </w:tc>
          </w:tr>
          <w:tr w:rsidR="00550C96" w:rsidRPr="001064D5" w14:paraId="62A43CB1" w14:textId="77777777" w:rsidTr="00E72A7C">
            <w:trPr>
              <w:trHeight w:val="57"/>
              <w:jc w:val="center"/>
            </w:trPr>
            <w:tc>
              <w:tcPr>
                <w:tcW w:w="1331" w:type="dxa"/>
              </w:tcPr>
              <w:p w14:paraId="71BF21F2" w14:textId="15878DE6" w:rsidR="00550C96" w:rsidRPr="006916C1" w:rsidRDefault="00550C96" w:rsidP="00550C96">
                <w:pPr>
                  <w:pStyle w:val="BodyText"/>
                  <w:jc w:val="center"/>
                  <w:rPr>
                    <w:rFonts w:ascii="Palatino Linotype" w:hAnsi="Palatino Linotype"/>
                  </w:rPr>
                </w:pPr>
                <w:r>
                  <w:rPr>
                    <w:rFonts w:ascii="Palatino Linotype" w:hAnsi="Palatino Linotype"/>
                  </w:rPr>
                  <w:t>19</w:t>
                </w:r>
              </w:p>
            </w:tc>
            <w:tc>
              <w:tcPr>
                <w:tcW w:w="1981" w:type="dxa"/>
              </w:tcPr>
              <w:p w14:paraId="4C86277E" w14:textId="1B3D3596" w:rsidR="00550C96" w:rsidRDefault="00550C96" w:rsidP="00550C96">
                <w:pPr>
                  <w:pStyle w:val="BodyText"/>
                  <w:jc w:val="center"/>
                  <w:rPr>
                    <w:rFonts w:ascii="Palatino Linotype" w:hAnsi="Palatino Linotype"/>
                  </w:rPr>
                </w:pPr>
                <w:r>
                  <w:rPr>
                    <w:rFonts w:ascii="Palatino Linotype" w:hAnsi="Palatino Linotype"/>
                  </w:rPr>
                  <w:t>SD</w:t>
                </w:r>
              </w:p>
            </w:tc>
            <w:tc>
              <w:tcPr>
                <w:tcW w:w="5868" w:type="dxa"/>
              </w:tcPr>
              <w:p w14:paraId="51A5D9E0" w14:textId="163D7E42" w:rsidR="00550C96" w:rsidRPr="00353FFB" w:rsidRDefault="00550C96" w:rsidP="00550C96">
                <w:pPr>
                  <w:pStyle w:val="BodyText"/>
                  <w:jc w:val="center"/>
                  <w:rPr>
                    <w:rFonts w:ascii="Palatino Linotype" w:hAnsi="Palatino Linotype"/>
                  </w:rPr>
                </w:pPr>
                <w:r>
                  <w:rPr>
                    <w:rFonts w:ascii="Palatino Linotype" w:hAnsi="Palatino Linotype"/>
                  </w:rPr>
                  <w:t>Standard Deviation</w:t>
                </w:r>
              </w:p>
            </w:tc>
          </w:tr>
          <w:tr w:rsidR="00550C96" w:rsidRPr="001064D5" w14:paraId="73FC2874" w14:textId="77777777" w:rsidTr="00E72A7C">
            <w:trPr>
              <w:trHeight w:val="57"/>
              <w:jc w:val="center"/>
            </w:trPr>
            <w:tc>
              <w:tcPr>
                <w:tcW w:w="1331" w:type="dxa"/>
              </w:tcPr>
              <w:p w14:paraId="25B8367D" w14:textId="0C5B5FD7" w:rsidR="00550C96" w:rsidRDefault="00550C96" w:rsidP="00550C96">
                <w:pPr>
                  <w:pStyle w:val="BodyText"/>
                  <w:jc w:val="center"/>
                  <w:rPr>
                    <w:rFonts w:ascii="Palatino Linotype" w:hAnsi="Palatino Linotype"/>
                  </w:rPr>
                </w:pPr>
                <w:r>
                  <w:rPr>
                    <w:rFonts w:ascii="Palatino Linotype" w:hAnsi="Palatino Linotype"/>
                  </w:rPr>
                  <w:t>20</w:t>
                </w:r>
              </w:p>
            </w:tc>
            <w:tc>
              <w:tcPr>
                <w:tcW w:w="1981" w:type="dxa"/>
              </w:tcPr>
              <w:p w14:paraId="270F1BB9" w14:textId="50215762" w:rsidR="00550C96" w:rsidRDefault="00550C96" w:rsidP="00550C96">
                <w:pPr>
                  <w:pStyle w:val="BodyText"/>
                  <w:jc w:val="center"/>
                  <w:rPr>
                    <w:rFonts w:ascii="Palatino Linotype" w:hAnsi="Palatino Linotype"/>
                  </w:rPr>
                </w:pPr>
                <w:r>
                  <w:rPr>
                    <w:rFonts w:ascii="Palatino Linotype" w:hAnsi="Palatino Linotype"/>
                  </w:rPr>
                  <w:t>SOP</w:t>
                </w:r>
              </w:p>
            </w:tc>
            <w:tc>
              <w:tcPr>
                <w:tcW w:w="5868" w:type="dxa"/>
              </w:tcPr>
              <w:p w14:paraId="09A75889" w14:textId="2A22274A" w:rsidR="00550C96" w:rsidRDefault="00550C96" w:rsidP="00550C96">
                <w:pPr>
                  <w:pStyle w:val="BodyText"/>
                  <w:jc w:val="center"/>
                  <w:rPr>
                    <w:rFonts w:ascii="Palatino Linotype" w:hAnsi="Palatino Linotype"/>
                  </w:rPr>
                </w:pPr>
                <w:r>
                  <w:rPr>
                    <w:rFonts w:ascii="Palatino Linotype" w:hAnsi="Palatino Linotype"/>
                  </w:rPr>
                  <w:t>Standard Operating Procedure</w:t>
                </w:r>
              </w:p>
            </w:tc>
          </w:tr>
          <w:tr w:rsidR="00550C96" w:rsidRPr="001064D5" w14:paraId="3E1B1A0E" w14:textId="77777777" w:rsidTr="00E72A7C">
            <w:trPr>
              <w:trHeight w:val="57"/>
              <w:jc w:val="center"/>
            </w:trPr>
            <w:tc>
              <w:tcPr>
                <w:tcW w:w="1331" w:type="dxa"/>
              </w:tcPr>
              <w:p w14:paraId="60B83443" w14:textId="28785FD2" w:rsidR="00550C96" w:rsidRPr="006916C1" w:rsidRDefault="00550C96" w:rsidP="00550C96">
                <w:pPr>
                  <w:pStyle w:val="BodyText"/>
                  <w:jc w:val="center"/>
                  <w:rPr>
                    <w:rFonts w:ascii="Palatino Linotype" w:hAnsi="Palatino Linotype"/>
                  </w:rPr>
                </w:pPr>
                <w:r>
                  <w:rPr>
                    <w:rFonts w:ascii="Palatino Linotype" w:hAnsi="Palatino Linotype"/>
                  </w:rPr>
                  <w:t>21</w:t>
                </w:r>
              </w:p>
            </w:tc>
            <w:tc>
              <w:tcPr>
                <w:tcW w:w="1981" w:type="dxa"/>
              </w:tcPr>
              <w:p w14:paraId="15B9C615" w14:textId="7B4A0FCE" w:rsidR="00550C96" w:rsidRDefault="00550C96" w:rsidP="00550C96">
                <w:pPr>
                  <w:pStyle w:val="BodyText"/>
                  <w:jc w:val="center"/>
                  <w:rPr>
                    <w:rFonts w:ascii="Palatino Linotype" w:hAnsi="Palatino Linotype"/>
                  </w:rPr>
                </w:pPr>
                <w:r>
                  <w:rPr>
                    <w:rFonts w:ascii="Palatino Linotype" w:hAnsi="Palatino Linotype"/>
                  </w:rPr>
                  <w:t>SST</w:t>
                </w:r>
              </w:p>
            </w:tc>
            <w:tc>
              <w:tcPr>
                <w:tcW w:w="5868" w:type="dxa"/>
              </w:tcPr>
              <w:p w14:paraId="12F0E202" w14:textId="634D4E71" w:rsidR="00550C96" w:rsidRDefault="00550C96" w:rsidP="00550C96">
                <w:pPr>
                  <w:pStyle w:val="BodyText"/>
                  <w:jc w:val="center"/>
                  <w:rPr>
                    <w:rFonts w:ascii="Palatino Linotype" w:hAnsi="Palatino Linotype"/>
                  </w:rPr>
                </w:pPr>
                <w:r w:rsidRPr="002B2EAF">
                  <w:rPr>
                    <w:rFonts w:ascii="Palatino Linotype" w:hAnsi="Palatino Linotype"/>
                  </w:rPr>
                  <w:t>Serum Separator Tube</w:t>
                </w:r>
              </w:p>
            </w:tc>
          </w:tr>
          <w:tr w:rsidR="00550C96" w:rsidRPr="001064D5" w14:paraId="22347FA0" w14:textId="77777777" w:rsidTr="00E72A7C">
            <w:trPr>
              <w:trHeight w:val="57"/>
              <w:jc w:val="center"/>
            </w:trPr>
            <w:tc>
              <w:tcPr>
                <w:tcW w:w="1331" w:type="dxa"/>
              </w:tcPr>
              <w:p w14:paraId="2F28F2CF" w14:textId="2D00D548" w:rsidR="00550C96" w:rsidRDefault="00550C96" w:rsidP="00550C96">
                <w:pPr>
                  <w:pStyle w:val="BodyText"/>
                  <w:jc w:val="center"/>
                  <w:rPr>
                    <w:rFonts w:ascii="Palatino Linotype" w:hAnsi="Palatino Linotype"/>
                  </w:rPr>
                </w:pPr>
                <w:r>
                  <w:rPr>
                    <w:rFonts w:ascii="Palatino Linotype" w:hAnsi="Palatino Linotype"/>
                  </w:rPr>
                  <w:t>22</w:t>
                </w:r>
              </w:p>
            </w:tc>
            <w:tc>
              <w:tcPr>
                <w:tcW w:w="1981" w:type="dxa"/>
              </w:tcPr>
              <w:p w14:paraId="50F7BB67" w14:textId="75893D3D" w:rsidR="00550C96" w:rsidRDefault="00550C96" w:rsidP="00550C96">
                <w:pPr>
                  <w:pStyle w:val="BodyText"/>
                  <w:jc w:val="center"/>
                  <w:rPr>
                    <w:rFonts w:ascii="Palatino Linotype" w:hAnsi="Palatino Linotype"/>
                  </w:rPr>
                </w:pPr>
                <w:r>
                  <w:rPr>
                    <w:rFonts w:ascii="Palatino Linotype" w:hAnsi="Palatino Linotype"/>
                  </w:rPr>
                  <w:t>TSH</w:t>
                </w:r>
              </w:p>
            </w:tc>
            <w:tc>
              <w:tcPr>
                <w:tcW w:w="5868" w:type="dxa"/>
              </w:tcPr>
              <w:p w14:paraId="4ADD2DD7" w14:textId="4902C55F" w:rsidR="00550C96" w:rsidRPr="002B2EAF" w:rsidRDefault="00550C96" w:rsidP="00550C96">
                <w:pPr>
                  <w:pStyle w:val="BodyText"/>
                  <w:jc w:val="center"/>
                  <w:rPr>
                    <w:rFonts w:ascii="Palatino Linotype" w:hAnsi="Palatino Linotype"/>
                  </w:rPr>
                </w:pPr>
                <w:r>
                  <w:rPr>
                    <w:rFonts w:ascii="Palatino Linotype" w:hAnsi="Palatino Linotype"/>
                  </w:rPr>
                  <w:t>T</w:t>
                </w:r>
                <w:r w:rsidRPr="002837EA">
                  <w:rPr>
                    <w:rFonts w:ascii="Palatino Linotype" w:hAnsi="Palatino Linotype"/>
                  </w:rPr>
                  <w:t>hyro</w:t>
                </w:r>
                <w:r>
                  <w:rPr>
                    <w:rFonts w:ascii="Palatino Linotype" w:hAnsi="Palatino Linotype"/>
                  </w:rPr>
                  <w:t>id Stimulating Hormone</w:t>
                </w:r>
              </w:p>
            </w:tc>
          </w:tr>
          <w:tr w:rsidR="00550C96" w:rsidRPr="001064D5" w14:paraId="31AF3B93" w14:textId="77777777" w:rsidTr="00E72A7C">
            <w:trPr>
              <w:trHeight w:val="57"/>
              <w:jc w:val="center"/>
            </w:trPr>
            <w:tc>
              <w:tcPr>
                <w:tcW w:w="1331" w:type="dxa"/>
              </w:tcPr>
              <w:p w14:paraId="14B197C2" w14:textId="1402E468" w:rsidR="00550C96" w:rsidRDefault="00550C96" w:rsidP="00550C96">
                <w:pPr>
                  <w:pStyle w:val="BodyText"/>
                  <w:jc w:val="center"/>
                  <w:rPr>
                    <w:rFonts w:ascii="Palatino Linotype" w:hAnsi="Palatino Linotype"/>
                  </w:rPr>
                </w:pPr>
                <w:r>
                  <w:rPr>
                    <w:rFonts w:ascii="Palatino Linotype" w:hAnsi="Palatino Linotype"/>
                  </w:rPr>
                  <w:t>23</w:t>
                </w:r>
              </w:p>
            </w:tc>
            <w:tc>
              <w:tcPr>
                <w:tcW w:w="1981" w:type="dxa"/>
              </w:tcPr>
              <w:p w14:paraId="7C17A2F9" w14:textId="27C72197" w:rsidR="00550C96" w:rsidRDefault="00550C96" w:rsidP="00550C96">
                <w:pPr>
                  <w:pStyle w:val="BodyText"/>
                  <w:jc w:val="center"/>
                  <w:rPr>
                    <w:rFonts w:ascii="Palatino Linotype" w:hAnsi="Palatino Linotype"/>
                  </w:rPr>
                </w:pPr>
                <w:r>
                  <w:rPr>
                    <w:rFonts w:ascii="Palatino Linotype" w:hAnsi="Palatino Linotype"/>
                  </w:rPr>
                  <w:t>TRF</w:t>
                </w:r>
              </w:p>
            </w:tc>
            <w:tc>
              <w:tcPr>
                <w:tcW w:w="5868" w:type="dxa"/>
              </w:tcPr>
              <w:p w14:paraId="31D41ED2" w14:textId="1D605DD9" w:rsidR="00550C96" w:rsidRDefault="00550C96" w:rsidP="00550C96">
                <w:pPr>
                  <w:pStyle w:val="BodyText"/>
                  <w:tabs>
                    <w:tab w:val="left" w:pos="2415"/>
                  </w:tabs>
                  <w:jc w:val="center"/>
                  <w:rPr>
                    <w:rFonts w:ascii="Palatino Linotype" w:hAnsi="Palatino Linotype"/>
                  </w:rPr>
                </w:pPr>
                <w:r>
                  <w:rPr>
                    <w:rFonts w:ascii="Palatino Linotype" w:hAnsi="Palatino Linotype"/>
                  </w:rPr>
                  <w:t>Test Requisition Form</w:t>
                </w:r>
              </w:p>
            </w:tc>
          </w:tr>
          <w:tr w:rsidR="00550C96" w:rsidRPr="001064D5" w14:paraId="597EE4C3" w14:textId="77777777" w:rsidTr="00E72A7C">
            <w:trPr>
              <w:trHeight w:val="57"/>
              <w:jc w:val="center"/>
            </w:trPr>
            <w:tc>
              <w:tcPr>
                <w:tcW w:w="1331" w:type="dxa"/>
              </w:tcPr>
              <w:p w14:paraId="343F74B0" w14:textId="4E011491" w:rsidR="00550C96" w:rsidRPr="006916C1" w:rsidRDefault="00550C96" w:rsidP="00550C96">
                <w:pPr>
                  <w:pStyle w:val="BodyText"/>
                  <w:jc w:val="center"/>
                  <w:rPr>
                    <w:rFonts w:ascii="Palatino Linotype" w:hAnsi="Palatino Linotype"/>
                  </w:rPr>
                </w:pPr>
                <w:r>
                  <w:rPr>
                    <w:rFonts w:ascii="Palatino Linotype" w:hAnsi="Palatino Linotype"/>
                  </w:rPr>
                  <w:t>24</w:t>
                </w:r>
              </w:p>
            </w:tc>
            <w:tc>
              <w:tcPr>
                <w:tcW w:w="1981" w:type="dxa"/>
              </w:tcPr>
              <w:p w14:paraId="016C5CA8" w14:textId="14FD05F5" w:rsidR="00550C96" w:rsidRPr="006916C1" w:rsidRDefault="00550C96" w:rsidP="00550C96">
                <w:pPr>
                  <w:pStyle w:val="BodyText"/>
                  <w:jc w:val="center"/>
                  <w:rPr>
                    <w:rFonts w:ascii="Palatino Linotype" w:hAnsi="Palatino Linotype"/>
                  </w:rPr>
                </w:pPr>
                <w:r w:rsidRPr="006916C1">
                  <w:rPr>
                    <w:rFonts w:ascii="Palatino Linotype" w:hAnsi="Palatino Linotype"/>
                  </w:rPr>
                  <w:t>TDPL</w:t>
                </w:r>
              </w:p>
            </w:tc>
            <w:tc>
              <w:tcPr>
                <w:tcW w:w="5868" w:type="dxa"/>
              </w:tcPr>
              <w:p w14:paraId="352B4EE8" w14:textId="49DA3D5A" w:rsidR="00550C96" w:rsidRPr="006916C1" w:rsidRDefault="00550C96" w:rsidP="00550C96">
                <w:pPr>
                  <w:pStyle w:val="BodyText"/>
                  <w:jc w:val="center"/>
                  <w:rPr>
                    <w:rFonts w:ascii="Palatino Linotype" w:hAnsi="Palatino Linotype"/>
                  </w:rPr>
                </w:pPr>
                <w:r w:rsidRPr="006916C1">
                  <w:rPr>
                    <w:rFonts w:ascii="Palatino Linotype" w:hAnsi="Palatino Linotype"/>
                  </w:rPr>
                  <w:t>TRUSTlab Diagnostics Private Limited</w:t>
                </w:r>
              </w:p>
            </w:tc>
          </w:tr>
          <w:tr w:rsidR="00550C96" w:rsidRPr="001064D5" w14:paraId="27A80A4B" w14:textId="77777777" w:rsidTr="00E72A7C">
            <w:trPr>
              <w:trHeight w:val="57"/>
              <w:jc w:val="center"/>
            </w:trPr>
            <w:tc>
              <w:tcPr>
                <w:tcW w:w="1331" w:type="dxa"/>
              </w:tcPr>
              <w:p w14:paraId="7D51F06A" w14:textId="538EBB3D" w:rsidR="00550C96" w:rsidRDefault="00550C96" w:rsidP="00550C96">
                <w:pPr>
                  <w:pStyle w:val="BodyText"/>
                  <w:jc w:val="center"/>
                  <w:rPr>
                    <w:rFonts w:ascii="Palatino Linotype" w:hAnsi="Palatino Linotype"/>
                  </w:rPr>
                </w:pPr>
                <w:r>
                  <w:rPr>
                    <w:rFonts w:ascii="Palatino Linotype" w:hAnsi="Palatino Linotype"/>
                  </w:rPr>
                  <w:t>25</w:t>
                </w:r>
              </w:p>
            </w:tc>
            <w:tc>
              <w:tcPr>
                <w:tcW w:w="1981" w:type="dxa"/>
              </w:tcPr>
              <w:p w14:paraId="4B811A94" w14:textId="54708C1F" w:rsidR="00550C96" w:rsidRDefault="00550C96" w:rsidP="00550C96">
                <w:pPr>
                  <w:pStyle w:val="BodyText"/>
                  <w:jc w:val="center"/>
                  <w:rPr>
                    <w:rFonts w:ascii="Palatino Linotype" w:hAnsi="Palatino Linotype"/>
                  </w:rPr>
                </w:pPr>
                <w:r>
                  <w:rPr>
                    <w:rFonts w:ascii="Palatino Linotype" w:hAnsi="Palatino Linotype"/>
                  </w:rPr>
                  <w:t>ULOQ</w:t>
                </w:r>
              </w:p>
            </w:tc>
            <w:tc>
              <w:tcPr>
                <w:tcW w:w="5868" w:type="dxa"/>
              </w:tcPr>
              <w:p w14:paraId="32E57436" w14:textId="1A66FE20" w:rsidR="00550C96" w:rsidRDefault="00550C96" w:rsidP="00550C96">
                <w:pPr>
                  <w:pStyle w:val="BodyText"/>
                  <w:jc w:val="center"/>
                  <w:rPr>
                    <w:rFonts w:ascii="Palatino Linotype" w:hAnsi="Palatino Linotype"/>
                  </w:rPr>
                </w:pPr>
                <w:r>
                  <w:rPr>
                    <w:rFonts w:ascii="Palatino Linotype" w:hAnsi="Palatino Linotype"/>
                  </w:rPr>
                  <w:t>Upper Limit of Quantitation</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1D7D3854"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0A739B">
        <w:rPr>
          <w:rFonts w:cs="Times New Roman"/>
          <w:color w:val="000000"/>
        </w:rPr>
        <w:t>TSH</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1E2E6498" w14:textId="77777777" w:rsidR="00A60AEC" w:rsidRPr="00D8479E" w:rsidRDefault="00A60AEC" w:rsidP="00A60AEC">
      <w:pPr>
        <w:pStyle w:val="TDPL-BodyTxt"/>
        <w:jc w:val="both"/>
      </w:pPr>
      <w:r w:rsidRPr="00D8479E">
        <w:t xml:space="preserve">It is the responsibility of the technicians of the </w:t>
      </w:r>
      <w:r>
        <w:t>Biochemistry</w:t>
      </w:r>
      <w:r w:rsidRPr="00D8479E">
        <w:t xml:space="preserve"> Department to comply with this SOP.</w:t>
      </w:r>
    </w:p>
    <w:p w14:paraId="74D5D583" w14:textId="77777777" w:rsidR="00A60AEC" w:rsidRPr="00D8479E" w:rsidRDefault="00A60AEC" w:rsidP="00A60AEC">
      <w:pPr>
        <w:pStyle w:val="TDPL-BodyTxt"/>
        <w:jc w:val="both"/>
      </w:pPr>
      <w:r w:rsidRPr="00D8479E">
        <w:t>HOD shall ensure implementation.</w:t>
      </w:r>
    </w:p>
    <w:p w14:paraId="4A6CE891" w14:textId="77777777" w:rsidR="00A60AEC" w:rsidRPr="00D8479E" w:rsidRDefault="00A60AEC" w:rsidP="00A60AEC">
      <w:pPr>
        <w:pStyle w:val="TDPL-BodyTxt"/>
        <w:jc w:val="both"/>
      </w:pPr>
      <w:r w:rsidRPr="00D8479E">
        <w:t>The Quality Manager is responsible for monitoring, reviewing and ensuring compliance with this procedure.</w:t>
      </w:r>
    </w:p>
    <w:p w14:paraId="0A511B78" w14:textId="4F22E4C2" w:rsidR="00BB59CE" w:rsidRPr="009F5184" w:rsidRDefault="00A60AEC" w:rsidP="00A60AEC">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30A2B72" w:rsidR="00CE17EC" w:rsidRDefault="000A739B" w:rsidP="00FE3C10">
      <w:pPr>
        <w:pStyle w:val="TDPL-BodyTxt"/>
        <w:numPr>
          <w:ilvl w:val="0"/>
          <w:numId w:val="0"/>
        </w:numPr>
        <w:ind w:left="1134"/>
        <w:jc w:val="both"/>
      </w:pPr>
      <w:r w:rsidRPr="000A739B">
        <w:t>TSH stands for thyroid-stimulating hormone. It's a hormone produced by the pituitary gland that stimulates the thyroid gland to produce thyroxine (T4) and triiodothyronine (T3), which are essential thyroid hormones. A TSH test measures the amount of this hormone in the blood and is used to assess thyroid function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6B95DE52" w14:textId="77777777" w:rsidR="000A739B" w:rsidRDefault="000A739B" w:rsidP="007A1C56">
      <w:pPr>
        <w:pStyle w:val="TDPL-BodyTxt"/>
        <w:jc w:val="both"/>
      </w:pPr>
      <w:r w:rsidRPr="000A739B">
        <w:t xml:space="preserve">The Access TSH (3rd IS) assay is a two-site immunoenzymatic (“sandwich”) assay. </w:t>
      </w:r>
    </w:p>
    <w:p w14:paraId="758A1E90" w14:textId="77777777" w:rsidR="000A739B" w:rsidRDefault="000A739B" w:rsidP="007A1C56">
      <w:pPr>
        <w:pStyle w:val="TDPL-BodyTxt"/>
        <w:jc w:val="both"/>
      </w:pPr>
      <w:r w:rsidRPr="000A739B">
        <w:t>A sample is added to a reaction vessel with mouse anti-hTSH-alkaline phosphatase conjugate, buffered protein solution and paramagnetic particles coated with immobilized mouse monoclonal anti-hTSH antibody.</w:t>
      </w:r>
    </w:p>
    <w:p w14:paraId="268F0913" w14:textId="77777777" w:rsidR="000A739B" w:rsidRDefault="000A739B" w:rsidP="007A1C56">
      <w:pPr>
        <w:pStyle w:val="TDPL-BodyTxt"/>
        <w:jc w:val="both"/>
      </w:pPr>
      <w:r w:rsidRPr="000A739B">
        <w:t>The hTSH binds to the immobilized monoclonal anti-hTSH antibody on the solid phase while the mouse anti-hTSH-alkaline phosphatase conjugate reacts with a different antigenic site on the hTSH.</w:t>
      </w:r>
    </w:p>
    <w:p w14:paraId="0B714B75" w14:textId="77777777" w:rsidR="000A739B" w:rsidRDefault="000A739B" w:rsidP="007A1C56">
      <w:pPr>
        <w:pStyle w:val="TDPL-BodyTxt"/>
        <w:jc w:val="both"/>
      </w:pPr>
      <w:r w:rsidRPr="000A739B">
        <w:lastRenderedPageBreak/>
        <w:t>After incubation in a reaction vessel, materials bound to the solid phase are held in a magnetic field while unbound materials are washed away.</w:t>
      </w:r>
    </w:p>
    <w:p w14:paraId="69A8A3EF" w14:textId="77777777" w:rsidR="000A739B" w:rsidRDefault="000A739B" w:rsidP="007A1C56">
      <w:pPr>
        <w:pStyle w:val="TDPL-BodyTxt"/>
        <w:jc w:val="both"/>
      </w:pPr>
      <w:r w:rsidRPr="000A739B">
        <w:t>Then, the chemiluminescent substrate Lumi-Phos* 530 is added to the vessel and light generated by the reaction is measured with a luminometer.</w:t>
      </w:r>
    </w:p>
    <w:p w14:paraId="3CDD1411" w14:textId="0898D178" w:rsidR="007A1C56" w:rsidRDefault="000A739B" w:rsidP="007A1C56">
      <w:pPr>
        <w:pStyle w:val="TDPL-BodyTxt"/>
        <w:jc w:val="both"/>
      </w:pPr>
      <w:r w:rsidRPr="000A739B">
        <w:t>The light production is directly proportional to the concentration of TSH in the sample. The amount of analyte in the sample is determined from a stored, multi-point calibration curve</w:t>
      </w:r>
      <w:r w:rsidR="002837EA">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1A119CA3" w:rsidR="00116F9E" w:rsidRDefault="00116F9E" w:rsidP="00116F9E">
      <w:pPr>
        <w:pStyle w:val="TDPL-BodyTxt"/>
        <w:numPr>
          <w:ilvl w:val="3"/>
          <w:numId w:val="182"/>
        </w:numPr>
      </w:pPr>
      <w:r>
        <w:t xml:space="preserve">LLOQ: </w:t>
      </w:r>
      <w:r w:rsidR="000A739B" w:rsidRPr="000A739B">
        <w:t>0.005 μIU/m</w:t>
      </w:r>
      <w:r w:rsidR="000A739B">
        <w:t>l</w:t>
      </w:r>
    </w:p>
    <w:p w14:paraId="480F38A8" w14:textId="6F3C6777" w:rsidR="006E2482" w:rsidRDefault="00116F9E" w:rsidP="00116F9E">
      <w:pPr>
        <w:pStyle w:val="TDPL-BodyTxt"/>
        <w:numPr>
          <w:ilvl w:val="3"/>
          <w:numId w:val="182"/>
        </w:numPr>
      </w:pPr>
      <w:r>
        <w:t xml:space="preserve">ULOQ: </w:t>
      </w:r>
      <w:r w:rsidR="000A739B" w:rsidRPr="000A739B">
        <w:t>50.0 μIU/m</w:t>
      </w:r>
      <w:r w:rsidR="000A739B">
        <w:t>l</w:t>
      </w:r>
    </w:p>
    <w:p w14:paraId="34001DAF" w14:textId="6E0923FD" w:rsidR="00116F9E" w:rsidRDefault="006E2482" w:rsidP="00547AFC">
      <w:pPr>
        <w:pStyle w:val="TDPL-BodyTxt"/>
        <w:jc w:val="both"/>
      </w:pPr>
      <w:r>
        <w:t xml:space="preserve">Analytical measurement range (AMR): </w:t>
      </w:r>
      <w:r w:rsidR="000A739B" w:rsidRPr="000A739B">
        <w:t>0.005 - 50.0 μIU/</w:t>
      </w:r>
      <w:r w:rsidR="000A739B">
        <w:t>ml</w:t>
      </w:r>
    </w:p>
    <w:p w14:paraId="15C67CD2" w14:textId="5FF4E689" w:rsidR="00723BF4" w:rsidRPr="000A739B" w:rsidRDefault="00116F9E" w:rsidP="00547AFC">
      <w:pPr>
        <w:pStyle w:val="TDPL-BodyTxt"/>
        <w:jc w:val="both"/>
      </w:pPr>
      <w:r w:rsidRPr="000A739B">
        <w:t>Clinical Reportable Range (CRR):</w:t>
      </w:r>
      <w:r w:rsidR="00A838DF" w:rsidRPr="000A739B">
        <w:t xml:space="preserve"> </w:t>
      </w:r>
      <w:r w:rsidR="000A739B" w:rsidRPr="000A739B">
        <w:t>&gt; 500 μIU/ml (1:10 dilution)</w:t>
      </w:r>
    </w:p>
    <w:p w14:paraId="444CD428" w14:textId="0FB5FCBB" w:rsidR="00D268DB" w:rsidRDefault="00D268DB" w:rsidP="00547AFC">
      <w:pPr>
        <w:pStyle w:val="TDPL-BodyTxt"/>
        <w:jc w:val="both"/>
      </w:pPr>
      <w:r w:rsidRPr="00D268DB">
        <w:t xml:space="preserve">Sensitivity: </w:t>
      </w:r>
      <w:r w:rsidR="000A739B">
        <w:t>95%</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3AD3BF8" w:rsidR="00E8486F" w:rsidRDefault="00B61D66" w:rsidP="00B61D66">
      <w:pPr>
        <w:pStyle w:val="TDPL-BodyTxt"/>
        <w:jc w:val="both"/>
      </w:pPr>
      <w:r>
        <w:t>A minimum of 2</w:t>
      </w:r>
      <w:r w:rsidR="000A739B">
        <w:t xml:space="preserve"> </w:t>
      </w:r>
      <w:r>
        <w:t xml:space="preserve">ml of </w:t>
      </w:r>
      <w:r w:rsidR="007674BE">
        <w:t xml:space="preserve">non-hemolysed </w:t>
      </w:r>
      <w:r w:rsidR="00547AFC" w:rsidRPr="00547AFC">
        <w:t>Serum</w:t>
      </w:r>
      <w:r w:rsidR="00116F9E">
        <w:t>/Plasma</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Keep tubes stoppered and upright at all times.</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A76F66">
      <w:pPr>
        <w:pStyle w:val="TDPL-BodyTxt"/>
        <w:numPr>
          <w:ilvl w:val="3"/>
          <w:numId w:val="182"/>
        </w:numPr>
        <w:jc w:val="both"/>
      </w:pPr>
      <w:r>
        <w:t>Samples are free of fibrin or other particulate matter.</w:t>
      </w:r>
    </w:p>
    <w:p w14:paraId="2319E1DB" w14:textId="6C00CE3F" w:rsidR="00A76F66" w:rsidRDefault="00A76F66" w:rsidP="00A76F66">
      <w:pPr>
        <w:pStyle w:val="TDPL-BodyTxt"/>
        <w:numPr>
          <w:ilvl w:val="3"/>
          <w:numId w:val="182"/>
        </w:numPr>
        <w:jc w:val="both"/>
      </w:pPr>
      <w:r>
        <w:t>Samples are free of bubbles.</w:t>
      </w:r>
    </w:p>
    <w:p w14:paraId="14078EB1" w14:textId="49430582" w:rsidR="00B61D66" w:rsidRPr="00B61D66" w:rsidRDefault="00B61D66" w:rsidP="00B61D66">
      <w:pPr>
        <w:pStyle w:val="TDPL-BodyTxt"/>
        <w:jc w:val="both"/>
      </w:pPr>
      <w:r>
        <w:lastRenderedPageBreak/>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3F205961" w14:textId="214B8ABE" w:rsidR="00FE39AC" w:rsidRDefault="00FE39AC" w:rsidP="00B61D66">
      <w:pPr>
        <w:pStyle w:val="TDPL-BodyTxt"/>
      </w:pPr>
      <w:r>
        <w:t>Heparin –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Default="008A3298" w:rsidP="008C1C9E">
      <w:pPr>
        <w:pStyle w:val="TDPL-BodyTxt"/>
        <w:keepNext/>
        <w:jc w:val="both"/>
        <w:rPr>
          <w:b/>
          <w:bCs/>
          <w:sz w:val="24"/>
          <w:szCs w:val="24"/>
        </w:rPr>
      </w:pPr>
      <w:r>
        <w:rPr>
          <w:b/>
          <w:bCs/>
          <w:sz w:val="24"/>
          <w:szCs w:val="24"/>
        </w:rPr>
        <w:t>Reagents</w:t>
      </w:r>
    </w:p>
    <w:p w14:paraId="5AED0E93" w14:textId="7DEE5A74" w:rsidR="00FE39AC" w:rsidRPr="00FE39AC" w:rsidRDefault="00FE39AC" w:rsidP="00FE39AC">
      <w:pPr>
        <w:pStyle w:val="TDPL-BodyTxt"/>
        <w:keepNext/>
        <w:numPr>
          <w:ilvl w:val="0"/>
          <w:numId w:val="0"/>
        </w:numPr>
        <w:ind w:left="1134"/>
        <w:jc w:val="both"/>
        <w:rPr>
          <w:sz w:val="24"/>
          <w:szCs w:val="24"/>
        </w:rPr>
      </w:pPr>
      <w:r w:rsidRPr="00FE39AC">
        <w:rPr>
          <w:sz w:val="24"/>
          <w:szCs w:val="24"/>
        </w:rPr>
        <w:t>Beckman Coulter</w:t>
      </w:r>
      <w:r>
        <w:rPr>
          <w:sz w:val="24"/>
          <w:szCs w:val="24"/>
        </w:rPr>
        <w:t xml:space="preserve"> </w:t>
      </w:r>
      <w:r w:rsidRPr="00FE39AC">
        <w:rPr>
          <w:sz w:val="24"/>
          <w:szCs w:val="24"/>
        </w:rPr>
        <w:t>Access TSH (3rd IS) Reagent Pack</w:t>
      </w:r>
      <w:r>
        <w:rPr>
          <w:sz w:val="24"/>
          <w:szCs w:val="24"/>
        </w:rPr>
        <w:t xml:space="preserve">; </w:t>
      </w:r>
      <w:r w:rsidRPr="00FE39AC">
        <w:rPr>
          <w:sz w:val="24"/>
          <w:szCs w:val="24"/>
        </w:rPr>
        <w:t xml:space="preserve">Cat. No. B63284: 200 </w:t>
      </w:r>
      <w:r w:rsidRPr="00FE39AC">
        <w:rPr>
          <w:sz w:val="24"/>
          <w:szCs w:val="24"/>
        </w:rPr>
        <w:lastRenderedPageBreak/>
        <w:t>determinations, 2 packs, 100 tests/pack</w:t>
      </w:r>
    </w:p>
    <w:p w14:paraId="5354FBA9" w14:textId="36E44FE1" w:rsidR="00FE39AC" w:rsidRPr="00FE39AC" w:rsidRDefault="00FE39AC" w:rsidP="00FE39AC">
      <w:pPr>
        <w:pStyle w:val="TDPL-BodyTxt"/>
        <w:keepNext/>
        <w:numPr>
          <w:ilvl w:val="3"/>
          <w:numId w:val="182"/>
        </w:numPr>
        <w:jc w:val="both"/>
        <w:rPr>
          <w:sz w:val="24"/>
          <w:szCs w:val="24"/>
        </w:rPr>
      </w:pPr>
      <w:r w:rsidRPr="00FE39AC">
        <w:rPr>
          <w:sz w:val="24"/>
          <w:szCs w:val="24"/>
        </w:rPr>
        <w:t>Provided ready to use.</w:t>
      </w:r>
    </w:p>
    <w:p w14:paraId="7E476F90" w14:textId="07944C29" w:rsidR="00FE39AC" w:rsidRPr="00FE39AC" w:rsidRDefault="00FE39AC" w:rsidP="00FE39AC">
      <w:pPr>
        <w:pStyle w:val="TDPL-BodyTxt"/>
        <w:keepNext/>
        <w:numPr>
          <w:ilvl w:val="3"/>
          <w:numId w:val="182"/>
        </w:numPr>
        <w:jc w:val="both"/>
        <w:rPr>
          <w:sz w:val="24"/>
          <w:szCs w:val="24"/>
        </w:rPr>
      </w:pPr>
      <w:r w:rsidRPr="00FE39AC">
        <w:rPr>
          <w:sz w:val="24"/>
          <w:szCs w:val="24"/>
        </w:rPr>
        <w:t>Store upright and refrigerate at 2</w:t>
      </w:r>
      <w:r>
        <w:rPr>
          <w:sz w:val="24"/>
          <w:szCs w:val="24"/>
        </w:rPr>
        <w:t>-</w:t>
      </w:r>
      <w:r w:rsidRPr="00FE39AC">
        <w:rPr>
          <w:sz w:val="24"/>
          <w:szCs w:val="24"/>
        </w:rPr>
        <w:t>10°C.</w:t>
      </w:r>
    </w:p>
    <w:p w14:paraId="158FDA1B" w14:textId="21BDB3AF" w:rsidR="00FE39AC" w:rsidRPr="00FE39AC" w:rsidRDefault="00FE39AC" w:rsidP="00FE39AC">
      <w:pPr>
        <w:pStyle w:val="TDPL-BodyTxt"/>
        <w:keepNext/>
        <w:numPr>
          <w:ilvl w:val="3"/>
          <w:numId w:val="182"/>
        </w:numPr>
        <w:jc w:val="both"/>
        <w:rPr>
          <w:sz w:val="24"/>
          <w:szCs w:val="24"/>
        </w:rPr>
      </w:pPr>
      <w:r w:rsidRPr="00FE39AC">
        <w:rPr>
          <w:sz w:val="24"/>
          <w:szCs w:val="24"/>
        </w:rPr>
        <w:t>Refrigerate at 2</w:t>
      </w:r>
      <w:r>
        <w:rPr>
          <w:sz w:val="24"/>
          <w:szCs w:val="24"/>
        </w:rPr>
        <w:t>-</w:t>
      </w:r>
      <w:r w:rsidRPr="00FE39AC">
        <w:rPr>
          <w:sz w:val="24"/>
          <w:szCs w:val="24"/>
        </w:rPr>
        <w:t>10°C for a minimum of two hours before use on the instrument.</w:t>
      </w:r>
    </w:p>
    <w:p w14:paraId="624BCCE2" w14:textId="2902EAB1" w:rsidR="00FE39AC" w:rsidRPr="00FE39AC" w:rsidRDefault="00FE39AC" w:rsidP="00FE39AC">
      <w:pPr>
        <w:pStyle w:val="TDPL-BodyTxt"/>
        <w:keepNext/>
        <w:numPr>
          <w:ilvl w:val="3"/>
          <w:numId w:val="182"/>
        </w:numPr>
        <w:jc w:val="both"/>
        <w:rPr>
          <w:sz w:val="24"/>
          <w:szCs w:val="24"/>
        </w:rPr>
      </w:pPr>
      <w:r w:rsidRPr="00FE39AC">
        <w:rPr>
          <w:sz w:val="24"/>
          <w:szCs w:val="24"/>
        </w:rPr>
        <w:t>Signs of possible deterioration are a broken elastomeric layer on the pack or quality control values out of range.</w:t>
      </w:r>
    </w:p>
    <w:p w14:paraId="754710BD" w14:textId="3D087AA7" w:rsidR="00FE39AC" w:rsidRPr="00FE39AC" w:rsidRDefault="00FE39AC" w:rsidP="00FE39AC">
      <w:pPr>
        <w:pStyle w:val="TDPL-BodyTxt"/>
        <w:keepNext/>
        <w:numPr>
          <w:ilvl w:val="0"/>
          <w:numId w:val="0"/>
        </w:numPr>
        <w:ind w:left="1134"/>
        <w:jc w:val="both"/>
        <w:rPr>
          <w:sz w:val="24"/>
          <w:szCs w:val="24"/>
        </w:rPr>
      </w:pPr>
      <w:r w:rsidRPr="00FE39AC">
        <w:rPr>
          <w:sz w:val="24"/>
          <w:szCs w:val="24"/>
        </w:rPr>
        <w:t>If the reagent pack is damaged (e.g., broken elastomer), discard the pack</w:t>
      </w:r>
    </w:p>
    <w:tbl>
      <w:tblPr>
        <w:tblW w:w="8011"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7023"/>
      </w:tblGrid>
      <w:tr w:rsidR="00FE39AC" w:rsidRPr="002837EA" w14:paraId="099AB31F" w14:textId="77777777" w:rsidTr="00FE39AC">
        <w:trPr>
          <w:trHeight w:val="470"/>
          <w:tblHeader/>
          <w:jc w:val="right"/>
        </w:trPr>
        <w:tc>
          <w:tcPr>
            <w:tcW w:w="988" w:type="dxa"/>
            <w:tcBorders>
              <w:top w:val="single" w:sz="4" w:space="0" w:color="000000"/>
              <w:left w:val="single" w:sz="4" w:space="0" w:color="000000"/>
              <w:bottom w:val="single" w:sz="4" w:space="0" w:color="000000"/>
              <w:right w:val="single" w:sz="4" w:space="0" w:color="000000"/>
            </w:tcBorders>
            <w:vAlign w:val="center"/>
            <w:hideMark/>
          </w:tcPr>
          <w:p w14:paraId="6C1B3D63" w14:textId="37BB7DCE" w:rsidR="00FE39AC" w:rsidRPr="002837EA" w:rsidRDefault="00FE39AC" w:rsidP="00A76F66">
            <w:pPr>
              <w:pStyle w:val="TableParagraph"/>
              <w:jc w:val="center"/>
              <w:rPr>
                <w:rFonts w:ascii="Palatino Linotype" w:eastAsia="Arial" w:hAnsi="Palatino Linotype"/>
                <w:b/>
                <w:bCs/>
                <w:sz w:val="20"/>
                <w:szCs w:val="20"/>
              </w:rPr>
            </w:pPr>
            <w:r w:rsidRPr="002837EA">
              <w:rPr>
                <w:rFonts w:ascii="Palatino Linotype" w:hAnsi="Palatino Linotype"/>
                <w:b/>
                <w:bCs/>
                <w:sz w:val="20"/>
                <w:szCs w:val="20"/>
              </w:rPr>
              <w:t>Reagent</w:t>
            </w:r>
          </w:p>
        </w:tc>
        <w:tc>
          <w:tcPr>
            <w:tcW w:w="7023" w:type="dxa"/>
            <w:tcBorders>
              <w:top w:val="single" w:sz="4" w:space="0" w:color="000000"/>
              <w:left w:val="single" w:sz="4" w:space="0" w:color="000000"/>
              <w:bottom w:val="single" w:sz="4" w:space="0" w:color="000000"/>
              <w:right w:val="single" w:sz="4" w:space="0" w:color="000000"/>
            </w:tcBorders>
            <w:vAlign w:val="center"/>
            <w:hideMark/>
          </w:tcPr>
          <w:p w14:paraId="6C0EFCEB" w14:textId="77777777" w:rsidR="00FE39AC" w:rsidRPr="002837EA" w:rsidRDefault="00FE39AC" w:rsidP="00A76F66">
            <w:pPr>
              <w:pStyle w:val="TableParagraph"/>
              <w:jc w:val="center"/>
              <w:rPr>
                <w:rFonts w:ascii="Palatino Linotype" w:eastAsia="Arial" w:hAnsi="Palatino Linotype"/>
                <w:b/>
                <w:bCs/>
                <w:sz w:val="20"/>
                <w:szCs w:val="20"/>
              </w:rPr>
            </w:pPr>
            <w:r w:rsidRPr="002837EA">
              <w:rPr>
                <w:rFonts w:ascii="Palatino Linotype" w:hAnsi="Palatino Linotype"/>
                <w:b/>
                <w:bCs/>
                <w:sz w:val="20"/>
                <w:szCs w:val="20"/>
              </w:rPr>
              <w:t>Ingredients</w:t>
            </w:r>
          </w:p>
        </w:tc>
      </w:tr>
      <w:tr w:rsidR="00FE39AC" w:rsidRPr="002837EA" w14:paraId="65112C3C" w14:textId="77777777" w:rsidTr="00FE39AC">
        <w:trPr>
          <w:trHeight w:val="737"/>
          <w:jc w:val="right"/>
        </w:trPr>
        <w:tc>
          <w:tcPr>
            <w:tcW w:w="988" w:type="dxa"/>
            <w:tcBorders>
              <w:top w:val="single" w:sz="4" w:space="0" w:color="000000"/>
              <w:left w:val="single" w:sz="4" w:space="0" w:color="000000"/>
              <w:bottom w:val="single" w:sz="4" w:space="0" w:color="000000"/>
              <w:right w:val="single" w:sz="4" w:space="0" w:color="000000"/>
            </w:tcBorders>
            <w:vAlign w:val="center"/>
            <w:hideMark/>
          </w:tcPr>
          <w:p w14:paraId="52CD1431" w14:textId="07116865" w:rsidR="00FE39AC" w:rsidRPr="002837EA" w:rsidRDefault="00FE39AC" w:rsidP="00A76F66">
            <w:pPr>
              <w:pStyle w:val="TableParagraph"/>
              <w:jc w:val="center"/>
              <w:rPr>
                <w:rFonts w:ascii="Palatino Linotype" w:hAnsi="Palatino Linotype"/>
                <w:sz w:val="20"/>
                <w:szCs w:val="20"/>
              </w:rPr>
            </w:pPr>
            <w:r w:rsidRPr="002837EA">
              <w:rPr>
                <w:rFonts w:ascii="Palatino Linotype" w:hAnsi="Palatino Linotype"/>
                <w:sz w:val="20"/>
                <w:szCs w:val="20"/>
              </w:rPr>
              <w:t>R1a</w:t>
            </w:r>
          </w:p>
        </w:tc>
        <w:tc>
          <w:tcPr>
            <w:tcW w:w="7023" w:type="dxa"/>
            <w:tcBorders>
              <w:top w:val="single" w:sz="4" w:space="0" w:color="000000"/>
              <w:left w:val="single" w:sz="4" w:space="0" w:color="000000"/>
              <w:bottom w:val="single" w:sz="4" w:space="0" w:color="000000"/>
              <w:right w:val="single" w:sz="4" w:space="0" w:color="000000"/>
            </w:tcBorders>
            <w:vAlign w:val="center"/>
            <w:hideMark/>
          </w:tcPr>
          <w:p w14:paraId="72B61121" w14:textId="2916C4A2" w:rsidR="00FE39AC" w:rsidRPr="002837EA" w:rsidRDefault="00FE39AC" w:rsidP="00FE39AC">
            <w:pPr>
              <w:pStyle w:val="TableParagraph"/>
              <w:jc w:val="both"/>
              <w:rPr>
                <w:rFonts w:ascii="Palatino Linotype" w:hAnsi="Palatino Linotype"/>
                <w:sz w:val="20"/>
                <w:szCs w:val="20"/>
              </w:rPr>
            </w:pPr>
            <w:r w:rsidRPr="00FE39AC">
              <w:rPr>
                <w:rFonts w:ascii="Palatino Linotype" w:hAnsi="Palatino Linotype"/>
                <w:sz w:val="20"/>
                <w:szCs w:val="20"/>
              </w:rPr>
              <w:t>Paramagnetic particles coated with goat anti-mouse IgG: mouse monoclonal anti-hTSH complexes suspended in TRIS buffered saline, with surfactant, bovine serum albumin (BSA), &lt; 0.1% sodium azide, and 0.1% ProClin 300</w:t>
            </w:r>
            <w:r w:rsidRPr="002837EA">
              <w:rPr>
                <w:rFonts w:ascii="Palatino Linotype" w:hAnsi="Palatino Linotype"/>
                <w:sz w:val="20"/>
                <w:szCs w:val="20"/>
              </w:rPr>
              <w:t>.</w:t>
            </w:r>
          </w:p>
        </w:tc>
      </w:tr>
      <w:tr w:rsidR="00FE39AC" w:rsidRPr="002837EA" w14:paraId="456E35B2" w14:textId="77777777" w:rsidTr="00FE39AC">
        <w:trPr>
          <w:trHeight w:val="737"/>
          <w:jc w:val="right"/>
        </w:trPr>
        <w:tc>
          <w:tcPr>
            <w:tcW w:w="988" w:type="dxa"/>
            <w:tcBorders>
              <w:top w:val="single" w:sz="4" w:space="0" w:color="000000"/>
              <w:left w:val="single" w:sz="4" w:space="0" w:color="000000"/>
              <w:bottom w:val="single" w:sz="4" w:space="0" w:color="000000"/>
              <w:right w:val="single" w:sz="4" w:space="0" w:color="000000"/>
            </w:tcBorders>
            <w:vAlign w:val="center"/>
            <w:hideMark/>
          </w:tcPr>
          <w:p w14:paraId="0FA4BB79" w14:textId="41C3F714" w:rsidR="00FE39AC" w:rsidRPr="002837EA" w:rsidRDefault="00FE39AC" w:rsidP="00A76F66">
            <w:pPr>
              <w:pStyle w:val="TableParagraph"/>
              <w:jc w:val="center"/>
              <w:rPr>
                <w:rFonts w:ascii="Palatino Linotype" w:hAnsi="Palatino Linotype"/>
                <w:sz w:val="20"/>
                <w:szCs w:val="20"/>
              </w:rPr>
            </w:pPr>
            <w:r w:rsidRPr="002837EA">
              <w:rPr>
                <w:rFonts w:ascii="Palatino Linotype" w:hAnsi="Palatino Linotype"/>
                <w:sz w:val="20"/>
                <w:szCs w:val="20"/>
              </w:rPr>
              <w:t>R1b</w:t>
            </w:r>
          </w:p>
        </w:tc>
        <w:tc>
          <w:tcPr>
            <w:tcW w:w="7023" w:type="dxa"/>
            <w:tcBorders>
              <w:top w:val="single" w:sz="4" w:space="0" w:color="000000"/>
              <w:left w:val="single" w:sz="4" w:space="0" w:color="000000"/>
              <w:bottom w:val="single" w:sz="4" w:space="0" w:color="000000"/>
              <w:right w:val="single" w:sz="4" w:space="0" w:color="000000"/>
            </w:tcBorders>
            <w:vAlign w:val="center"/>
            <w:hideMark/>
          </w:tcPr>
          <w:p w14:paraId="72EA784A" w14:textId="61CFCE5C" w:rsidR="00FE39AC" w:rsidRPr="002837EA" w:rsidRDefault="00FE39AC" w:rsidP="00FE39AC">
            <w:pPr>
              <w:pStyle w:val="TableParagraph"/>
              <w:jc w:val="both"/>
              <w:rPr>
                <w:rFonts w:ascii="Palatino Linotype" w:hAnsi="Palatino Linotype"/>
                <w:sz w:val="20"/>
                <w:szCs w:val="20"/>
              </w:rPr>
            </w:pPr>
            <w:r w:rsidRPr="00FE39AC">
              <w:rPr>
                <w:rFonts w:ascii="Palatino Linotype" w:hAnsi="Palatino Linotype"/>
                <w:sz w:val="20"/>
                <w:szCs w:val="20"/>
              </w:rPr>
              <w:t>TRIS buffered saline with surfactant, BSA, protein (murine, goat), &lt; 0.1% sodium azide, and 0.1% ProClin 300</w:t>
            </w:r>
            <w:r w:rsidRPr="002837EA">
              <w:rPr>
                <w:rFonts w:ascii="Palatino Linotype" w:hAnsi="Palatino Linotype"/>
                <w:sz w:val="20"/>
                <w:szCs w:val="20"/>
              </w:rPr>
              <w:t>.</w:t>
            </w:r>
          </w:p>
        </w:tc>
      </w:tr>
      <w:tr w:rsidR="00FE39AC" w:rsidRPr="002837EA" w14:paraId="4B6C5C83" w14:textId="77777777" w:rsidTr="00FE39AC">
        <w:trPr>
          <w:trHeight w:val="737"/>
          <w:jc w:val="right"/>
        </w:trPr>
        <w:tc>
          <w:tcPr>
            <w:tcW w:w="988" w:type="dxa"/>
            <w:tcBorders>
              <w:top w:val="single" w:sz="4" w:space="0" w:color="000000"/>
              <w:left w:val="single" w:sz="4" w:space="0" w:color="000000"/>
              <w:bottom w:val="single" w:sz="4" w:space="0" w:color="000000"/>
              <w:right w:val="single" w:sz="4" w:space="0" w:color="000000"/>
            </w:tcBorders>
            <w:vAlign w:val="center"/>
            <w:hideMark/>
          </w:tcPr>
          <w:p w14:paraId="433923D4" w14:textId="15EA9FA6" w:rsidR="00FE39AC" w:rsidRPr="002837EA" w:rsidRDefault="00FE39AC" w:rsidP="00A76F66">
            <w:pPr>
              <w:pStyle w:val="TableParagraph"/>
              <w:jc w:val="center"/>
              <w:rPr>
                <w:rFonts w:ascii="Palatino Linotype" w:hAnsi="Palatino Linotype"/>
                <w:sz w:val="20"/>
                <w:szCs w:val="20"/>
              </w:rPr>
            </w:pPr>
            <w:r w:rsidRPr="002837EA">
              <w:rPr>
                <w:rFonts w:ascii="Palatino Linotype" w:hAnsi="Palatino Linotype"/>
                <w:sz w:val="20"/>
                <w:szCs w:val="20"/>
              </w:rPr>
              <w:t>R1c</w:t>
            </w:r>
          </w:p>
        </w:tc>
        <w:tc>
          <w:tcPr>
            <w:tcW w:w="7023" w:type="dxa"/>
            <w:tcBorders>
              <w:top w:val="single" w:sz="4" w:space="0" w:color="000000"/>
              <w:left w:val="single" w:sz="4" w:space="0" w:color="000000"/>
              <w:bottom w:val="single" w:sz="4" w:space="0" w:color="000000"/>
              <w:right w:val="single" w:sz="4" w:space="0" w:color="000000"/>
            </w:tcBorders>
            <w:vAlign w:val="center"/>
            <w:hideMark/>
          </w:tcPr>
          <w:p w14:paraId="2B401E9D" w14:textId="7318229B" w:rsidR="00FE39AC" w:rsidRPr="002837EA" w:rsidRDefault="00FE39AC" w:rsidP="00FE39AC">
            <w:pPr>
              <w:pStyle w:val="TableParagraph"/>
              <w:jc w:val="both"/>
              <w:rPr>
                <w:rFonts w:ascii="Palatino Linotype" w:hAnsi="Palatino Linotype"/>
                <w:sz w:val="20"/>
                <w:szCs w:val="20"/>
              </w:rPr>
            </w:pPr>
            <w:r w:rsidRPr="00FE39AC">
              <w:rPr>
                <w:rFonts w:ascii="Palatino Linotype" w:hAnsi="Palatino Linotype"/>
                <w:sz w:val="20"/>
                <w:szCs w:val="20"/>
              </w:rPr>
              <w:t>Goat anti-hTSH-alkaline phosphatase (bovine) conjugate in TRIS buffered saline, with surfactant, BSA, protein (goat), &lt; 0.1% sodium azide, and 0.1% ProClin 300</w:t>
            </w:r>
          </w:p>
        </w:tc>
      </w:tr>
    </w:tbl>
    <w:p w14:paraId="37BEB1E2" w14:textId="3B7C84ED" w:rsidR="008C1C9E" w:rsidRPr="008C1C9E" w:rsidRDefault="008C1C9E" w:rsidP="00A76F66">
      <w:pPr>
        <w:pStyle w:val="TDPL-BodyTxt"/>
        <w:keepNext/>
        <w:numPr>
          <w:ilvl w:val="0"/>
          <w:numId w:val="0"/>
        </w:numPr>
        <w:ind w:left="2268" w:hanging="1134"/>
        <w:jc w:val="both"/>
        <w:rPr>
          <w:sz w:val="24"/>
          <w:szCs w:val="24"/>
        </w:rPr>
      </w:pP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t>10</w:t>
      </w:r>
      <w:r w:rsidRPr="00EB312C">
        <w:t>°C.</w:t>
      </w:r>
    </w:p>
    <w:p w14:paraId="7B0ED063" w14:textId="6C617B43" w:rsidR="00EB312C" w:rsidRPr="00A76F66" w:rsidRDefault="00EB312C" w:rsidP="008C1C9E">
      <w:pPr>
        <w:pStyle w:val="TDPL-BodyTxt"/>
        <w:keepNext/>
        <w:numPr>
          <w:ilvl w:val="5"/>
          <w:numId w:val="182"/>
        </w:numPr>
        <w:ind w:left="1418" w:hanging="284"/>
        <w:jc w:val="both"/>
      </w:pPr>
      <w:r w:rsidRPr="00A76F66">
        <w:t xml:space="preserve">Once open, reagents stored on board the instrument are stable for </w:t>
      </w:r>
      <w:r w:rsidR="001B5FEF" w:rsidRPr="00A76F66">
        <w:t>28</w:t>
      </w:r>
      <w:r w:rsidRPr="00A76F66">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487B268" w14:textId="77777777" w:rsidR="00FE39AC" w:rsidRDefault="00FE39AC" w:rsidP="00FE39AC">
      <w:pPr>
        <w:pStyle w:val="TDPL-BodyTxt"/>
        <w:jc w:val="both"/>
      </w:pPr>
      <w:r>
        <w:t>Do not use reagent kits beyond the expiration date.</w:t>
      </w:r>
    </w:p>
    <w:p w14:paraId="34D3F92D" w14:textId="732D1D20" w:rsidR="00FE39AC" w:rsidRDefault="00FE39AC" w:rsidP="00FE39AC">
      <w:pPr>
        <w:pStyle w:val="TDPL-BodyTxt"/>
        <w:jc w:val="both"/>
      </w:pPr>
      <w:r>
        <w:t>Do not mix reagents from different reagent kits.</w:t>
      </w:r>
    </w:p>
    <w:p w14:paraId="430B126F" w14:textId="24C35B59" w:rsidR="00FE39AC" w:rsidRDefault="00FE39AC" w:rsidP="00FE39AC">
      <w:pPr>
        <w:pStyle w:val="TDPL-BodyTxt"/>
        <w:jc w:val="both"/>
      </w:pPr>
      <w:r>
        <w:t xml:space="preserve">Prior to loading the ACCESS 2 TSH Reagent Kit on the system for the first time, the microparticle bottle requires mixing to resuspend microparticles that have settled during shipment. </w:t>
      </w:r>
    </w:p>
    <w:p w14:paraId="1ACEF30F" w14:textId="75942F95" w:rsidR="00FE39AC" w:rsidRDefault="00FE39AC" w:rsidP="00FE39AC">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104F4BE9" w14:textId="50F2678E" w:rsidR="00FE39AC" w:rsidRDefault="00FE39AC" w:rsidP="00FE39AC">
      <w:pPr>
        <w:pStyle w:val="TDPL-BodyTxt"/>
        <w:jc w:val="both"/>
      </w:pPr>
      <w:r>
        <w:lastRenderedPageBreak/>
        <w:t>To avoid contamination, wear clean gloves when placing a septum on an uncapped reagent bottle.</w:t>
      </w:r>
    </w:p>
    <w:p w14:paraId="4D1FEBBB" w14:textId="7E7B994F" w:rsidR="00FE39AC" w:rsidRDefault="00FE39AC" w:rsidP="00FE39AC">
      <w:pPr>
        <w:pStyle w:val="TDPL-BodyTxt"/>
        <w:jc w:val="both"/>
      </w:pPr>
      <w:r>
        <w:t>Once a septum has been placed on an open reagent bottle, do not invert the bottle as this will result in reagent leakage and may compromise assay results.</w:t>
      </w:r>
    </w:p>
    <w:p w14:paraId="5CA346B7" w14:textId="66B56D06" w:rsidR="00FE39AC" w:rsidRDefault="00FE39AC" w:rsidP="00FE39AC">
      <w:pPr>
        <w:pStyle w:val="TDPL-BodyTxt"/>
        <w:jc w:val="both"/>
      </w:pPr>
      <w:r>
        <w:t xml:space="preserve">Over time, residual liquids may dry on the septum surface. These are typically dried salts which have no effect on assay efficacy.  </w:t>
      </w:r>
    </w:p>
    <w:p w14:paraId="7EDCB5E4" w14:textId="59246CCC" w:rsidR="00FE39AC" w:rsidRDefault="00FE39AC" w:rsidP="00FE39AC">
      <w:pPr>
        <w:pStyle w:val="TDPL-BodyTxt"/>
        <w:jc w:val="both"/>
      </w:pPr>
      <w:r>
        <w:t>For a detailed discussion of handling precautions during system operation, refer to the ACCESS 2 System Operations Manual.</w:t>
      </w:r>
    </w:p>
    <w:p w14:paraId="743ADCBE" w14:textId="77777777" w:rsidR="00FE39AC" w:rsidRDefault="00FE39AC" w:rsidP="00FE39AC">
      <w:pPr>
        <w:pStyle w:val="TDPL-BodyTxt"/>
        <w:jc w:val="both"/>
      </w:pPr>
      <w:r>
        <w:t>Storage Instructions</w:t>
      </w:r>
    </w:p>
    <w:p w14:paraId="11335B0A" w14:textId="656EC458" w:rsidR="00FE39AC" w:rsidRDefault="00FE39AC" w:rsidP="00FE39AC">
      <w:pPr>
        <w:pStyle w:val="TDPL-BodyTxt"/>
        <w:numPr>
          <w:ilvl w:val="3"/>
          <w:numId w:val="182"/>
        </w:numPr>
        <w:jc w:val="both"/>
      </w:pPr>
      <w:r>
        <w:t>The ACCESS 2 TSH Reagent Kit must be stored at 2-8°C and may be used immediately after removal from 2-8°C storage.</w:t>
      </w:r>
    </w:p>
    <w:p w14:paraId="7A384567" w14:textId="656F55EF" w:rsidR="00FE39AC" w:rsidRDefault="00FE39AC" w:rsidP="00FE39AC">
      <w:pPr>
        <w:pStyle w:val="TDPL-BodyTxt"/>
        <w:numPr>
          <w:ilvl w:val="3"/>
          <w:numId w:val="182"/>
        </w:numPr>
        <w:jc w:val="both"/>
      </w:pPr>
      <w:r>
        <w:t>When stored and handled as directed, reagents are stable until the expiration date.</w:t>
      </w:r>
    </w:p>
    <w:p w14:paraId="27CD5433" w14:textId="08CBF87C" w:rsidR="00FE39AC" w:rsidRDefault="00FE39AC" w:rsidP="00FE39AC">
      <w:pPr>
        <w:pStyle w:val="TDPL-BodyTxt"/>
        <w:numPr>
          <w:ilvl w:val="3"/>
          <w:numId w:val="182"/>
        </w:numPr>
      </w:pPr>
      <w:r>
        <w:t>The ACCESS 2 TSH Reagent Kit may be stored on board the ACCESS 2 i System for a maximum of 30 days. After 30 days, the reagent kit must be discarded. For information on tracking onboard time, refer to the ACCESS 2 System Operations Manual, Section 5.</w:t>
      </w:r>
    </w:p>
    <w:p w14:paraId="7C8D6392" w14:textId="23805E5A" w:rsidR="00FE39AC" w:rsidRDefault="00FE39AC" w:rsidP="00FE39AC">
      <w:pPr>
        <w:pStyle w:val="TDPL-BodyTxt"/>
        <w:numPr>
          <w:ilvl w:val="3"/>
          <w:numId w:val="182"/>
        </w:numPr>
      </w:pPr>
      <w:r>
        <w:t xml:space="preserve">Reagents may be stored on or off the ACCESS 2 i System. If reagents are removed from the system, store them at 2-8°C (with septa and replacement caps) in an upright position. For reagents stored off the system, it is recommended that they be stored in their original trays and boxes to ensure they remain upright. </w:t>
      </w:r>
    </w:p>
    <w:p w14:paraId="2E66F284" w14:textId="27F50026" w:rsidR="00FE39AC" w:rsidRDefault="00FE39AC" w:rsidP="00FE39AC">
      <w:pPr>
        <w:pStyle w:val="TDPL-BodyTxt"/>
        <w:numPr>
          <w:ilvl w:val="3"/>
          <w:numId w:val="182"/>
        </w:numPr>
      </w:pPr>
      <w:r>
        <w:t xml:space="preserve">If the microparticle bottle does not remain upright (with a septum installed) while in refrigerated storage off the system, the reagent kit must be discarded. </w:t>
      </w:r>
    </w:p>
    <w:p w14:paraId="207F7F53" w14:textId="7D138951" w:rsidR="003E668D" w:rsidRDefault="00FE39AC" w:rsidP="00FE39AC">
      <w:pPr>
        <w:pStyle w:val="TDPL-BodyTxt"/>
        <w:numPr>
          <w:ilvl w:val="3"/>
          <w:numId w:val="182"/>
        </w:numPr>
      </w:pPr>
      <w:r>
        <w:t>After reagents are removed from the system, you must initiate a scan to update the onboard stability timer.</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62675FF0" w:rsidR="00712FBE" w:rsidRPr="00712FBE" w:rsidRDefault="00712FBE" w:rsidP="00AC209C">
      <w:pPr>
        <w:pStyle w:val="TDPL-BodyTxt"/>
        <w:jc w:val="both"/>
        <w:rPr>
          <w:b/>
          <w:bCs/>
          <w:szCs w:val="28"/>
        </w:rPr>
      </w:pPr>
      <w:r w:rsidRPr="00712FBE">
        <w:rPr>
          <w:b/>
          <w:bCs/>
        </w:rPr>
        <w:t>Calibrator Required</w:t>
      </w:r>
    </w:p>
    <w:p w14:paraId="0798BF4D" w14:textId="47CD04B0" w:rsidR="00AC209C" w:rsidRPr="00AC209C" w:rsidRDefault="00FE39AC" w:rsidP="004D1A61">
      <w:pPr>
        <w:pStyle w:val="TDPL-BodyTxt"/>
        <w:numPr>
          <w:ilvl w:val="3"/>
          <w:numId w:val="182"/>
        </w:numPr>
        <w:jc w:val="both"/>
        <w:rPr>
          <w:szCs w:val="28"/>
        </w:rPr>
      </w:pPr>
      <w:r w:rsidRPr="00FE39AC">
        <w:t>The Access TSH (3rd IS) Calibrators are provided at six levels – zero and approximately 0.050, 0.30, 3.0, 15.0, and 50.0 µIU/m</w:t>
      </w:r>
      <w:r>
        <w:t>l</w:t>
      </w:r>
      <w:r w:rsidRPr="00FE39AC">
        <w:t xml:space="preserve"> (mIU/</w:t>
      </w:r>
      <w:r>
        <w:t>l</w:t>
      </w:r>
      <w:r w:rsidRPr="00FE39AC">
        <w:t>). Assay calibration data are valid up to 28 days</w:t>
      </w:r>
      <w:r w:rsidR="00AC209C">
        <w:t>.</w:t>
      </w:r>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205339B1" w:rsidR="001B5FEF" w:rsidRPr="004F7344" w:rsidRDefault="00904AF1" w:rsidP="00A44FA6">
      <w:pPr>
        <w:pStyle w:val="TDPL-BodyTxt"/>
        <w:numPr>
          <w:ilvl w:val="3"/>
          <w:numId w:val="182"/>
        </w:numPr>
        <w:jc w:val="both"/>
        <w:rPr>
          <w:szCs w:val="28"/>
        </w:rPr>
      </w:pPr>
      <w:r w:rsidRPr="00904AF1">
        <w:rPr>
          <w:szCs w:val="28"/>
        </w:rPr>
        <w:lastRenderedPageBreak/>
        <w:t xml:space="preserve">Recalibrate the assay every </w:t>
      </w:r>
      <w:r w:rsidR="00FE39AC">
        <w:rPr>
          <w:b/>
          <w:bCs/>
          <w:szCs w:val="28"/>
        </w:rPr>
        <w:t>28</w:t>
      </w:r>
      <w:r w:rsidR="001B5FEF">
        <w:rPr>
          <w:b/>
          <w:bCs/>
          <w:szCs w:val="28"/>
        </w:rPr>
        <w:t xml:space="preserve"> days.</w:t>
      </w:r>
    </w:p>
    <w:p w14:paraId="60CB8A93" w14:textId="31ABF65C" w:rsidR="004F7344" w:rsidRPr="004F7344" w:rsidRDefault="004F7344" w:rsidP="004F7344">
      <w:pPr>
        <w:pStyle w:val="TDPL-BodyTxt"/>
        <w:numPr>
          <w:ilvl w:val="3"/>
          <w:numId w:val="182"/>
        </w:numPr>
        <w:jc w:val="both"/>
        <w:rPr>
          <w:szCs w:val="28"/>
        </w:rPr>
      </w:pPr>
      <w:r w:rsidRPr="004F7344">
        <w:rPr>
          <w:szCs w:val="28"/>
        </w:rPr>
        <w:t xml:space="preserve">Additionally, the Beckman Coulter </w:t>
      </w:r>
      <w:r w:rsidR="002356B5">
        <w:rPr>
          <w:szCs w:val="28"/>
        </w:rPr>
        <w:t>TSH</w:t>
      </w:r>
      <w:r w:rsidRPr="004F7344">
        <w:rPr>
          <w:szCs w:val="28"/>
        </w:rPr>
        <w:t xml:space="preserve"> assay requires a two-point calibration</w:t>
      </w:r>
      <w:r>
        <w:rPr>
          <w:szCs w:val="28"/>
        </w:rPr>
        <w:t xml:space="preserve"> when</w:t>
      </w:r>
      <w:r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05326305" w:rsidR="004F7344" w:rsidRDefault="004F7344" w:rsidP="004F7344">
      <w:pPr>
        <w:pStyle w:val="TDPL-BodyTxt"/>
        <w:numPr>
          <w:ilvl w:val="0"/>
          <w:numId w:val="298"/>
        </w:numPr>
        <w:ind w:left="1843" w:hanging="283"/>
        <w:jc w:val="both"/>
        <w:rPr>
          <w:szCs w:val="28"/>
        </w:rPr>
      </w:pPr>
      <w:r w:rsidRPr="004F7344">
        <w:rPr>
          <w:szCs w:val="28"/>
        </w:rPr>
        <w:t xml:space="preserve">replacing </w:t>
      </w:r>
      <w:r w:rsidR="002356B5">
        <w:rPr>
          <w:szCs w:val="28"/>
        </w:rPr>
        <w:t xml:space="preserve">critical </w:t>
      </w:r>
      <w:r w:rsidRPr="004F7344">
        <w:rPr>
          <w:szCs w:val="28"/>
        </w:rPr>
        <w:t>system components</w:t>
      </w:r>
      <w:r w:rsidR="002356B5">
        <w:rPr>
          <w:szCs w:val="28"/>
        </w:rPr>
        <w:t xml:space="preserve"> due to service or maintenance issues</w:t>
      </w:r>
    </w:p>
    <w:p w14:paraId="11913DFC" w14:textId="531D8509" w:rsidR="002356B5" w:rsidRPr="004F7344" w:rsidRDefault="002356B5" w:rsidP="004F7344">
      <w:pPr>
        <w:pStyle w:val="TDPL-BodyTxt"/>
        <w:numPr>
          <w:ilvl w:val="0"/>
          <w:numId w:val="298"/>
        </w:numPr>
        <w:ind w:left="1843" w:hanging="283"/>
        <w:jc w:val="both"/>
        <w:rPr>
          <w:szCs w:val="28"/>
        </w:rPr>
      </w:pPr>
      <w:r>
        <w:rPr>
          <w:szCs w:val="28"/>
        </w:rPr>
        <w:t>preventive maintenance has been performed</w:t>
      </w:r>
    </w:p>
    <w:p w14:paraId="0BD6B01F" w14:textId="0A0311D3" w:rsidR="004F7344" w:rsidRDefault="004F7344" w:rsidP="004F7344">
      <w:pPr>
        <w:pStyle w:val="TDPL-BodyTxt"/>
        <w:numPr>
          <w:ilvl w:val="0"/>
          <w:numId w:val="298"/>
        </w:numPr>
        <w:ind w:left="1843" w:hanging="283"/>
        <w:jc w:val="both"/>
        <w:rPr>
          <w:szCs w:val="28"/>
        </w:rPr>
      </w:pPr>
      <w:r w:rsidRPr="004F7344">
        <w:rPr>
          <w:szCs w:val="28"/>
        </w:rPr>
        <w:t xml:space="preserve">quality control results are repeatedly out of </w:t>
      </w:r>
      <w:r w:rsidR="002356B5">
        <w:rPr>
          <w:szCs w:val="28"/>
        </w:rPr>
        <w:t xml:space="preserve">acceptable </w:t>
      </w:r>
      <w:r w:rsidRPr="004F7344">
        <w:rPr>
          <w:szCs w:val="28"/>
        </w:rPr>
        <w:t>range</w:t>
      </w:r>
    </w:p>
    <w:p w14:paraId="5FBCAA98" w14:textId="7776D376" w:rsidR="002356B5" w:rsidRDefault="002356B5" w:rsidP="004F7344">
      <w:pPr>
        <w:pStyle w:val="TDPL-BodyTxt"/>
        <w:numPr>
          <w:ilvl w:val="0"/>
          <w:numId w:val="298"/>
        </w:numPr>
        <w:ind w:left="1843" w:hanging="283"/>
        <w:jc w:val="both"/>
        <w:rPr>
          <w:szCs w:val="28"/>
        </w:rPr>
      </w:pPr>
      <w:r>
        <w:rPr>
          <w:szCs w:val="28"/>
        </w:rPr>
        <w:t>LJ plots show positive or negative bias for 10 data points</w:t>
      </w:r>
    </w:p>
    <w:p w14:paraId="756D0BDA" w14:textId="39A33DC4" w:rsidR="002356B5" w:rsidRDefault="002356B5" w:rsidP="004F7344">
      <w:pPr>
        <w:pStyle w:val="TDPL-BodyTxt"/>
        <w:numPr>
          <w:ilvl w:val="0"/>
          <w:numId w:val="298"/>
        </w:numPr>
        <w:ind w:left="1843" w:hanging="283"/>
        <w:jc w:val="both"/>
        <w:rPr>
          <w:szCs w:val="28"/>
        </w:rPr>
      </w:pPr>
      <w:r>
        <w:rPr>
          <w:szCs w:val="28"/>
        </w:rPr>
        <w:t>Calibration or calibration-verification has failed.</w:t>
      </w:r>
    </w:p>
    <w:p w14:paraId="2CFA041E" w14:textId="53EC6F7C" w:rsidR="002356B5" w:rsidRPr="002356B5" w:rsidRDefault="002356B5" w:rsidP="002356B5">
      <w:pPr>
        <w:pStyle w:val="TDPL-BodyTxt"/>
        <w:jc w:val="both"/>
        <w:rPr>
          <w:szCs w:val="28"/>
        </w:rPr>
      </w:pPr>
      <w:r w:rsidRPr="002356B5">
        <w:rPr>
          <w:b/>
          <w:bCs/>
          <w:szCs w:val="28"/>
        </w:rPr>
        <w:t>Preparation of Calibrators</w:t>
      </w:r>
    </w:p>
    <w:p w14:paraId="2E2A5D43" w14:textId="75127DCF" w:rsidR="002356B5" w:rsidRPr="002356B5" w:rsidRDefault="002356B5" w:rsidP="002356B5">
      <w:pPr>
        <w:pStyle w:val="TDPL-BodyTxt"/>
        <w:numPr>
          <w:ilvl w:val="3"/>
          <w:numId w:val="182"/>
        </w:numPr>
        <w:jc w:val="both"/>
        <w:rPr>
          <w:szCs w:val="28"/>
        </w:rPr>
      </w:pPr>
      <w:r w:rsidRPr="002356B5">
        <w:rPr>
          <w:szCs w:val="28"/>
        </w:rPr>
        <w:t>Calibrator material should be at room temperature before reconstitution. Keep the vials at room temperature for approximately 2 Hours, after taking out from the Deep freezer.</w:t>
      </w:r>
    </w:p>
    <w:p w14:paraId="2A48A384" w14:textId="580CB282" w:rsidR="002356B5" w:rsidRPr="002356B5" w:rsidRDefault="002356B5" w:rsidP="002356B5">
      <w:pPr>
        <w:pStyle w:val="TDPL-BodyTxt"/>
        <w:numPr>
          <w:ilvl w:val="3"/>
          <w:numId w:val="182"/>
        </w:numPr>
        <w:jc w:val="both"/>
        <w:rPr>
          <w:szCs w:val="28"/>
        </w:rPr>
      </w:pPr>
      <w:r w:rsidRPr="002356B5">
        <w:rPr>
          <w:szCs w:val="28"/>
        </w:rPr>
        <w:t>Slowly invert the calibrator or diluent bottles several times to mix the contents thoroughly. DO NOT SHAKE.</w:t>
      </w:r>
    </w:p>
    <w:p w14:paraId="3FB5C011" w14:textId="138B8CCE" w:rsidR="002356B5" w:rsidRPr="002356B5" w:rsidRDefault="002356B5" w:rsidP="002356B5">
      <w:pPr>
        <w:pStyle w:val="TDPL-BodyTxt"/>
        <w:numPr>
          <w:ilvl w:val="3"/>
          <w:numId w:val="182"/>
        </w:numPr>
        <w:jc w:val="both"/>
        <w:rPr>
          <w:szCs w:val="28"/>
        </w:rPr>
      </w:pPr>
      <w:r w:rsidRPr="002356B5">
        <w:rPr>
          <w:szCs w:val="28"/>
        </w:rPr>
        <w:t>Gently tap the lyophilized calibrator vial on the counter several times to dislodge any material adhering to the stopper.</w:t>
      </w:r>
    </w:p>
    <w:p w14:paraId="3A962019" w14:textId="4679EE3B" w:rsidR="002356B5" w:rsidRPr="002356B5" w:rsidRDefault="002356B5" w:rsidP="002356B5">
      <w:pPr>
        <w:pStyle w:val="TDPL-BodyTxt"/>
        <w:numPr>
          <w:ilvl w:val="3"/>
          <w:numId w:val="182"/>
        </w:numPr>
        <w:jc w:val="both"/>
        <w:rPr>
          <w:szCs w:val="28"/>
        </w:rPr>
      </w:pPr>
      <w:r w:rsidRPr="002356B5">
        <w:rPr>
          <w:szCs w:val="28"/>
        </w:rPr>
        <w:t>Remove the seal and stopper from each bottle just prior to the addition of the diluent. Do not leave vials unstopped.</w:t>
      </w:r>
    </w:p>
    <w:p w14:paraId="2C5A2358" w14:textId="18656672" w:rsidR="002356B5" w:rsidRPr="002356B5" w:rsidRDefault="002356B5" w:rsidP="002356B5">
      <w:pPr>
        <w:pStyle w:val="TDPL-BodyTxt"/>
        <w:numPr>
          <w:ilvl w:val="3"/>
          <w:numId w:val="182"/>
        </w:numPr>
        <w:jc w:val="both"/>
        <w:rPr>
          <w:szCs w:val="28"/>
        </w:rPr>
      </w:pPr>
      <w:r w:rsidRPr="002356B5">
        <w:rPr>
          <w:szCs w:val="28"/>
        </w:rPr>
        <w:t>Reconstitute by pipetting exactly 3ml of distilled water at +20 to +25°C, into the vial.</w:t>
      </w:r>
    </w:p>
    <w:p w14:paraId="35AEA47E" w14:textId="02674ECB" w:rsidR="002356B5" w:rsidRPr="004F7344" w:rsidRDefault="002356B5" w:rsidP="002356B5">
      <w:pPr>
        <w:pStyle w:val="TDPL-BodyTxt"/>
        <w:numPr>
          <w:ilvl w:val="3"/>
          <w:numId w:val="182"/>
        </w:numPr>
        <w:jc w:val="both"/>
        <w:rPr>
          <w:szCs w:val="28"/>
        </w:rPr>
      </w:pPr>
      <w:r w:rsidRPr="002356B5">
        <w:rPr>
          <w:szCs w:val="28"/>
        </w:rPr>
        <w:t>Replace the stopper and hold it firmly in place. Invert the vial gently. DO NOT SHAKE.   Visually verify that all freeze-dried material is dissolved prior to use</w:t>
      </w:r>
    </w:p>
    <w:p w14:paraId="5D08C22F" w14:textId="307DBA78" w:rsidR="004F7344" w:rsidRDefault="004F7344" w:rsidP="004F7344">
      <w:pPr>
        <w:pStyle w:val="TDPL-BodyTxt"/>
        <w:jc w:val="both"/>
        <w:rPr>
          <w:szCs w:val="28"/>
        </w:rPr>
      </w:pPr>
      <w:r w:rsidRPr="004F7344">
        <w:rPr>
          <w:b/>
          <w:bCs/>
          <w:szCs w:val="28"/>
        </w:rPr>
        <w:t>Storage and Stability of Calibrators</w:t>
      </w:r>
    </w:p>
    <w:p w14:paraId="647ED15D" w14:textId="2AA5ACDE" w:rsidR="004F7344" w:rsidRDefault="004F7344" w:rsidP="004F7344">
      <w:pPr>
        <w:pStyle w:val="TDPL-BodyTxt"/>
        <w:numPr>
          <w:ilvl w:val="3"/>
          <w:numId w:val="182"/>
        </w:numPr>
        <w:jc w:val="both"/>
        <w:rPr>
          <w:szCs w:val="28"/>
        </w:rPr>
      </w:pPr>
      <w:r w:rsidRPr="004F7344">
        <w:rPr>
          <w:szCs w:val="28"/>
        </w:rPr>
        <w:t>Un-reconstituted Calibrator is stable up to the expiry date shown on the side of each individual bottle</w:t>
      </w:r>
      <w:r>
        <w:rPr>
          <w:szCs w:val="28"/>
        </w:rPr>
        <w:t>.</w:t>
      </w:r>
    </w:p>
    <w:p w14:paraId="71E63048" w14:textId="314C4D78" w:rsidR="004F7344" w:rsidRDefault="004F7344" w:rsidP="004F7344">
      <w:pPr>
        <w:pStyle w:val="TDPL-BodyTxt"/>
        <w:numPr>
          <w:ilvl w:val="3"/>
          <w:numId w:val="182"/>
        </w:numPr>
        <w:jc w:val="both"/>
        <w:rPr>
          <w:szCs w:val="28"/>
        </w:rPr>
      </w:pPr>
      <w:r w:rsidRPr="004F7344">
        <w:rPr>
          <w:szCs w:val="28"/>
        </w:rPr>
        <w:t xml:space="preserve">Once reconstituted, the components of the Calibration Sera are stable for 8 hours at +25°C, </w:t>
      </w:r>
      <w:r>
        <w:rPr>
          <w:szCs w:val="28"/>
        </w:rPr>
        <w:t xml:space="preserve">for </w:t>
      </w:r>
      <w:r w:rsidRPr="004F7344">
        <w:rPr>
          <w:szCs w:val="28"/>
        </w:rPr>
        <w:t xml:space="preserve">7 days at +4°C and </w:t>
      </w:r>
      <w:r>
        <w:rPr>
          <w:szCs w:val="28"/>
        </w:rPr>
        <w:t xml:space="preserve">for </w:t>
      </w:r>
      <w:r w:rsidRPr="004F7344">
        <w:rPr>
          <w:szCs w:val="28"/>
        </w:rPr>
        <w:t xml:space="preserve">1 month at -20°C </w:t>
      </w:r>
      <w:r>
        <w:rPr>
          <w:szCs w:val="28"/>
        </w:rPr>
        <w:t>(</w:t>
      </w:r>
      <w:r w:rsidRPr="004F7344">
        <w:rPr>
          <w:szCs w:val="28"/>
        </w:rPr>
        <w:t>frozen</w:t>
      </w:r>
      <w:r>
        <w:rPr>
          <w:szCs w:val="28"/>
        </w:rPr>
        <w:t>).</w:t>
      </w:r>
    </w:p>
    <w:p w14:paraId="02DBEA97" w14:textId="5FB5165C" w:rsidR="004F7344" w:rsidRDefault="004F7344" w:rsidP="004F7344">
      <w:pPr>
        <w:pStyle w:val="TDPL-BodyTxt"/>
        <w:numPr>
          <w:ilvl w:val="3"/>
          <w:numId w:val="182"/>
        </w:numPr>
        <w:jc w:val="both"/>
        <w:rPr>
          <w:szCs w:val="28"/>
        </w:rPr>
      </w:pPr>
      <w:r>
        <w:rPr>
          <w:szCs w:val="28"/>
        </w:rPr>
        <w:t xml:space="preserve">NOTE: </w:t>
      </w:r>
      <w:r w:rsidR="002356B5" w:rsidRPr="002356B5">
        <w:rPr>
          <w:szCs w:val="28"/>
        </w:rPr>
        <w:t>Do not use the reconstitute calibrator beyond stability period</w:t>
      </w:r>
      <w:r w:rsidR="002356B5">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E86825D" w14:textId="77777777" w:rsidR="004F7344" w:rsidRDefault="004F7344" w:rsidP="004F7344">
      <w:pPr>
        <w:pStyle w:val="TDPL-BodyTxt"/>
        <w:numPr>
          <w:ilvl w:val="0"/>
          <w:numId w:val="0"/>
        </w:numPr>
        <w:ind w:left="1134"/>
        <w:jc w:val="both"/>
      </w:pPr>
      <w:r>
        <w:t xml:space="preserve">CAUTION: Do not load more than one size of sample container in each rack. The </w:t>
      </w:r>
      <w:r>
        <w:lastRenderedPageBreak/>
        <w:t>rack indicator must be positioned at the correct setting for the size of sample container.</w:t>
      </w:r>
    </w:p>
    <w:p w14:paraId="02C751CE" w14:textId="0FD0FB23" w:rsidR="004F7344" w:rsidRDefault="004F7344" w:rsidP="004F7344">
      <w:pPr>
        <w:pStyle w:val="TDPL-BodyTxt"/>
        <w:jc w:val="both"/>
      </w:pPr>
      <w:r>
        <w:t>Prepare the sample container for each sample, and place barcode labels on the sample containers, as required.</w:t>
      </w:r>
    </w:p>
    <w:p w14:paraId="3399FEF0" w14:textId="12FD7115" w:rsidR="004F7344" w:rsidRDefault="004F7344" w:rsidP="004F7344">
      <w:pPr>
        <w:pStyle w:val="TDPL-BodyTxt"/>
        <w:jc w:val="both"/>
      </w:pPr>
      <w:r>
        <w:t>Load each sample container into a rack, ensuring that the barcode labels are clearly visible through the slot in the rack.</w:t>
      </w:r>
    </w:p>
    <w:p w14:paraId="35D61262" w14:textId="1D4878EF" w:rsidR="004F7344" w:rsidRDefault="004F7344" w:rsidP="004F7344">
      <w:pPr>
        <w:pStyle w:val="TDPL-BodyTxt"/>
        <w:jc w:val="both"/>
      </w:pPr>
      <w:r>
        <w:t>Place the racks in the entry queue.</w:t>
      </w:r>
    </w:p>
    <w:p w14:paraId="62093412" w14:textId="36BA3D0A" w:rsidR="006022A4" w:rsidRPr="004F7344" w:rsidRDefault="004F7344" w:rsidP="004F7344">
      <w:pPr>
        <w:pStyle w:val="TDPL-BodyTxt"/>
        <w:jc w:val="both"/>
        <w:rPr>
          <w:szCs w:val="28"/>
        </w:rPr>
      </w:pPr>
      <w:r>
        <w:t>Start the entry queue, if required</w:t>
      </w:r>
      <w:r w:rsidR="006022A4">
        <w:t>.</w:t>
      </w:r>
    </w:p>
    <w:p w14:paraId="0E766562" w14:textId="75746FC7" w:rsidR="004F7344" w:rsidRPr="004F7344" w:rsidRDefault="004F7344" w:rsidP="004F7344">
      <w:pPr>
        <w:pStyle w:val="TDPL-BodyTxt"/>
        <w:jc w:val="both"/>
        <w:rPr>
          <w:szCs w:val="28"/>
        </w:rPr>
      </w:pPr>
      <w:r w:rsidRPr="004F7344">
        <w:rPr>
          <w:szCs w:val="28"/>
        </w:rPr>
        <w:t>CAUTION</w:t>
      </w:r>
      <w:r>
        <w:rPr>
          <w:szCs w:val="28"/>
        </w:rPr>
        <w:t xml:space="preserve">: </w:t>
      </w:r>
      <w:r w:rsidRPr="004F7344">
        <w:rPr>
          <w:szCs w:val="28"/>
        </w:rPr>
        <w:t xml:space="preserve">Discard the primary reagent pack at the end of the Low Volume Usage onboard stability interval. When the Primary Reagent Stability option is set to USE BEYOND, the system does not display a flag when the reagent exceeds the </w:t>
      </w:r>
      <w:r>
        <w:rPr>
          <w:szCs w:val="28"/>
        </w:rPr>
        <w:t>o</w:t>
      </w:r>
      <w:r w:rsidRPr="004F7344">
        <w:rPr>
          <w:szCs w:val="28"/>
        </w:rPr>
        <w:t>nboard stability.</w:t>
      </w:r>
    </w:p>
    <w:p w14:paraId="3A7D8D4B" w14:textId="7589942D" w:rsidR="004F7344" w:rsidRPr="001B5FEF" w:rsidRDefault="004F7344" w:rsidP="004F7344">
      <w:pPr>
        <w:pStyle w:val="TDPL-BodyTxt"/>
        <w:jc w:val="both"/>
        <w:rPr>
          <w:szCs w:val="28"/>
        </w:rPr>
      </w:pPr>
      <w:r w:rsidRPr="004F7344">
        <w:rPr>
          <w:szCs w:val="28"/>
        </w:rPr>
        <w:t>Do not use reagents beyond the expiration date</w:t>
      </w:r>
      <w:r>
        <w:rPr>
          <w:szCs w:val="28"/>
        </w:rPr>
        <w:t>.</w:t>
      </w:r>
    </w:p>
    <w:p w14:paraId="4854BE18" w14:textId="41060378" w:rsidR="001B5FEF" w:rsidRPr="001B5FEF" w:rsidRDefault="001B5FEF" w:rsidP="001B5FEF">
      <w:pPr>
        <w:pStyle w:val="TDPL-BodyTxt"/>
        <w:jc w:val="both"/>
        <w:rPr>
          <w:b/>
          <w:bCs/>
          <w:szCs w:val="28"/>
        </w:rPr>
      </w:pPr>
      <w:r w:rsidRPr="001B5FEF">
        <w:rPr>
          <w:b/>
          <w:bCs/>
          <w:szCs w:val="28"/>
        </w:rPr>
        <w:t>Handling of repeat test results:</w:t>
      </w:r>
    </w:p>
    <w:p w14:paraId="2FE8A133" w14:textId="34A3E65C"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difference between the values (original as reference) is less than 10% or 1.5 times the parameter CV% (whichever </w:t>
      </w:r>
      <w:r w:rsidR="00A44FA6">
        <w:rPr>
          <w:szCs w:val="28"/>
        </w:rPr>
        <w:t xml:space="preserve">is </w:t>
      </w:r>
      <w:r w:rsidRPr="001B5FEF">
        <w:rPr>
          <w:szCs w:val="28"/>
        </w:rPr>
        <w:t xml:space="preserve">higher). </w:t>
      </w:r>
    </w:p>
    <w:p w14:paraId="447F28C1" w14:textId="65680023" w:rsidR="001B5FEF" w:rsidRPr="00AC209C" w:rsidRDefault="001B5FEF" w:rsidP="001B5FEF">
      <w:pPr>
        <w:pStyle w:val="TDPL-BodyTxt"/>
        <w:numPr>
          <w:ilvl w:val="3"/>
          <w:numId w:val="182"/>
        </w:numPr>
        <w:jc w:val="both"/>
        <w:rPr>
          <w:szCs w:val="28"/>
        </w:rPr>
      </w:pPr>
      <w:r w:rsidRPr="001B5FEF">
        <w:rPr>
          <w:szCs w:val="28"/>
        </w:rPr>
        <w:t xml:space="preserve">If the percentage difference between the values is greater than 10% or 1.5 times the parameter CV% (whichever </w:t>
      </w:r>
      <w:r w:rsidR="00A44FA6">
        <w:rPr>
          <w:szCs w:val="28"/>
        </w:rPr>
        <w:t xml:space="preserve">is </w:t>
      </w:r>
      <w:r w:rsidRPr="001B5FEF">
        <w:rPr>
          <w:szCs w:val="28"/>
        </w:rPr>
        <w:t>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17D147B6" w:rsidR="002F1437" w:rsidRPr="00F56D02" w:rsidRDefault="002F5B8A" w:rsidP="00F56D02">
      <w:pPr>
        <w:pStyle w:val="TDPL-BodyTxt"/>
        <w:numPr>
          <w:ilvl w:val="0"/>
          <w:numId w:val="0"/>
        </w:numPr>
        <w:ind w:left="1134"/>
        <w:jc w:val="both"/>
        <w:rPr>
          <w:b/>
          <w:bCs/>
          <w:sz w:val="24"/>
          <w:szCs w:val="24"/>
        </w:rPr>
      </w:pPr>
      <w:r>
        <w:t>B</w:t>
      </w:r>
      <w:r w:rsidRPr="002F5B8A">
        <w:t xml:space="preserve">iorad - Level 1, Level 2, Level 3 any two </w:t>
      </w:r>
      <w:r w:rsidR="00074111" w:rsidRPr="002F5B8A">
        <w:t xml:space="preserve">levels </w:t>
      </w:r>
      <w:r w:rsidR="00074111" w:rsidRPr="00F56D02">
        <w:t>of</w:t>
      </w:r>
      <w:r w:rsidR="00F56D02" w:rsidRPr="00F56D02">
        <w:t xml:space="preserve"> Quality Control</w:t>
      </w:r>
      <w:r w:rsidR="004D1A61">
        <w:t xml:space="preserve"> </w:t>
      </w:r>
      <w:r w:rsidR="004D1A61" w:rsidRPr="004D1A61">
        <w:t>sera i.e. normal</w:t>
      </w:r>
      <w:r w:rsidR="00074111">
        <w:t xml:space="preserve">, low or high, are run once daily </w:t>
      </w:r>
      <w:r w:rsidR="004D1A61" w:rsidRPr="004D1A61">
        <w:t>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w:t>
      </w:r>
      <w:r>
        <w:t xml:space="preserve"> material adhering to the stopper.</w:t>
      </w:r>
    </w:p>
    <w:p w14:paraId="64071E8A" w14:textId="6F72EBB0" w:rsidR="00F56D02" w:rsidRDefault="00F56D02" w:rsidP="00F56D02">
      <w:pPr>
        <w:pStyle w:val="TDPL-BodyTxt"/>
        <w:numPr>
          <w:ilvl w:val="0"/>
          <w:numId w:val="270"/>
        </w:numPr>
        <w:ind w:left="1560" w:hanging="426"/>
        <w:jc w:val="both"/>
      </w:pPr>
      <w:r>
        <w:t xml:space="preserve">Using an auto pipette, reconstitute each vial with 5mL volume of sterile water </w:t>
      </w:r>
      <w:r>
        <w:lastRenderedPageBreak/>
        <w:t>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23402050" w:rsidR="00F56D02" w:rsidRDefault="00F56D02" w:rsidP="00F56D02">
      <w:pPr>
        <w:pStyle w:val="TDPL-BodyTxt"/>
        <w:numPr>
          <w:ilvl w:val="3"/>
          <w:numId w:val="182"/>
        </w:numPr>
        <w:jc w:val="both"/>
      </w:pPr>
      <w:r>
        <w:t xml:space="preserve">Run Quality Control according to TRUSTlab’s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074111">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In case of QC failure, remedial action is taken as per QC run programme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lastRenderedPageBreak/>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38347297" w:rsidR="00305AF7" w:rsidRDefault="00305AF7" w:rsidP="00305AF7">
      <w:pPr>
        <w:pStyle w:val="TDPL-BodyTxt"/>
        <w:numPr>
          <w:ilvl w:val="3"/>
          <w:numId w:val="182"/>
        </w:numPr>
        <w:jc w:val="both"/>
      </w:pPr>
      <w:r>
        <w:t xml:space="preserve">Reconstituted: Stable for </w:t>
      </w:r>
      <w:r w:rsidR="002356B5">
        <w:t>5</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918FA28" w14:textId="21E986D1" w:rsidR="00550C96" w:rsidRDefault="00550C96" w:rsidP="00550C96">
      <w:pPr>
        <w:pStyle w:val="TDPL-BodyTxt"/>
        <w:jc w:val="both"/>
      </w:pPr>
      <w:r>
        <w:t xml:space="preserve">For assays employing antibodies, the possibility exists for interference by </w:t>
      </w:r>
      <w:r>
        <w:lastRenderedPageBreak/>
        <w:t>heterophile antibodies in the patient sample. Patients who have been regularly exposed to animals or have received immunotherapy or diagnostic procedures utilizing immunoglobulins or immunoglobulin fragments may produce antibodies, e.g. HAMA, that interfere with immunoassays. Additionally, other heterophile antibodies such as human anti-goat antibodies may be present in patient samples.</w:t>
      </w:r>
    </w:p>
    <w:p w14:paraId="1E41838F" w14:textId="77777777" w:rsidR="00550C96" w:rsidRDefault="00550C96" w:rsidP="00550C96">
      <w:pPr>
        <w:pStyle w:val="TDPL-BodyTxt"/>
        <w:jc w:val="both"/>
      </w:pPr>
      <w:r>
        <w:t>Such interfering antibodies may cause erroneous results. Carefully evaluate the results of patients suspected of having these antibodies.</w:t>
      </w:r>
    </w:p>
    <w:p w14:paraId="5260D32C" w14:textId="237BA14A" w:rsidR="00550C96" w:rsidRDefault="00550C96" w:rsidP="00550C96">
      <w:pPr>
        <w:pStyle w:val="TDPL-BodyTxt"/>
        <w:jc w:val="both"/>
      </w:pPr>
      <w:r>
        <w:t xml:space="preserve">The Access TSH results should be interpreted in light of the total clinical presentation of the patient, including symptoms, clinical history, data from additional tests and other appropriate information. </w:t>
      </w:r>
    </w:p>
    <w:p w14:paraId="67923119" w14:textId="01D89DF6" w:rsidR="00550C96" w:rsidRDefault="00550C96" w:rsidP="00550C96">
      <w:pPr>
        <w:pStyle w:val="TDPL-BodyTxt"/>
        <w:jc w:val="both"/>
      </w:pPr>
      <w:r>
        <w:t xml:space="preserve">Samples containing up to 10 mg/dl (171 </w:t>
      </w:r>
      <w:r>
        <w:t>mol/l) bilirubin, lipemic samples containing the equivalent of 1800 mg/dl (20.32 mmol/l) triolein, and hemolyzed samples containing up to 1 g/dl (10 g/l) hemoglobin do not affect the concentration of TSH assayed.</w:t>
      </w:r>
    </w:p>
    <w:p w14:paraId="217F1816" w14:textId="611A958C" w:rsidR="00BB3BAD" w:rsidRDefault="00550C96" w:rsidP="00550C96">
      <w:pPr>
        <w:pStyle w:val="TDPL-BodyTxt"/>
        <w:jc w:val="both"/>
      </w:pPr>
      <w:r>
        <w:t>The following table describes the cross-reactivity of the antibody used in the TSH assay with substances which are similar in structure to T4. The antibody specificity is determined in a total thyroxine assay to avoid binding displacement of T4 by related compounds. The substances were added to an Access TSH calibrator pool and found to give the following results expressed by weight</w:t>
      </w:r>
      <w:r w:rsidR="0084058F">
        <w:t>.</w:t>
      </w:r>
    </w:p>
    <w:tbl>
      <w:tblPr>
        <w:tblW w:w="0" w:type="auto"/>
        <w:tblInd w:w="1126" w:type="dxa"/>
        <w:tblCellMar>
          <w:left w:w="0" w:type="dxa"/>
          <w:right w:w="0" w:type="dxa"/>
        </w:tblCellMar>
        <w:tblLook w:val="04A0" w:firstRow="1" w:lastRow="0" w:firstColumn="1" w:lastColumn="0" w:noHBand="0" w:noVBand="1"/>
      </w:tblPr>
      <w:tblGrid>
        <w:gridCol w:w="3686"/>
        <w:gridCol w:w="2092"/>
        <w:gridCol w:w="1972"/>
      </w:tblGrid>
      <w:tr w:rsidR="00550C96" w:rsidRPr="00F607D2" w14:paraId="58182431" w14:textId="77777777" w:rsidTr="00F607D2">
        <w:trPr>
          <w:cantSplit/>
        </w:trPr>
        <w:tc>
          <w:tcPr>
            <w:tcW w:w="3686" w:type="dxa"/>
            <w:tcBorders>
              <w:top w:val="single" w:sz="6" w:space="0" w:color="auto"/>
              <w:left w:val="single" w:sz="6" w:space="0" w:color="auto"/>
              <w:bottom w:val="single" w:sz="6" w:space="0" w:color="auto"/>
              <w:right w:val="single" w:sz="6" w:space="0" w:color="auto"/>
            </w:tcBorders>
            <w:vAlign w:val="center"/>
            <w:hideMark/>
          </w:tcPr>
          <w:p w14:paraId="16961107" w14:textId="77777777" w:rsidR="00550C96" w:rsidRPr="00F607D2" w:rsidRDefault="00550C96" w:rsidP="00F607D2">
            <w:pPr>
              <w:pStyle w:val="TableParagraph"/>
              <w:jc w:val="center"/>
              <w:rPr>
                <w:rFonts w:ascii="Palatino Linotype" w:hAnsi="Palatino Linotype"/>
                <w:b/>
                <w:bCs/>
              </w:rPr>
            </w:pPr>
            <w:r w:rsidRPr="00F607D2">
              <w:rPr>
                <w:rFonts w:ascii="Palatino Linotype" w:hAnsi="Palatino Linotype"/>
                <w:b/>
                <w:bCs/>
              </w:rPr>
              <w:t>Substance</w:t>
            </w:r>
          </w:p>
        </w:tc>
        <w:tc>
          <w:tcPr>
            <w:tcW w:w="2092" w:type="dxa"/>
            <w:tcBorders>
              <w:top w:val="single" w:sz="6" w:space="0" w:color="auto"/>
              <w:left w:val="single" w:sz="6" w:space="0" w:color="auto"/>
              <w:bottom w:val="single" w:sz="6" w:space="0" w:color="auto"/>
              <w:right w:val="single" w:sz="6" w:space="0" w:color="auto"/>
            </w:tcBorders>
            <w:vAlign w:val="center"/>
            <w:hideMark/>
          </w:tcPr>
          <w:p w14:paraId="1617ECDF" w14:textId="77777777" w:rsidR="00550C96" w:rsidRPr="00F607D2" w:rsidRDefault="00550C96" w:rsidP="00F607D2">
            <w:pPr>
              <w:pStyle w:val="TableParagraph"/>
              <w:jc w:val="center"/>
              <w:rPr>
                <w:rFonts w:ascii="Palatino Linotype" w:hAnsi="Palatino Linotype"/>
                <w:b/>
                <w:bCs/>
              </w:rPr>
            </w:pPr>
            <w:r w:rsidRPr="00F607D2">
              <w:rPr>
                <w:rFonts w:ascii="Palatino Linotype" w:hAnsi="Palatino Linotype"/>
                <w:b/>
                <w:bCs/>
              </w:rPr>
              <w:t>Analyte Added</w:t>
            </w:r>
          </w:p>
          <w:p w14:paraId="2EE6EAC0" w14:textId="21C4F3EA" w:rsidR="00550C96" w:rsidRPr="00F607D2" w:rsidRDefault="00550C96" w:rsidP="00F607D2">
            <w:pPr>
              <w:pStyle w:val="TableParagraph"/>
              <w:jc w:val="center"/>
              <w:rPr>
                <w:rFonts w:ascii="Palatino Linotype" w:hAnsi="Palatino Linotype"/>
                <w:b/>
                <w:bCs/>
              </w:rPr>
            </w:pPr>
            <w:r w:rsidRPr="00F607D2">
              <w:rPr>
                <w:rFonts w:ascii="Palatino Linotype" w:hAnsi="Palatino Linotype"/>
                <w:b/>
                <w:bCs/>
              </w:rPr>
              <w:t>(</w:t>
            </w:r>
            <w:r w:rsidRPr="00F607D2">
              <w:rPr>
                <w:rFonts w:ascii="Palatino Linotype" w:hAnsi="Palatino Linotype"/>
                <w:b/>
                <w:bCs/>
              </w:rPr>
              <w:sym w:font="Symbol" w:char="F06D"/>
            </w:r>
            <w:r w:rsidRPr="00F607D2">
              <w:rPr>
                <w:rFonts w:ascii="Palatino Linotype" w:hAnsi="Palatino Linotype"/>
                <w:b/>
                <w:bCs/>
              </w:rPr>
              <w:t>g/d</w:t>
            </w:r>
            <w:r w:rsidR="00F607D2">
              <w:rPr>
                <w:rFonts w:ascii="Palatino Linotype" w:hAnsi="Palatino Linotype"/>
                <w:b/>
                <w:bCs/>
              </w:rPr>
              <w:t>l</w:t>
            </w:r>
            <w:r w:rsidRPr="00F607D2">
              <w:rPr>
                <w:rFonts w:ascii="Palatino Linotype" w:hAnsi="Palatino Linotype"/>
                <w:b/>
                <w:bCs/>
              </w:rPr>
              <w:t>)</w:t>
            </w:r>
          </w:p>
        </w:tc>
        <w:tc>
          <w:tcPr>
            <w:tcW w:w="1972" w:type="dxa"/>
            <w:tcBorders>
              <w:top w:val="single" w:sz="6" w:space="0" w:color="auto"/>
              <w:left w:val="single" w:sz="6" w:space="0" w:color="auto"/>
              <w:bottom w:val="single" w:sz="6" w:space="0" w:color="auto"/>
              <w:right w:val="single" w:sz="6" w:space="0" w:color="auto"/>
            </w:tcBorders>
            <w:vAlign w:val="center"/>
            <w:hideMark/>
          </w:tcPr>
          <w:p w14:paraId="6BC88304" w14:textId="77777777" w:rsidR="00550C96" w:rsidRPr="00F607D2" w:rsidRDefault="00550C96" w:rsidP="00F607D2">
            <w:pPr>
              <w:pStyle w:val="TableParagraph"/>
              <w:jc w:val="center"/>
              <w:rPr>
                <w:rFonts w:ascii="Palatino Linotype" w:hAnsi="Palatino Linotype"/>
                <w:b/>
                <w:bCs/>
              </w:rPr>
            </w:pPr>
            <w:r w:rsidRPr="00F607D2">
              <w:rPr>
                <w:rFonts w:ascii="Palatino Linotype" w:hAnsi="Palatino Linotype"/>
                <w:b/>
                <w:bCs/>
              </w:rPr>
              <w:t>Cross-Reactivity</w:t>
            </w:r>
          </w:p>
          <w:p w14:paraId="0657244C" w14:textId="77777777" w:rsidR="00550C96" w:rsidRPr="00F607D2" w:rsidRDefault="00550C96" w:rsidP="00F607D2">
            <w:pPr>
              <w:pStyle w:val="TableParagraph"/>
              <w:jc w:val="center"/>
              <w:rPr>
                <w:rFonts w:ascii="Palatino Linotype" w:hAnsi="Palatino Linotype"/>
                <w:b/>
                <w:bCs/>
              </w:rPr>
            </w:pPr>
            <w:r w:rsidRPr="00F607D2">
              <w:rPr>
                <w:rFonts w:ascii="Palatino Linotype" w:hAnsi="Palatino Linotype"/>
                <w:b/>
                <w:bCs/>
              </w:rPr>
              <w:t>(%)</w:t>
            </w:r>
          </w:p>
        </w:tc>
      </w:tr>
      <w:tr w:rsidR="00550C96" w:rsidRPr="00F607D2" w14:paraId="6157EFB6"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31314890"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L-T4</w:t>
            </w:r>
          </w:p>
        </w:tc>
        <w:tc>
          <w:tcPr>
            <w:tcW w:w="2092" w:type="dxa"/>
            <w:tcBorders>
              <w:top w:val="single" w:sz="6" w:space="0" w:color="auto"/>
              <w:left w:val="single" w:sz="6" w:space="0" w:color="auto"/>
              <w:bottom w:val="single" w:sz="6" w:space="0" w:color="auto"/>
              <w:right w:val="single" w:sz="6" w:space="0" w:color="auto"/>
            </w:tcBorders>
            <w:vAlign w:val="center"/>
            <w:hideMark/>
          </w:tcPr>
          <w:p w14:paraId="4AB99135"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w:t>
            </w:r>
          </w:p>
        </w:tc>
        <w:tc>
          <w:tcPr>
            <w:tcW w:w="1972" w:type="dxa"/>
            <w:tcBorders>
              <w:top w:val="single" w:sz="6" w:space="0" w:color="auto"/>
              <w:left w:val="single" w:sz="6" w:space="0" w:color="auto"/>
              <w:bottom w:val="single" w:sz="6" w:space="0" w:color="auto"/>
              <w:right w:val="single" w:sz="6" w:space="0" w:color="auto"/>
            </w:tcBorders>
            <w:vAlign w:val="center"/>
            <w:hideMark/>
          </w:tcPr>
          <w:p w14:paraId="4C047060"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&gt; 100</w:t>
            </w:r>
          </w:p>
        </w:tc>
      </w:tr>
      <w:tr w:rsidR="00550C96" w:rsidRPr="00F607D2" w14:paraId="1CDBD7DD"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0593F4FC"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D-T4</w:t>
            </w:r>
          </w:p>
        </w:tc>
        <w:tc>
          <w:tcPr>
            <w:tcW w:w="2092" w:type="dxa"/>
            <w:tcBorders>
              <w:top w:val="single" w:sz="6" w:space="0" w:color="auto"/>
              <w:left w:val="single" w:sz="6" w:space="0" w:color="auto"/>
              <w:bottom w:val="single" w:sz="6" w:space="0" w:color="auto"/>
              <w:right w:val="single" w:sz="6" w:space="0" w:color="auto"/>
            </w:tcBorders>
            <w:vAlign w:val="center"/>
            <w:hideMark/>
          </w:tcPr>
          <w:p w14:paraId="182A0F30"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10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20955B4A"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71</w:t>
            </w:r>
          </w:p>
        </w:tc>
      </w:tr>
      <w:tr w:rsidR="00550C96" w:rsidRPr="00F607D2" w14:paraId="1933F36E"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38F4F2AE"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L-T3</w:t>
            </w:r>
          </w:p>
        </w:tc>
        <w:tc>
          <w:tcPr>
            <w:tcW w:w="2092" w:type="dxa"/>
            <w:tcBorders>
              <w:top w:val="single" w:sz="6" w:space="0" w:color="auto"/>
              <w:left w:val="single" w:sz="6" w:space="0" w:color="auto"/>
              <w:bottom w:val="single" w:sz="6" w:space="0" w:color="auto"/>
              <w:right w:val="single" w:sz="6" w:space="0" w:color="auto"/>
            </w:tcBorders>
            <w:vAlign w:val="center"/>
            <w:hideMark/>
          </w:tcPr>
          <w:p w14:paraId="280EDC4C"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5D261657"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1.7</w:t>
            </w:r>
          </w:p>
        </w:tc>
      </w:tr>
      <w:tr w:rsidR="00550C96" w:rsidRPr="00F607D2" w14:paraId="61710332"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790E850B"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R-T3</w:t>
            </w:r>
          </w:p>
        </w:tc>
        <w:tc>
          <w:tcPr>
            <w:tcW w:w="2092" w:type="dxa"/>
            <w:tcBorders>
              <w:top w:val="single" w:sz="6" w:space="0" w:color="auto"/>
              <w:left w:val="single" w:sz="6" w:space="0" w:color="auto"/>
              <w:bottom w:val="single" w:sz="6" w:space="0" w:color="auto"/>
              <w:right w:val="single" w:sz="6" w:space="0" w:color="auto"/>
            </w:tcBorders>
            <w:vAlign w:val="center"/>
            <w:hideMark/>
          </w:tcPr>
          <w:p w14:paraId="3D12FF24"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100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1CD2E391"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23</w:t>
            </w:r>
          </w:p>
        </w:tc>
      </w:tr>
      <w:tr w:rsidR="00550C96" w:rsidRPr="00F607D2" w14:paraId="5C036F81"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479486FB"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Tetraiodothyroacetic Acid</w:t>
            </w:r>
          </w:p>
        </w:tc>
        <w:tc>
          <w:tcPr>
            <w:tcW w:w="2092" w:type="dxa"/>
            <w:tcBorders>
              <w:top w:val="single" w:sz="6" w:space="0" w:color="auto"/>
              <w:left w:val="single" w:sz="6" w:space="0" w:color="auto"/>
              <w:bottom w:val="single" w:sz="6" w:space="0" w:color="auto"/>
              <w:right w:val="single" w:sz="6" w:space="0" w:color="auto"/>
            </w:tcBorders>
            <w:vAlign w:val="center"/>
            <w:hideMark/>
          </w:tcPr>
          <w:p w14:paraId="280B21A7"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25</w:t>
            </w:r>
          </w:p>
        </w:tc>
        <w:tc>
          <w:tcPr>
            <w:tcW w:w="1972" w:type="dxa"/>
            <w:tcBorders>
              <w:top w:val="single" w:sz="6" w:space="0" w:color="auto"/>
              <w:left w:val="single" w:sz="6" w:space="0" w:color="auto"/>
              <w:bottom w:val="single" w:sz="6" w:space="0" w:color="auto"/>
              <w:right w:val="single" w:sz="6" w:space="0" w:color="auto"/>
            </w:tcBorders>
            <w:vAlign w:val="center"/>
            <w:hideMark/>
          </w:tcPr>
          <w:p w14:paraId="4E16CEAC"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4</w:t>
            </w:r>
          </w:p>
        </w:tc>
      </w:tr>
      <w:tr w:rsidR="00550C96" w:rsidRPr="00F607D2" w14:paraId="0476BEE3"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0AD98B99"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D-T3</w:t>
            </w:r>
          </w:p>
        </w:tc>
        <w:tc>
          <w:tcPr>
            <w:tcW w:w="2092" w:type="dxa"/>
            <w:tcBorders>
              <w:top w:val="single" w:sz="6" w:space="0" w:color="auto"/>
              <w:left w:val="single" w:sz="6" w:space="0" w:color="auto"/>
              <w:bottom w:val="single" w:sz="6" w:space="0" w:color="auto"/>
              <w:right w:val="single" w:sz="6" w:space="0" w:color="auto"/>
            </w:tcBorders>
            <w:vAlign w:val="center"/>
            <w:hideMark/>
          </w:tcPr>
          <w:p w14:paraId="56CD16FE"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14F7E0C6"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0.7</w:t>
            </w:r>
          </w:p>
        </w:tc>
      </w:tr>
      <w:tr w:rsidR="00550C96" w:rsidRPr="00F607D2" w14:paraId="3EE38706"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5A85AB5B"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3,3’ L-T2</w:t>
            </w:r>
          </w:p>
        </w:tc>
        <w:tc>
          <w:tcPr>
            <w:tcW w:w="2092" w:type="dxa"/>
            <w:tcBorders>
              <w:top w:val="single" w:sz="6" w:space="0" w:color="auto"/>
              <w:left w:val="single" w:sz="6" w:space="0" w:color="auto"/>
              <w:bottom w:val="single" w:sz="6" w:space="0" w:color="auto"/>
              <w:right w:val="single" w:sz="6" w:space="0" w:color="auto"/>
            </w:tcBorders>
            <w:vAlign w:val="center"/>
            <w:hideMark/>
          </w:tcPr>
          <w:p w14:paraId="550BB84B"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3DAA0736"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0.1</w:t>
            </w:r>
          </w:p>
        </w:tc>
      </w:tr>
      <w:tr w:rsidR="00550C96" w:rsidRPr="00F607D2" w14:paraId="66D69C3E"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39BFB3F1"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3,5 L-T2</w:t>
            </w:r>
          </w:p>
        </w:tc>
        <w:tc>
          <w:tcPr>
            <w:tcW w:w="2092" w:type="dxa"/>
            <w:tcBorders>
              <w:top w:val="single" w:sz="6" w:space="0" w:color="auto"/>
              <w:left w:val="single" w:sz="6" w:space="0" w:color="auto"/>
              <w:bottom w:val="single" w:sz="6" w:space="0" w:color="auto"/>
              <w:right w:val="single" w:sz="6" w:space="0" w:color="auto"/>
            </w:tcBorders>
            <w:vAlign w:val="center"/>
            <w:hideMark/>
          </w:tcPr>
          <w:p w14:paraId="0A66F853"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2B513E7A"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0.1</w:t>
            </w:r>
          </w:p>
        </w:tc>
      </w:tr>
      <w:tr w:rsidR="00550C96" w:rsidRPr="00F607D2" w14:paraId="46F65380"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5234F321"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3’5’ L-T2</w:t>
            </w:r>
          </w:p>
        </w:tc>
        <w:tc>
          <w:tcPr>
            <w:tcW w:w="2092" w:type="dxa"/>
            <w:tcBorders>
              <w:top w:val="single" w:sz="6" w:space="0" w:color="auto"/>
              <w:left w:val="single" w:sz="6" w:space="0" w:color="auto"/>
              <w:bottom w:val="single" w:sz="6" w:space="0" w:color="auto"/>
              <w:right w:val="single" w:sz="6" w:space="0" w:color="auto"/>
            </w:tcBorders>
            <w:vAlign w:val="center"/>
            <w:hideMark/>
          </w:tcPr>
          <w:p w14:paraId="54601573"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0523BC2A"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0.1</w:t>
            </w:r>
          </w:p>
        </w:tc>
      </w:tr>
      <w:tr w:rsidR="00550C96" w:rsidRPr="00F607D2" w14:paraId="0481241A"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72EE30D6"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L-Tyrosine</w:t>
            </w:r>
          </w:p>
        </w:tc>
        <w:tc>
          <w:tcPr>
            <w:tcW w:w="2092" w:type="dxa"/>
            <w:tcBorders>
              <w:top w:val="single" w:sz="6" w:space="0" w:color="auto"/>
              <w:left w:val="single" w:sz="6" w:space="0" w:color="auto"/>
              <w:bottom w:val="single" w:sz="6" w:space="0" w:color="auto"/>
              <w:right w:val="single" w:sz="6" w:space="0" w:color="auto"/>
            </w:tcBorders>
            <w:vAlign w:val="center"/>
            <w:hideMark/>
          </w:tcPr>
          <w:p w14:paraId="36D46BB1"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0E343926"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0.01</w:t>
            </w:r>
          </w:p>
        </w:tc>
      </w:tr>
      <w:tr w:rsidR="00550C96" w:rsidRPr="00F607D2" w14:paraId="509BF0D1"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69529CE2"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D-Tyrosine</w:t>
            </w:r>
          </w:p>
        </w:tc>
        <w:tc>
          <w:tcPr>
            <w:tcW w:w="2092" w:type="dxa"/>
            <w:tcBorders>
              <w:top w:val="single" w:sz="6" w:space="0" w:color="auto"/>
              <w:left w:val="single" w:sz="6" w:space="0" w:color="auto"/>
              <w:bottom w:val="single" w:sz="6" w:space="0" w:color="auto"/>
              <w:right w:val="single" w:sz="6" w:space="0" w:color="auto"/>
            </w:tcBorders>
            <w:vAlign w:val="center"/>
            <w:hideMark/>
          </w:tcPr>
          <w:p w14:paraId="21598716"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02A00993"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0.01</w:t>
            </w:r>
          </w:p>
        </w:tc>
      </w:tr>
      <w:tr w:rsidR="00550C96" w:rsidRPr="00F607D2" w14:paraId="426B9FA8"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09726669"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Monoiodotyrosine</w:t>
            </w:r>
          </w:p>
        </w:tc>
        <w:tc>
          <w:tcPr>
            <w:tcW w:w="2092" w:type="dxa"/>
            <w:tcBorders>
              <w:top w:val="single" w:sz="6" w:space="0" w:color="auto"/>
              <w:left w:val="single" w:sz="6" w:space="0" w:color="auto"/>
              <w:bottom w:val="single" w:sz="6" w:space="0" w:color="auto"/>
              <w:right w:val="single" w:sz="6" w:space="0" w:color="auto"/>
            </w:tcBorders>
            <w:vAlign w:val="center"/>
            <w:hideMark/>
          </w:tcPr>
          <w:p w14:paraId="04CF8485"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281B828A"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0.01</w:t>
            </w:r>
          </w:p>
        </w:tc>
      </w:tr>
      <w:tr w:rsidR="00550C96" w:rsidRPr="00F607D2" w14:paraId="6D378AFB" w14:textId="77777777" w:rsidTr="00F607D2">
        <w:trPr>
          <w:cantSplit/>
        </w:trPr>
        <w:tc>
          <w:tcPr>
            <w:tcW w:w="3686" w:type="dxa"/>
            <w:tcBorders>
              <w:top w:val="single" w:sz="6" w:space="0" w:color="auto"/>
              <w:left w:val="single" w:sz="6" w:space="0" w:color="auto"/>
              <w:bottom w:val="single" w:sz="6" w:space="0" w:color="auto"/>
              <w:right w:val="single" w:sz="6" w:space="0" w:color="auto"/>
            </w:tcBorders>
            <w:hideMark/>
          </w:tcPr>
          <w:p w14:paraId="35D8BA5C" w14:textId="77777777" w:rsidR="00550C96" w:rsidRPr="00F607D2" w:rsidRDefault="00550C96" w:rsidP="00F607D2">
            <w:pPr>
              <w:pStyle w:val="TableParagraph"/>
              <w:ind w:firstLine="561"/>
              <w:rPr>
                <w:rFonts w:ascii="Palatino Linotype" w:hAnsi="Palatino Linotype"/>
              </w:rPr>
            </w:pPr>
            <w:r w:rsidRPr="00F607D2">
              <w:rPr>
                <w:rFonts w:ascii="Palatino Linotype" w:hAnsi="Palatino Linotype"/>
              </w:rPr>
              <w:t>Diiodotyrosine</w:t>
            </w:r>
          </w:p>
        </w:tc>
        <w:tc>
          <w:tcPr>
            <w:tcW w:w="2092" w:type="dxa"/>
            <w:tcBorders>
              <w:top w:val="single" w:sz="6" w:space="0" w:color="auto"/>
              <w:left w:val="single" w:sz="6" w:space="0" w:color="auto"/>
              <w:bottom w:val="single" w:sz="6" w:space="0" w:color="auto"/>
              <w:right w:val="single" w:sz="6" w:space="0" w:color="auto"/>
            </w:tcBorders>
            <w:vAlign w:val="center"/>
            <w:hideMark/>
          </w:tcPr>
          <w:p w14:paraId="56723C74"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5000</w:t>
            </w:r>
          </w:p>
        </w:tc>
        <w:tc>
          <w:tcPr>
            <w:tcW w:w="1972" w:type="dxa"/>
            <w:tcBorders>
              <w:top w:val="single" w:sz="6" w:space="0" w:color="auto"/>
              <w:left w:val="single" w:sz="6" w:space="0" w:color="auto"/>
              <w:bottom w:val="single" w:sz="6" w:space="0" w:color="auto"/>
              <w:right w:val="single" w:sz="6" w:space="0" w:color="auto"/>
            </w:tcBorders>
            <w:vAlign w:val="center"/>
            <w:hideMark/>
          </w:tcPr>
          <w:p w14:paraId="77861098" w14:textId="77777777" w:rsidR="00550C96" w:rsidRPr="00F607D2" w:rsidRDefault="00550C96" w:rsidP="00F607D2">
            <w:pPr>
              <w:pStyle w:val="TableParagraph"/>
              <w:jc w:val="center"/>
              <w:rPr>
                <w:rFonts w:ascii="Palatino Linotype" w:hAnsi="Palatino Linotype"/>
              </w:rPr>
            </w:pPr>
            <w:r w:rsidRPr="00F607D2">
              <w:rPr>
                <w:rFonts w:ascii="Palatino Linotype" w:hAnsi="Palatino Linotype"/>
              </w:rPr>
              <w:t>&lt; 0.01</w:t>
            </w:r>
          </w:p>
        </w:tc>
      </w:tr>
    </w:tbl>
    <w:p w14:paraId="4DE82705" w14:textId="0B1F3D8F" w:rsidR="00F607D2" w:rsidRDefault="00F607D2" w:rsidP="00F607D2">
      <w:pPr>
        <w:pStyle w:val="TDPL-BodyTxt"/>
        <w:jc w:val="both"/>
      </w:pPr>
      <w:r>
        <w:t xml:space="preserve">The lowest detectable level of TSH distinguishable from zero (Access TSH </w:t>
      </w:r>
      <w:r>
        <w:lastRenderedPageBreak/>
        <w:t>Calibrator S0) with 95% confidence is 0.25 ng/dl.</w:t>
      </w:r>
    </w:p>
    <w:p w14:paraId="5E2DD6F0" w14:textId="6E7DCAF8" w:rsidR="00F607D2" w:rsidRDefault="00F607D2" w:rsidP="00F607D2">
      <w:pPr>
        <w:pStyle w:val="TDPL-BodyTxt"/>
        <w:jc w:val="both"/>
      </w:pPr>
      <w:r>
        <w:t>Samples containing thyroxine autoantibodies can be assayed in two step procedures such as the Access TSH assay without significant interference.Non-thyrometabolic disorders may cause abnormal TSH levels. Anticonvulsant drug therapy (particularly phenytoin) may result in decreased TSH levels due to an increased hepatic metabolism, and secondarily to displacement of hormone from binding sites. Anti-inflammatory drugs such as salicylate and phenylbutazone also compete for hormone binding sites, but their effect on TSH levels has not been clearly defined. Patients on heparin therapy may have elevated TSH levels due to release of non-esterified fatty acids, which can alter the relationship between free and bound hormones. Determination of thyroid status in patients with non-thyroidal illness (NTI) should be interpreted with caution. In rare conditions, such as Familial Dysalbuminemic Hyperthyroxinemia (FDH), direct free hormone assays may yield erroneous results due to the extreme variations in the albumin-binding capacity for T4.</w:t>
      </w:r>
    </w:p>
    <w:p w14:paraId="5945C83F" w14:textId="5C05906A" w:rsidR="00550C96" w:rsidRDefault="00F607D2" w:rsidP="00F607D2">
      <w:pPr>
        <w:pStyle w:val="TDPL-BodyTxt"/>
        <w:jc w:val="both"/>
      </w:pPr>
      <w:r>
        <w:t>The following substances were added to euthyroid serum samples. When tested in the TSH assay, the observed mean percent changes in TSH values were as follows:</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2"/>
        <w:gridCol w:w="2190"/>
        <w:gridCol w:w="1802"/>
      </w:tblGrid>
      <w:tr w:rsidR="00F607D2" w:rsidRPr="00F607D2" w14:paraId="7C04261F"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6BEC585D" w14:textId="77777777" w:rsidR="00F607D2" w:rsidRPr="00F607D2" w:rsidRDefault="00F607D2" w:rsidP="00F607D2">
            <w:pPr>
              <w:pStyle w:val="TableParagraph"/>
              <w:jc w:val="center"/>
              <w:rPr>
                <w:rFonts w:ascii="Palatino Linotype" w:hAnsi="Palatino Linotype"/>
                <w:b/>
                <w:bCs/>
                <w:lang w:val="en-IN"/>
              </w:rPr>
            </w:pPr>
            <w:r w:rsidRPr="00F607D2">
              <w:rPr>
                <w:rFonts w:ascii="Palatino Linotype" w:hAnsi="Palatino Linotype"/>
                <w:b/>
                <w:bCs/>
                <w:lang w:val="en-IN"/>
              </w:rPr>
              <w:t>Substance</w:t>
            </w:r>
          </w:p>
        </w:tc>
        <w:tc>
          <w:tcPr>
            <w:tcW w:w="2190" w:type="dxa"/>
            <w:tcBorders>
              <w:top w:val="single" w:sz="4" w:space="0" w:color="auto"/>
              <w:left w:val="single" w:sz="4" w:space="0" w:color="auto"/>
              <w:bottom w:val="single" w:sz="4" w:space="0" w:color="auto"/>
              <w:right w:val="single" w:sz="4" w:space="0" w:color="auto"/>
            </w:tcBorders>
            <w:vAlign w:val="center"/>
            <w:hideMark/>
          </w:tcPr>
          <w:p w14:paraId="6506CCF0" w14:textId="77777777" w:rsidR="00F607D2" w:rsidRPr="00F607D2" w:rsidRDefault="00F607D2" w:rsidP="00F607D2">
            <w:pPr>
              <w:pStyle w:val="TableParagraph"/>
              <w:jc w:val="center"/>
              <w:rPr>
                <w:rFonts w:ascii="Palatino Linotype" w:hAnsi="Palatino Linotype"/>
                <w:b/>
                <w:bCs/>
                <w:lang w:val="en-IN"/>
              </w:rPr>
            </w:pPr>
            <w:r w:rsidRPr="00F607D2">
              <w:rPr>
                <w:rFonts w:ascii="Palatino Linotype" w:hAnsi="Palatino Linotype"/>
                <w:b/>
                <w:bCs/>
                <w:lang w:val="en-IN"/>
              </w:rPr>
              <w:t>Amount Added</w:t>
            </w:r>
          </w:p>
          <w:p w14:paraId="50F0F56B" w14:textId="24E6B47E" w:rsidR="00F607D2" w:rsidRPr="00F607D2" w:rsidRDefault="00F607D2" w:rsidP="00F607D2">
            <w:pPr>
              <w:pStyle w:val="TableParagraph"/>
              <w:jc w:val="center"/>
              <w:rPr>
                <w:rFonts w:ascii="Palatino Linotype" w:hAnsi="Palatino Linotype"/>
                <w:b/>
                <w:bCs/>
                <w:lang w:val="en-IN"/>
              </w:rPr>
            </w:pPr>
            <w:r w:rsidRPr="00F607D2">
              <w:rPr>
                <w:rFonts w:ascii="Palatino Linotype" w:hAnsi="Palatino Linotype"/>
                <w:b/>
                <w:bCs/>
                <w:lang w:val="en-IN"/>
              </w:rPr>
              <w:t>(mg</w:t>
            </w:r>
            <w:r w:rsidR="00074111">
              <w:rPr>
                <w:rFonts w:ascii="Palatino Linotype" w:hAnsi="Palatino Linotype"/>
                <w:b/>
                <w:bCs/>
                <w:lang w:val="en-IN"/>
              </w:rPr>
              <w:t>/dl</w:t>
            </w:r>
            <w:r w:rsidRPr="00F607D2">
              <w:rPr>
                <w:rFonts w:ascii="Palatino Linotype" w:hAnsi="Palatino Linotype"/>
                <w:b/>
                <w:bCs/>
                <w:lang w:val="en-IN"/>
              </w:rPr>
              <w:t>)</w:t>
            </w:r>
          </w:p>
        </w:tc>
        <w:tc>
          <w:tcPr>
            <w:tcW w:w="1802" w:type="dxa"/>
            <w:tcBorders>
              <w:top w:val="single" w:sz="4" w:space="0" w:color="auto"/>
              <w:left w:val="single" w:sz="4" w:space="0" w:color="auto"/>
              <w:bottom w:val="single" w:sz="4" w:space="0" w:color="auto"/>
              <w:right w:val="single" w:sz="4" w:space="0" w:color="auto"/>
            </w:tcBorders>
            <w:vAlign w:val="center"/>
            <w:hideMark/>
          </w:tcPr>
          <w:p w14:paraId="4703E8BB" w14:textId="77777777" w:rsidR="00F607D2" w:rsidRPr="00F607D2" w:rsidRDefault="00F607D2" w:rsidP="00F607D2">
            <w:pPr>
              <w:pStyle w:val="TableParagraph"/>
              <w:jc w:val="center"/>
              <w:rPr>
                <w:rFonts w:ascii="Palatino Linotype" w:hAnsi="Palatino Linotype"/>
                <w:b/>
                <w:bCs/>
                <w:lang w:val="en-IN"/>
              </w:rPr>
            </w:pPr>
            <w:r w:rsidRPr="00F607D2">
              <w:rPr>
                <w:rFonts w:ascii="Palatino Linotype" w:hAnsi="Palatino Linotype"/>
                <w:b/>
                <w:bCs/>
                <w:lang w:val="en-IN"/>
              </w:rPr>
              <w:t>% Change</w:t>
            </w:r>
          </w:p>
        </w:tc>
      </w:tr>
      <w:tr w:rsidR="00F607D2" w:rsidRPr="00F607D2" w14:paraId="65A6EF3A"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46376B72"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Aspirin</w:t>
            </w:r>
          </w:p>
        </w:tc>
        <w:tc>
          <w:tcPr>
            <w:tcW w:w="2190" w:type="dxa"/>
            <w:tcBorders>
              <w:top w:val="single" w:sz="4" w:space="0" w:color="auto"/>
              <w:left w:val="single" w:sz="4" w:space="0" w:color="auto"/>
              <w:bottom w:val="single" w:sz="4" w:space="0" w:color="auto"/>
              <w:right w:val="single" w:sz="4" w:space="0" w:color="auto"/>
            </w:tcBorders>
            <w:vAlign w:val="center"/>
            <w:hideMark/>
          </w:tcPr>
          <w:p w14:paraId="5721DBBD" w14:textId="77777777" w:rsidR="00F607D2" w:rsidRPr="00F607D2" w:rsidRDefault="00F607D2" w:rsidP="00F607D2">
            <w:pPr>
              <w:pStyle w:val="TableParagraph"/>
              <w:jc w:val="center"/>
              <w:rPr>
                <w:rFonts w:ascii="Palatino Linotype" w:hAnsi="Palatino Linotype"/>
                <w:lang w:val="en-IN"/>
              </w:rPr>
            </w:pPr>
            <w:r w:rsidRPr="00F607D2">
              <w:rPr>
                <w:rFonts w:ascii="Palatino Linotype" w:hAnsi="Palatino Linotype"/>
                <w:lang w:val="en-IN"/>
              </w:rPr>
              <w:t>60</w:t>
            </w:r>
          </w:p>
        </w:tc>
        <w:tc>
          <w:tcPr>
            <w:tcW w:w="1802" w:type="dxa"/>
            <w:tcBorders>
              <w:top w:val="single" w:sz="4" w:space="0" w:color="auto"/>
              <w:left w:val="single" w:sz="4" w:space="0" w:color="auto"/>
              <w:bottom w:val="single" w:sz="4" w:space="0" w:color="auto"/>
              <w:right w:val="single" w:sz="4" w:space="0" w:color="auto"/>
            </w:tcBorders>
            <w:vAlign w:val="center"/>
            <w:hideMark/>
          </w:tcPr>
          <w:p w14:paraId="48F7CE02"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+6.4</w:t>
            </w:r>
          </w:p>
        </w:tc>
      </w:tr>
      <w:tr w:rsidR="00F607D2" w:rsidRPr="00F607D2" w14:paraId="24111866"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50346F5E"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Sodium Salicylate</w:t>
            </w:r>
          </w:p>
        </w:tc>
        <w:tc>
          <w:tcPr>
            <w:tcW w:w="2190" w:type="dxa"/>
            <w:tcBorders>
              <w:top w:val="single" w:sz="4" w:space="0" w:color="auto"/>
              <w:left w:val="single" w:sz="4" w:space="0" w:color="auto"/>
              <w:bottom w:val="single" w:sz="4" w:space="0" w:color="auto"/>
              <w:right w:val="single" w:sz="4" w:space="0" w:color="auto"/>
            </w:tcBorders>
            <w:vAlign w:val="center"/>
            <w:hideMark/>
          </w:tcPr>
          <w:p w14:paraId="06A14730" w14:textId="77777777" w:rsidR="00F607D2" w:rsidRPr="00F607D2" w:rsidRDefault="00F607D2" w:rsidP="00F607D2">
            <w:pPr>
              <w:pStyle w:val="TableParagraph"/>
              <w:jc w:val="center"/>
              <w:rPr>
                <w:rFonts w:ascii="Palatino Linotype" w:hAnsi="Palatino Linotype"/>
                <w:lang w:val="en-IN"/>
              </w:rPr>
            </w:pPr>
            <w:r w:rsidRPr="00F607D2">
              <w:rPr>
                <w:rFonts w:ascii="Palatino Linotype" w:hAnsi="Palatino Linotype"/>
                <w:lang w:val="en-IN"/>
              </w:rPr>
              <w:t>50</w:t>
            </w:r>
          </w:p>
        </w:tc>
        <w:tc>
          <w:tcPr>
            <w:tcW w:w="1802" w:type="dxa"/>
            <w:tcBorders>
              <w:top w:val="single" w:sz="4" w:space="0" w:color="auto"/>
              <w:left w:val="single" w:sz="4" w:space="0" w:color="auto"/>
              <w:bottom w:val="single" w:sz="4" w:space="0" w:color="auto"/>
              <w:right w:val="single" w:sz="4" w:space="0" w:color="auto"/>
            </w:tcBorders>
            <w:vAlign w:val="center"/>
            <w:hideMark/>
          </w:tcPr>
          <w:p w14:paraId="7434AE56"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+9.1</w:t>
            </w:r>
          </w:p>
        </w:tc>
      </w:tr>
      <w:tr w:rsidR="00F607D2" w:rsidRPr="00F607D2" w14:paraId="31477BE2"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3EE1BDF9"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Phenylbutazone</w:t>
            </w:r>
          </w:p>
        </w:tc>
        <w:tc>
          <w:tcPr>
            <w:tcW w:w="2190" w:type="dxa"/>
            <w:tcBorders>
              <w:top w:val="single" w:sz="4" w:space="0" w:color="auto"/>
              <w:left w:val="single" w:sz="4" w:space="0" w:color="auto"/>
              <w:bottom w:val="single" w:sz="4" w:space="0" w:color="auto"/>
              <w:right w:val="single" w:sz="4" w:space="0" w:color="auto"/>
            </w:tcBorders>
            <w:vAlign w:val="center"/>
            <w:hideMark/>
          </w:tcPr>
          <w:p w14:paraId="7541C6C8" w14:textId="77777777" w:rsidR="00F607D2" w:rsidRPr="00F607D2" w:rsidRDefault="00F607D2" w:rsidP="00F607D2">
            <w:pPr>
              <w:pStyle w:val="TableParagraph"/>
              <w:jc w:val="center"/>
              <w:rPr>
                <w:rFonts w:ascii="Palatino Linotype" w:hAnsi="Palatino Linotype"/>
                <w:lang w:val="en-IN"/>
              </w:rPr>
            </w:pPr>
            <w:r w:rsidRPr="00F607D2">
              <w:rPr>
                <w:rFonts w:ascii="Palatino Linotype" w:hAnsi="Palatino Linotype"/>
                <w:lang w:val="en-IN"/>
              </w:rPr>
              <w:t>7.5</w:t>
            </w:r>
          </w:p>
        </w:tc>
        <w:tc>
          <w:tcPr>
            <w:tcW w:w="1802" w:type="dxa"/>
            <w:tcBorders>
              <w:top w:val="single" w:sz="4" w:space="0" w:color="auto"/>
              <w:left w:val="single" w:sz="4" w:space="0" w:color="auto"/>
              <w:bottom w:val="single" w:sz="4" w:space="0" w:color="auto"/>
              <w:right w:val="single" w:sz="4" w:space="0" w:color="auto"/>
            </w:tcBorders>
            <w:vAlign w:val="center"/>
            <w:hideMark/>
          </w:tcPr>
          <w:p w14:paraId="7773D1E0"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+8.48</w:t>
            </w:r>
          </w:p>
        </w:tc>
      </w:tr>
      <w:tr w:rsidR="00F607D2" w:rsidRPr="00F607D2" w14:paraId="30CE3872"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1E684A2C"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Thiouracil</w:t>
            </w:r>
          </w:p>
        </w:tc>
        <w:tc>
          <w:tcPr>
            <w:tcW w:w="2190" w:type="dxa"/>
            <w:tcBorders>
              <w:top w:val="single" w:sz="4" w:space="0" w:color="auto"/>
              <w:left w:val="single" w:sz="4" w:space="0" w:color="auto"/>
              <w:bottom w:val="single" w:sz="4" w:space="0" w:color="auto"/>
              <w:right w:val="single" w:sz="4" w:space="0" w:color="auto"/>
            </w:tcBorders>
            <w:vAlign w:val="center"/>
            <w:hideMark/>
          </w:tcPr>
          <w:p w14:paraId="21F22EE3" w14:textId="77777777" w:rsidR="00F607D2" w:rsidRPr="00F607D2" w:rsidRDefault="00F607D2" w:rsidP="00F607D2">
            <w:pPr>
              <w:pStyle w:val="TableParagraph"/>
              <w:jc w:val="center"/>
              <w:rPr>
                <w:rFonts w:ascii="Palatino Linotype" w:hAnsi="Palatino Linotype"/>
                <w:lang w:val="en-IN"/>
              </w:rPr>
            </w:pPr>
            <w:r w:rsidRPr="00F607D2">
              <w:rPr>
                <w:rFonts w:ascii="Palatino Linotype" w:hAnsi="Palatino Linotype"/>
                <w:lang w:val="en-IN"/>
              </w:rPr>
              <w:t>5.0</w:t>
            </w:r>
          </w:p>
        </w:tc>
        <w:tc>
          <w:tcPr>
            <w:tcW w:w="1802" w:type="dxa"/>
            <w:tcBorders>
              <w:top w:val="single" w:sz="4" w:space="0" w:color="auto"/>
              <w:left w:val="single" w:sz="4" w:space="0" w:color="auto"/>
              <w:bottom w:val="single" w:sz="4" w:space="0" w:color="auto"/>
              <w:right w:val="single" w:sz="4" w:space="0" w:color="auto"/>
            </w:tcBorders>
            <w:vAlign w:val="center"/>
            <w:hideMark/>
          </w:tcPr>
          <w:p w14:paraId="62FD7714"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-0.6</w:t>
            </w:r>
          </w:p>
        </w:tc>
      </w:tr>
      <w:tr w:rsidR="00F607D2" w:rsidRPr="00F607D2" w14:paraId="0A475B73"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725842C1"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Phenytoin</w:t>
            </w:r>
          </w:p>
        </w:tc>
        <w:tc>
          <w:tcPr>
            <w:tcW w:w="2190" w:type="dxa"/>
            <w:tcBorders>
              <w:top w:val="single" w:sz="4" w:space="0" w:color="auto"/>
              <w:left w:val="single" w:sz="4" w:space="0" w:color="auto"/>
              <w:bottom w:val="single" w:sz="4" w:space="0" w:color="auto"/>
              <w:right w:val="single" w:sz="4" w:space="0" w:color="auto"/>
            </w:tcBorders>
            <w:vAlign w:val="center"/>
            <w:hideMark/>
          </w:tcPr>
          <w:p w14:paraId="3F05E20C" w14:textId="77777777" w:rsidR="00F607D2" w:rsidRPr="00F607D2" w:rsidRDefault="00F607D2" w:rsidP="00F607D2">
            <w:pPr>
              <w:pStyle w:val="TableParagraph"/>
              <w:jc w:val="center"/>
              <w:rPr>
                <w:rFonts w:ascii="Palatino Linotype" w:hAnsi="Palatino Linotype"/>
                <w:lang w:val="en-IN"/>
              </w:rPr>
            </w:pPr>
            <w:r w:rsidRPr="00F607D2">
              <w:rPr>
                <w:rFonts w:ascii="Palatino Linotype" w:hAnsi="Palatino Linotype"/>
                <w:lang w:val="en-IN"/>
              </w:rPr>
              <w:t>5.0</w:t>
            </w:r>
          </w:p>
        </w:tc>
        <w:tc>
          <w:tcPr>
            <w:tcW w:w="1802" w:type="dxa"/>
            <w:tcBorders>
              <w:top w:val="single" w:sz="4" w:space="0" w:color="auto"/>
              <w:left w:val="single" w:sz="4" w:space="0" w:color="auto"/>
              <w:bottom w:val="single" w:sz="4" w:space="0" w:color="auto"/>
              <w:right w:val="single" w:sz="4" w:space="0" w:color="auto"/>
            </w:tcBorders>
            <w:vAlign w:val="center"/>
            <w:hideMark/>
          </w:tcPr>
          <w:p w14:paraId="5FBDAA9E"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+8.0</w:t>
            </w:r>
          </w:p>
        </w:tc>
      </w:tr>
      <w:tr w:rsidR="00F607D2" w:rsidRPr="00F607D2" w14:paraId="7BCB1329" w14:textId="77777777" w:rsidTr="00F607D2">
        <w:trPr>
          <w:jc w:val="right"/>
        </w:trPr>
        <w:tc>
          <w:tcPr>
            <w:tcW w:w="3952" w:type="dxa"/>
            <w:tcBorders>
              <w:top w:val="single" w:sz="4" w:space="0" w:color="auto"/>
              <w:left w:val="single" w:sz="4" w:space="0" w:color="auto"/>
              <w:bottom w:val="single" w:sz="4" w:space="0" w:color="auto"/>
              <w:right w:val="single" w:sz="4" w:space="0" w:color="auto"/>
            </w:tcBorders>
            <w:vAlign w:val="center"/>
            <w:hideMark/>
          </w:tcPr>
          <w:p w14:paraId="6E8BFB67"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Methimizole</w:t>
            </w:r>
          </w:p>
        </w:tc>
        <w:tc>
          <w:tcPr>
            <w:tcW w:w="2190" w:type="dxa"/>
            <w:tcBorders>
              <w:top w:val="single" w:sz="4" w:space="0" w:color="auto"/>
              <w:left w:val="single" w:sz="4" w:space="0" w:color="auto"/>
              <w:bottom w:val="single" w:sz="4" w:space="0" w:color="auto"/>
              <w:right w:val="single" w:sz="4" w:space="0" w:color="auto"/>
            </w:tcBorders>
            <w:vAlign w:val="center"/>
            <w:hideMark/>
          </w:tcPr>
          <w:p w14:paraId="0B389A34" w14:textId="77777777" w:rsidR="00F607D2" w:rsidRPr="00F607D2" w:rsidRDefault="00F607D2" w:rsidP="00F607D2">
            <w:pPr>
              <w:pStyle w:val="TableParagraph"/>
              <w:jc w:val="center"/>
              <w:rPr>
                <w:rFonts w:ascii="Palatino Linotype" w:hAnsi="Palatino Linotype"/>
                <w:lang w:val="en-IN"/>
              </w:rPr>
            </w:pPr>
            <w:r w:rsidRPr="00F607D2">
              <w:rPr>
                <w:rFonts w:ascii="Palatino Linotype" w:hAnsi="Palatino Linotype"/>
                <w:lang w:val="en-IN"/>
              </w:rPr>
              <w:t>0.4</w:t>
            </w:r>
          </w:p>
        </w:tc>
        <w:tc>
          <w:tcPr>
            <w:tcW w:w="1802" w:type="dxa"/>
            <w:tcBorders>
              <w:top w:val="single" w:sz="4" w:space="0" w:color="auto"/>
              <w:left w:val="single" w:sz="4" w:space="0" w:color="auto"/>
              <w:bottom w:val="single" w:sz="4" w:space="0" w:color="auto"/>
              <w:right w:val="single" w:sz="4" w:space="0" w:color="auto"/>
            </w:tcBorders>
            <w:vAlign w:val="center"/>
            <w:hideMark/>
          </w:tcPr>
          <w:p w14:paraId="15807311"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+0.9</w:t>
            </w:r>
          </w:p>
        </w:tc>
      </w:tr>
    </w:tbl>
    <w:p w14:paraId="04A1DE30" w14:textId="1DB0429E" w:rsidR="00F607D2" w:rsidRDefault="00F607D2" w:rsidP="00F607D2">
      <w:pPr>
        <w:pStyle w:val="TDPL-BodyTxt"/>
        <w:jc w:val="both"/>
      </w:pPr>
      <w:r w:rsidRPr="00F607D2">
        <w:t>This assay is not significantly influenced by the presence of thyroxine hormone binding proteins. In one study, the zero calibrator, which contains normal levels of protein, was spiked with the following human source thyroxine hormone binding proteins. Below is the observed change to the assay signal response</w:t>
      </w:r>
      <w:r>
        <w:t>:</w:t>
      </w:r>
    </w:p>
    <w:tbl>
      <w:tblPr>
        <w:tblW w:w="0" w:type="auto"/>
        <w:jc w:val="right"/>
        <w:tblCellMar>
          <w:left w:w="0" w:type="dxa"/>
          <w:right w:w="0" w:type="dxa"/>
        </w:tblCellMar>
        <w:tblLook w:val="04A0" w:firstRow="1" w:lastRow="0" w:firstColumn="1" w:lastColumn="0" w:noHBand="0" w:noVBand="1"/>
      </w:tblPr>
      <w:tblGrid>
        <w:gridCol w:w="4129"/>
        <w:gridCol w:w="1880"/>
        <w:gridCol w:w="1875"/>
      </w:tblGrid>
      <w:tr w:rsidR="00F607D2" w:rsidRPr="00F607D2" w14:paraId="19D5C7E3" w14:textId="77777777" w:rsidTr="00F607D2">
        <w:trPr>
          <w:jc w:val="right"/>
        </w:trPr>
        <w:tc>
          <w:tcPr>
            <w:tcW w:w="4129" w:type="dxa"/>
            <w:tcBorders>
              <w:top w:val="single" w:sz="6" w:space="0" w:color="auto"/>
              <w:left w:val="single" w:sz="6" w:space="0" w:color="auto"/>
              <w:bottom w:val="single" w:sz="6" w:space="0" w:color="auto"/>
              <w:right w:val="single" w:sz="6" w:space="0" w:color="auto"/>
            </w:tcBorders>
            <w:vAlign w:val="center"/>
            <w:hideMark/>
          </w:tcPr>
          <w:p w14:paraId="21209CE6" w14:textId="77777777" w:rsidR="00F607D2" w:rsidRPr="00F607D2" w:rsidRDefault="00F607D2" w:rsidP="00F607D2">
            <w:pPr>
              <w:pStyle w:val="TableParagraph"/>
              <w:jc w:val="center"/>
              <w:rPr>
                <w:rFonts w:ascii="Palatino Linotype" w:hAnsi="Palatino Linotype"/>
                <w:b/>
                <w:bCs/>
              </w:rPr>
            </w:pPr>
            <w:r w:rsidRPr="00F607D2">
              <w:rPr>
                <w:rFonts w:ascii="Palatino Linotype" w:hAnsi="Palatino Linotype"/>
                <w:b/>
                <w:bCs/>
              </w:rPr>
              <w:t>Substance</w:t>
            </w:r>
          </w:p>
        </w:tc>
        <w:tc>
          <w:tcPr>
            <w:tcW w:w="1880" w:type="dxa"/>
            <w:tcBorders>
              <w:top w:val="single" w:sz="6" w:space="0" w:color="auto"/>
              <w:left w:val="single" w:sz="6" w:space="0" w:color="auto"/>
              <w:bottom w:val="single" w:sz="6" w:space="0" w:color="auto"/>
              <w:right w:val="single" w:sz="6" w:space="0" w:color="auto"/>
            </w:tcBorders>
            <w:vAlign w:val="center"/>
            <w:hideMark/>
          </w:tcPr>
          <w:p w14:paraId="7B2FF419" w14:textId="552E65CA" w:rsidR="00F607D2" w:rsidRPr="00F607D2" w:rsidRDefault="00F607D2" w:rsidP="00F607D2">
            <w:pPr>
              <w:pStyle w:val="TableParagraph"/>
              <w:jc w:val="center"/>
              <w:rPr>
                <w:rFonts w:ascii="Palatino Linotype" w:hAnsi="Palatino Linotype"/>
                <w:b/>
                <w:bCs/>
              </w:rPr>
            </w:pPr>
            <w:r w:rsidRPr="00F607D2">
              <w:rPr>
                <w:rFonts w:ascii="Palatino Linotype" w:hAnsi="Palatino Linotype"/>
                <w:b/>
                <w:bCs/>
              </w:rPr>
              <w:t>Amount Added</w:t>
            </w:r>
          </w:p>
        </w:tc>
        <w:tc>
          <w:tcPr>
            <w:tcW w:w="1875" w:type="dxa"/>
            <w:tcBorders>
              <w:top w:val="single" w:sz="6" w:space="0" w:color="auto"/>
              <w:left w:val="single" w:sz="6" w:space="0" w:color="auto"/>
              <w:bottom w:val="single" w:sz="6" w:space="0" w:color="auto"/>
              <w:right w:val="single" w:sz="6" w:space="0" w:color="auto"/>
            </w:tcBorders>
            <w:vAlign w:val="center"/>
            <w:hideMark/>
          </w:tcPr>
          <w:p w14:paraId="79B46D65" w14:textId="77777777" w:rsidR="00F607D2" w:rsidRPr="00F607D2" w:rsidRDefault="00F607D2" w:rsidP="00F607D2">
            <w:pPr>
              <w:pStyle w:val="TableParagraph"/>
              <w:jc w:val="center"/>
              <w:rPr>
                <w:rFonts w:ascii="Palatino Linotype" w:hAnsi="Palatino Linotype"/>
                <w:b/>
                <w:bCs/>
              </w:rPr>
            </w:pPr>
            <w:r w:rsidRPr="00F607D2">
              <w:rPr>
                <w:rFonts w:ascii="Palatino Linotype" w:hAnsi="Palatino Linotype"/>
                <w:b/>
                <w:bCs/>
              </w:rPr>
              <w:t>% Change</w:t>
            </w:r>
          </w:p>
        </w:tc>
      </w:tr>
      <w:tr w:rsidR="00F607D2" w:rsidRPr="00F607D2" w14:paraId="455EC2F9" w14:textId="77777777" w:rsidTr="00F607D2">
        <w:trPr>
          <w:jc w:val="right"/>
        </w:trPr>
        <w:tc>
          <w:tcPr>
            <w:tcW w:w="4129" w:type="dxa"/>
            <w:tcBorders>
              <w:top w:val="single" w:sz="6" w:space="0" w:color="auto"/>
              <w:left w:val="single" w:sz="6" w:space="0" w:color="auto"/>
              <w:bottom w:val="single" w:sz="6" w:space="0" w:color="auto"/>
              <w:right w:val="single" w:sz="6" w:space="0" w:color="auto"/>
            </w:tcBorders>
            <w:vAlign w:val="center"/>
            <w:hideMark/>
          </w:tcPr>
          <w:p w14:paraId="3961FD3F"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Albumin</w:t>
            </w:r>
          </w:p>
        </w:tc>
        <w:tc>
          <w:tcPr>
            <w:tcW w:w="1880" w:type="dxa"/>
            <w:tcBorders>
              <w:top w:val="single" w:sz="6" w:space="0" w:color="auto"/>
              <w:left w:val="single" w:sz="6" w:space="0" w:color="auto"/>
              <w:bottom w:val="single" w:sz="6" w:space="0" w:color="auto"/>
              <w:right w:val="single" w:sz="6" w:space="0" w:color="auto"/>
            </w:tcBorders>
            <w:vAlign w:val="center"/>
            <w:hideMark/>
          </w:tcPr>
          <w:p w14:paraId="7F3D330C" w14:textId="058BD4CD" w:rsidR="00F607D2" w:rsidRPr="00F607D2" w:rsidRDefault="00F607D2" w:rsidP="00F607D2">
            <w:pPr>
              <w:pStyle w:val="TableParagraph"/>
              <w:jc w:val="center"/>
              <w:rPr>
                <w:rFonts w:ascii="Palatino Linotype" w:hAnsi="Palatino Linotype"/>
              </w:rPr>
            </w:pPr>
            <w:r w:rsidRPr="00F607D2">
              <w:rPr>
                <w:rFonts w:ascii="Palatino Linotype" w:hAnsi="Palatino Linotype"/>
              </w:rPr>
              <w:t>10.0 g/d</w:t>
            </w:r>
            <w:r>
              <w:rPr>
                <w:rFonts w:ascii="Palatino Linotype" w:hAnsi="Palatino Linotype"/>
              </w:rPr>
              <w:t>l</w:t>
            </w:r>
          </w:p>
        </w:tc>
        <w:tc>
          <w:tcPr>
            <w:tcW w:w="1875" w:type="dxa"/>
            <w:tcBorders>
              <w:top w:val="single" w:sz="6" w:space="0" w:color="auto"/>
              <w:left w:val="single" w:sz="6" w:space="0" w:color="auto"/>
              <w:bottom w:val="single" w:sz="6" w:space="0" w:color="auto"/>
              <w:right w:val="single" w:sz="6" w:space="0" w:color="auto"/>
            </w:tcBorders>
            <w:vAlign w:val="center"/>
            <w:hideMark/>
          </w:tcPr>
          <w:p w14:paraId="69DC5967"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-7.2</w:t>
            </w:r>
          </w:p>
        </w:tc>
      </w:tr>
      <w:tr w:rsidR="00F607D2" w:rsidRPr="00F607D2" w14:paraId="1D5C4B64" w14:textId="77777777" w:rsidTr="00F607D2">
        <w:trPr>
          <w:jc w:val="right"/>
        </w:trPr>
        <w:tc>
          <w:tcPr>
            <w:tcW w:w="4129" w:type="dxa"/>
            <w:tcBorders>
              <w:top w:val="single" w:sz="6" w:space="0" w:color="auto"/>
              <w:left w:val="single" w:sz="6" w:space="0" w:color="auto"/>
              <w:bottom w:val="single" w:sz="6" w:space="0" w:color="auto"/>
              <w:right w:val="single" w:sz="6" w:space="0" w:color="auto"/>
            </w:tcBorders>
            <w:vAlign w:val="center"/>
            <w:hideMark/>
          </w:tcPr>
          <w:p w14:paraId="5F6A9C47"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Thyroxine binding globulin (TBG)</w:t>
            </w:r>
          </w:p>
        </w:tc>
        <w:tc>
          <w:tcPr>
            <w:tcW w:w="1880" w:type="dxa"/>
            <w:tcBorders>
              <w:top w:val="single" w:sz="6" w:space="0" w:color="auto"/>
              <w:left w:val="single" w:sz="6" w:space="0" w:color="auto"/>
              <w:bottom w:val="single" w:sz="6" w:space="0" w:color="auto"/>
              <w:right w:val="single" w:sz="6" w:space="0" w:color="auto"/>
            </w:tcBorders>
            <w:vAlign w:val="center"/>
            <w:hideMark/>
          </w:tcPr>
          <w:p w14:paraId="17FA371F" w14:textId="2FBEBC96" w:rsidR="00F607D2" w:rsidRPr="00F607D2" w:rsidRDefault="00F607D2" w:rsidP="00F607D2">
            <w:pPr>
              <w:pStyle w:val="TableParagraph"/>
              <w:jc w:val="center"/>
              <w:rPr>
                <w:rFonts w:ascii="Palatino Linotype" w:hAnsi="Palatino Linotype"/>
              </w:rPr>
            </w:pPr>
            <w:r w:rsidRPr="00F607D2">
              <w:rPr>
                <w:rFonts w:ascii="Palatino Linotype" w:hAnsi="Palatino Linotype"/>
              </w:rPr>
              <w:t>160 µg/m</w:t>
            </w:r>
            <w:r>
              <w:rPr>
                <w:rFonts w:ascii="Palatino Linotype" w:hAnsi="Palatino Linotype"/>
              </w:rPr>
              <w:t>l</w:t>
            </w:r>
          </w:p>
        </w:tc>
        <w:tc>
          <w:tcPr>
            <w:tcW w:w="1875" w:type="dxa"/>
            <w:tcBorders>
              <w:top w:val="single" w:sz="6" w:space="0" w:color="auto"/>
              <w:left w:val="single" w:sz="6" w:space="0" w:color="auto"/>
              <w:bottom w:val="single" w:sz="6" w:space="0" w:color="auto"/>
              <w:right w:val="single" w:sz="6" w:space="0" w:color="auto"/>
            </w:tcBorders>
            <w:vAlign w:val="center"/>
            <w:hideMark/>
          </w:tcPr>
          <w:p w14:paraId="7521663E"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-5.6</w:t>
            </w:r>
          </w:p>
        </w:tc>
      </w:tr>
      <w:tr w:rsidR="00F607D2" w:rsidRPr="00F607D2" w14:paraId="0C222513" w14:textId="77777777" w:rsidTr="00F607D2">
        <w:trPr>
          <w:jc w:val="right"/>
        </w:trPr>
        <w:tc>
          <w:tcPr>
            <w:tcW w:w="4129" w:type="dxa"/>
            <w:tcBorders>
              <w:top w:val="single" w:sz="6" w:space="0" w:color="auto"/>
              <w:left w:val="single" w:sz="6" w:space="0" w:color="auto"/>
              <w:bottom w:val="single" w:sz="6" w:space="0" w:color="auto"/>
              <w:right w:val="single" w:sz="6" w:space="0" w:color="auto"/>
            </w:tcBorders>
            <w:vAlign w:val="center"/>
            <w:hideMark/>
          </w:tcPr>
          <w:p w14:paraId="78C50055"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Prealbumin</w:t>
            </w:r>
          </w:p>
        </w:tc>
        <w:tc>
          <w:tcPr>
            <w:tcW w:w="1880" w:type="dxa"/>
            <w:tcBorders>
              <w:top w:val="single" w:sz="6" w:space="0" w:color="auto"/>
              <w:left w:val="single" w:sz="6" w:space="0" w:color="auto"/>
              <w:bottom w:val="single" w:sz="6" w:space="0" w:color="auto"/>
              <w:right w:val="single" w:sz="6" w:space="0" w:color="auto"/>
            </w:tcBorders>
            <w:vAlign w:val="center"/>
            <w:hideMark/>
          </w:tcPr>
          <w:p w14:paraId="38AAC83F" w14:textId="456DC024" w:rsidR="00F607D2" w:rsidRPr="00F607D2" w:rsidRDefault="00F607D2" w:rsidP="00F607D2">
            <w:pPr>
              <w:pStyle w:val="TableParagraph"/>
              <w:jc w:val="center"/>
              <w:rPr>
                <w:rFonts w:ascii="Palatino Linotype" w:hAnsi="Palatino Linotype"/>
              </w:rPr>
            </w:pPr>
            <w:r w:rsidRPr="00F607D2">
              <w:rPr>
                <w:rFonts w:ascii="Palatino Linotype" w:hAnsi="Palatino Linotype"/>
              </w:rPr>
              <w:t>600 µg/m</w:t>
            </w:r>
            <w:r>
              <w:rPr>
                <w:rFonts w:ascii="Palatino Linotype" w:hAnsi="Palatino Linotype"/>
              </w:rPr>
              <w:t>l</w:t>
            </w:r>
          </w:p>
        </w:tc>
        <w:tc>
          <w:tcPr>
            <w:tcW w:w="1875" w:type="dxa"/>
            <w:tcBorders>
              <w:top w:val="single" w:sz="6" w:space="0" w:color="auto"/>
              <w:left w:val="single" w:sz="6" w:space="0" w:color="auto"/>
              <w:bottom w:val="single" w:sz="6" w:space="0" w:color="auto"/>
              <w:right w:val="single" w:sz="6" w:space="0" w:color="auto"/>
            </w:tcBorders>
            <w:vAlign w:val="center"/>
            <w:hideMark/>
          </w:tcPr>
          <w:p w14:paraId="0AD0ED09" w14:textId="77777777" w:rsidR="00F607D2" w:rsidRPr="00F607D2" w:rsidRDefault="00F607D2" w:rsidP="00F607D2">
            <w:pPr>
              <w:pStyle w:val="TableParagraph"/>
              <w:jc w:val="center"/>
              <w:rPr>
                <w:rFonts w:ascii="Palatino Linotype" w:hAnsi="Palatino Linotype"/>
              </w:rPr>
            </w:pPr>
            <w:r w:rsidRPr="00F607D2">
              <w:rPr>
                <w:rFonts w:ascii="Palatino Linotype" w:hAnsi="Palatino Linotype"/>
              </w:rPr>
              <w:t>-1.3</w:t>
            </w:r>
          </w:p>
        </w:tc>
      </w:tr>
    </w:tbl>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lastRenderedPageBreak/>
        <w:t>Result Calculation</w:t>
      </w:r>
      <w:bookmarkEnd w:id="30"/>
    </w:p>
    <w:p w14:paraId="1627FCD1" w14:textId="4A523F4A" w:rsidR="007F6E71" w:rsidRDefault="00F607D2" w:rsidP="00F607D2">
      <w:pPr>
        <w:pStyle w:val="TDPL-BodyTxt"/>
        <w:numPr>
          <w:ilvl w:val="0"/>
          <w:numId w:val="0"/>
        </w:numPr>
        <w:ind w:left="1134"/>
        <w:jc w:val="both"/>
      </w:pPr>
      <w:r>
        <w:t>Patient test results are determined automatically by the system software using a weighted four parameter logistic curve (4PLC) math model. The amount of analyte in the sample is determined from the measured light production by means of the stored calibration data. Patient test results can be reviewed using the appropriate screen</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719E3141" w:rsidR="00800600" w:rsidRDefault="00F607D2" w:rsidP="00800600">
      <w:pPr>
        <w:pStyle w:val="TDPL-BodyTxt"/>
        <w:numPr>
          <w:ilvl w:val="0"/>
          <w:numId w:val="0"/>
        </w:numPr>
        <w:ind w:left="1134"/>
      </w:pPr>
      <w:r w:rsidRPr="00F607D2">
        <w:t>0.3</w:t>
      </w:r>
      <w:r w:rsidR="002F5B8A">
        <w:t xml:space="preserve">8 </w:t>
      </w:r>
      <w:r w:rsidRPr="00F607D2">
        <w:t>–</w:t>
      </w:r>
      <w:r w:rsidR="002F5B8A">
        <w:t xml:space="preserve"> </w:t>
      </w:r>
      <w:r w:rsidRPr="00F607D2">
        <w:t>5.</w:t>
      </w:r>
      <w:r w:rsidR="002F5B8A">
        <w:t>33</w:t>
      </w:r>
      <w:r w:rsidRPr="00F607D2">
        <w:t xml:space="preserve"> μIU/m</w:t>
      </w:r>
      <w:r>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242CE903" w:rsidR="001D1ADE" w:rsidRDefault="001D1ADE" w:rsidP="001D1ADE">
      <w:pPr>
        <w:pStyle w:val="TDPL-BodyTxt"/>
        <w:jc w:val="both"/>
      </w:pPr>
      <w:r>
        <w:t>Analytical Measurement Range (AMR)</w:t>
      </w:r>
      <w:r w:rsidR="0045125B">
        <w:t xml:space="preserve">: </w:t>
      </w:r>
      <w:r w:rsidR="00F607D2" w:rsidRPr="00F607D2">
        <w:t>0.005 - 50.0 μIU/m</w:t>
      </w:r>
      <w:r w:rsidR="00F607D2">
        <w:t>l</w:t>
      </w:r>
    </w:p>
    <w:p w14:paraId="197F230B" w14:textId="4CCA4392" w:rsidR="007E0DB9" w:rsidRDefault="007E0DB9" w:rsidP="001D1ADE">
      <w:pPr>
        <w:pStyle w:val="TDPL-BodyTxt"/>
        <w:jc w:val="both"/>
      </w:pPr>
      <w:r w:rsidRPr="007E0DB9">
        <w:t>Clinical Reportable Range (CRR)</w:t>
      </w:r>
      <w:r w:rsidR="00AB16F5" w:rsidRPr="007E0DB9">
        <w:t xml:space="preserve">: </w:t>
      </w:r>
      <w:r w:rsidR="002F5B8A" w:rsidRPr="002F5B8A">
        <w:t>Up to 1:</w:t>
      </w:r>
      <w:r w:rsidR="00074111">
        <w:t>10</w:t>
      </w:r>
      <w:r w:rsidR="002F5B8A" w:rsidRPr="002F5B8A">
        <w:t xml:space="preserve"> dilution</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7F0D8440" w14:textId="77777777" w:rsidR="00CC1708" w:rsidRDefault="00CC1708" w:rsidP="00CC1708">
      <w:pPr>
        <w:pStyle w:val="TDPL-BodyTxt"/>
        <w:jc w:val="both"/>
      </w:pPr>
      <w:r>
        <w:t>Human thyroid-stimulating hormone is a glycoprotein hormone consisting of two noncovalently-bound subunits: an α subunit, which is nearly identical to the α subunits of human luteinizing hormone (hLH), human follicle-stimulating hormone (hFSH), and human chorionic gonadotropin (hCG), and a β subunit, which is responsible for immunological and biological specificity.</w:t>
      </w:r>
    </w:p>
    <w:p w14:paraId="5C0513B9" w14:textId="44978515" w:rsidR="00DB7047" w:rsidRPr="009D33EC" w:rsidRDefault="00CC1708" w:rsidP="00CC1708">
      <w:pPr>
        <w:pStyle w:val="TDPL-BodyTxt"/>
        <w:jc w:val="both"/>
        <w:rPr>
          <w:b/>
          <w:bCs/>
        </w:rPr>
      </w:pPr>
      <w:r>
        <w:t xml:space="preserve">TSH, released from the anterior pituitary, is the principal regulator of thyroid </w:t>
      </w:r>
      <w:r>
        <w:lastRenderedPageBreak/>
        <w:t>function, stimulating the synthesis and release of thyroid hormones thyroxine (T4) and triiodothyronine (T3). T3 and T4 regulate biochemical processes that are essential for normal metabolism. The synthesis and secretion of TSH is stimulated by thyrotropin-releasing hormone (TRH), which is produced by the hypothalamus in response to low levels of circulating T3 and T4. In contrast, elevated levels of T3 and T4 suppress the production of TSH. Collectively, this negative feedback system is referred to as the hypothalamic-pituitary-thyroid axis. Any alteration in the function of this axis can influence the levels of TSH, T4, and T3 in circulation</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5BF183B4" w:rsidR="006776D3" w:rsidRDefault="007A2EB0" w:rsidP="007F6E71">
      <w:pPr>
        <w:pStyle w:val="TDPL-BodyTxt"/>
        <w:numPr>
          <w:ilvl w:val="3"/>
          <w:numId w:val="182"/>
        </w:numPr>
        <w:jc w:val="both"/>
      </w:pPr>
      <w:r w:rsidRPr="007A2EB0">
        <w:t xml:space="preserve">Product insert of </w:t>
      </w:r>
      <w:r w:rsidR="009D33EC">
        <w:t>T</w:t>
      </w:r>
      <w:r w:rsidR="00CC1708">
        <w:t>SH</w:t>
      </w:r>
      <w:r w:rsidRPr="007A2EB0">
        <w:t xml:space="preserve">, Beckman Coulter </w:t>
      </w:r>
      <w:r w:rsidR="00DA1140">
        <w:t>DxI 800</w:t>
      </w:r>
      <w:r w:rsidR="00F31F8F">
        <w:t>.</w:t>
      </w:r>
    </w:p>
    <w:p w14:paraId="5238C1F2" w14:textId="0451D75E" w:rsidR="002D4550" w:rsidRPr="002D4550" w:rsidRDefault="002D4550" w:rsidP="007F6E71">
      <w:pPr>
        <w:pStyle w:val="TDPL-BodyTxt"/>
        <w:numPr>
          <w:ilvl w:val="3"/>
          <w:numId w:val="182"/>
        </w:numPr>
        <w:jc w:val="both"/>
      </w:pPr>
      <w:r w:rsidRPr="002D4550">
        <w:t>Procedure for Managing Internal QC Program (TDPL</w:t>
      </w:r>
      <w:r w:rsidR="00074111">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5E5F" w14:textId="77777777" w:rsidR="00E51809" w:rsidRDefault="00E51809" w:rsidP="008072D6">
      <w:pPr>
        <w:spacing w:after="0"/>
      </w:pPr>
      <w:r>
        <w:separator/>
      </w:r>
    </w:p>
  </w:endnote>
  <w:endnote w:type="continuationSeparator" w:id="0">
    <w:p w14:paraId="45315FDB" w14:textId="77777777" w:rsidR="00E51809" w:rsidRDefault="00E51809" w:rsidP="008072D6">
      <w:pPr>
        <w:spacing w:after="0"/>
      </w:pPr>
      <w:r>
        <w:continuationSeparator/>
      </w:r>
    </w:p>
  </w:endnote>
  <w:endnote w:type="continuationNotice" w:id="1">
    <w:p w14:paraId="69CAF2EC" w14:textId="77777777" w:rsidR="00E51809" w:rsidRDefault="00E5180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6E1176C" w:rsidR="00455F81" w:rsidRPr="00A047D5" w:rsidRDefault="0007411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DD66C34" wp14:editId="1841297B">
          <wp:simplePos x="0" y="0"/>
          <wp:positionH relativeFrom="column">
            <wp:posOffset>-292545</wp:posOffset>
          </wp:positionH>
          <wp:positionV relativeFrom="page">
            <wp:posOffset>9958705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6A2329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77EAE" w14:textId="77777777" w:rsidR="00E51809" w:rsidRDefault="00E51809" w:rsidP="008072D6">
      <w:pPr>
        <w:spacing w:after="0"/>
      </w:pPr>
      <w:r>
        <w:separator/>
      </w:r>
    </w:p>
  </w:footnote>
  <w:footnote w:type="continuationSeparator" w:id="0">
    <w:p w14:paraId="0D84F2C5" w14:textId="77777777" w:rsidR="00E51809" w:rsidRDefault="00E51809" w:rsidP="008072D6">
      <w:pPr>
        <w:spacing w:after="0"/>
      </w:pPr>
      <w:r>
        <w:continuationSeparator/>
      </w:r>
    </w:p>
  </w:footnote>
  <w:footnote w:type="continuationNotice" w:id="1">
    <w:p w14:paraId="108B074D" w14:textId="77777777" w:rsidR="00E51809" w:rsidRDefault="00E5180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4CFC98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2F5B8A">
            <w:rPr>
              <w:rFonts w:ascii="Palatino Linotype" w:hAnsi="Palatino Linotype"/>
              <w:b/>
              <w:bCs/>
              <w:sz w:val="16"/>
              <w:szCs w:val="16"/>
            </w:rPr>
            <w:t>50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B2A251D" w:rsidR="00C2562C" w:rsidRPr="004B4A99" w:rsidRDefault="00563431" w:rsidP="00AE7DF8">
          <w:pPr>
            <w:pStyle w:val="TableParagraph"/>
            <w:jc w:val="center"/>
            <w:rPr>
              <w:rFonts w:ascii="Palatino Linotype" w:hAnsi="Palatino Linotype"/>
              <w:b/>
              <w:bCs/>
              <w:sz w:val="16"/>
              <w:szCs w:val="16"/>
            </w:rPr>
          </w:pPr>
          <w:r>
            <w:rPr>
              <w:rFonts w:ascii="Palatino Linotype" w:hAnsi="Palatino Linotype"/>
              <w:b/>
              <w:bCs/>
              <w:sz w:val="16"/>
              <w:szCs w:val="16"/>
            </w:rPr>
            <w:t>TSH</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F5B8A" w:rsidRPr="004B4A99" w14:paraId="3A078B58" w14:textId="77777777" w:rsidTr="00FF227F">
      <w:trPr>
        <w:cantSplit/>
        <w:trHeight w:val="340"/>
        <w:jc w:val="center"/>
      </w:trPr>
      <w:tc>
        <w:tcPr>
          <w:tcW w:w="1300" w:type="pct"/>
          <w:vMerge w:val="restart"/>
          <w:vAlign w:val="center"/>
        </w:tcPr>
        <w:p w14:paraId="7E505763" w14:textId="77777777" w:rsidR="002F5B8A"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0834A9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SOP-050</w:t>
          </w:r>
        </w:p>
      </w:tc>
    </w:tr>
    <w:tr w:rsidR="002F5B8A" w:rsidRPr="004B4A99" w14:paraId="5292651C" w14:textId="77777777" w:rsidTr="00FF227F">
      <w:trPr>
        <w:cantSplit/>
        <w:trHeight w:val="340"/>
        <w:jc w:val="center"/>
      </w:trPr>
      <w:tc>
        <w:tcPr>
          <w:tcW w:w="1300" w:type="pct"/>
          <w:vMerge/>
          <w:vAlign w:val="center"/>
        </w:tcPr>
        <w:p w14:paraId="4E798848"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276E1FC7"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F5B8A" w:rsidRPr="004B4A99" w14:paraId="0AD975B3" w14:textId="77777777" w:rsidTr="00FF227F">
      <w:trPr>
        <w:cantSplit/>
        <w:trHeight w:val="340"/>
        <w:jc w:val="center"/>
      </w:trPr>
      <w:tc>
        <w:tcPr>
          <w:tcW w:w="1300" w:type="pct"/>
          <w:vMerge w:val="restart"/>
          <w:vAlign w:val="center"/>
        </w:tcPr>
        <w:p w14:paraId="5385F8FD"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F5B8A" w:rsidRPr="004B4A99" w14:paraId="09129753" w14:textId="77777777" w:rsidTr="00FF227F">
      <w:trPr>
        <w:cantSplit/>
        <w:trHeight w:val="340"/>
        <w:jc w:val="center"/>
      </w:trPr>
      <w:tc>
        <w:tcPr>
          <w:tcW w:w="1300" w:type="pct"/>
          <w:vMerge/>
          <w:vAlign w:val="center"/>
        </w:tcPr>
        <w:p w14:paraId="53850D0C"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325267F7"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F5B8A" w:rsidRPr="004B4A99" w14:paraId="7C5BB1D7" w14:textId="77777777" w:rsidTr="00FF227F">
      <w:trPr>
        <w:cantSplit/>
        <w:trHeight w:val="340"/>
        <w:jc w:val="center"/>
      </w:trPr>
      <w:tc>
        <w:tcPr>
          <w:tcW w:w="1300" w:type="pct"/>
          <w:vAlign w:val="center"/>
        </w:tcPr>
        <w:p w14:paraId="2943FA8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8CE8B08" w14:textId="77777777" w:rsidR="002F5B8A"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6B86156"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TSH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F5B8A" w:rsidRPr="004B4A99" w14:paraId="313C78B7" w14:textId="77777777" w:rsidTr="00FF227F">
      <w:trPr>
        <w:cantSplit/>
        <w:trHeight w:val="369"/>
        <w:jc w:val="center"/>
      </w:trPr>
      <w:tc>
        <w:tcPr>
          <w:tcW w:w="1300" w:type="pct"/>
          <w:vAlign w:val="center"/>
        </w:tcPr>
        <w:p w14:paraId="64C28C3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F5B8A" w:rsidRPr="004B4A99" w14:paraId="2F2DBE48" w14:textId="77777777" w:rsidTr="00FF227F">
      <w:trPr>
        <w:cantSplit/>
        <w:trHeight w:val="340"/>
        <w:jc w:val="center"/>
      </w:trPr>
      <w:tc>
        <w:tcPr>
          <w:tcW w:w="1300" w:type="pct"/>
          <w:vMerge w:val="restart"/>
          <w:vAlign w:val="center"/>
        </w:tcPr>
        <w:p w14:paraId="133837E6" w14:textId="77777777" w:rsidR="002F5B8A"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819B156"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SOP-050</w:t>
          </w:r>
        </w:p>
      </w:tc>
    </w:tr>
    <w:tr w:rsidR="002F5B8A" w:rsidRPr="004B4A99" w14:paraId="7E480127" w14:textId="77777777" w:rsidTr="00FF227F">
      <w:trPr>
        <w:cantSplit/>
        <w:trHeight w:val="340"/>
        <w:jc w:val="center"/>
      </w:trPr>
      <w:tc>
        <w:tcPr>
          <w:tcW w:w="1300" w:type="pct"/>
          <w:vMerge/>
          <w:vAlign w:val="center"/>
        </w:tcPr>
        <w:p w14:paraId="08E996F8"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04514E29"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F5B8A" w:rsidRPr="004B4A99" w14:paraId="244CC1DE" w14:textId="77777777" w:rsidTr="00FF227F">
      <w:trPr>
        <w:cantSplit/>
        <w:trHeight w:val="340"/>
        <w:jc w:val="center"/>
      </w:trPr>
      <w:tc>
        <w:tcPr>
          <w:tcW w:w="1300" w:type="pct"/>
          <w:vMerge w:val="restart"/>
          <w:vAlign w:val="center"/>
        </w:tcPr>
        <w:p w14:paraId="19088C28"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F5B8A" w:rsidRPr="004B4A99" w14:paraId="1431D515" w14:textId="77777777" w:rsidTr="00FF227F">
      <w:trPr>
        <w:cantSplit/>
        <w:trHeight w:val="340"/>
        <w:jc w:val="center"/>
      </w:trPr>
      <w:tc>
        <w:tcPr>
          <w:tcW w:w="1300" w:type="pct"/>
          <w:vMerge/>
          <w:vAlign w:val="center"/>
        </w:tcPr>
        <w:p w14:paraId="2FB6339F"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7BE729A8"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F5B8A" w:rsidRPr="004B4A99" w14:paraId="41C9FDC6" w14:textId="77777777" w:rsidTr="00FF227F">
      <w:trPr>
        <w:cantSplit/>
        <w:trHeight w:val="340"/>
        <w:jc w:val="center"/>
      </w:trPr>
      <w:tc>
        <w:tcPr>
          <w:tcW w:w="1300" w:type="pct"/>
          <w:vAlign w:val="center"/>
        </w:tcPr>
        <w:p w14:paraId="56C8426C"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0B429A" w14:textId="77777777" w:rsidR="002F5B8A"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706BDF9"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TSH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F5B8A" w:rsidRPr="004B4A99" w14:paraId="31E3915D" w14:textId="77777777" w:rsidTr="00FF227F">
      <w:trPr>
        <w:cantSplit/>
        <w:trHeight w:val="369"/>
        <w:jc w:val="center"/>
      </w:trPr>
      <w:tc>
        <w:tcPr>
          <w:tcW w:w="1300" w:type="pct"/>
          <w:vAlign w:val="center"/>
        </w:tcPr>
        <w:p w14:paraId="7D19767C"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F5B8A" w:rsidRPr="004B4A99" w14:paraId="3916B46D" w14:textId="77777777" w:rsidTr="00FF227F">
      <w:trPr>
        <w:cantSplit/>
        <w:trHeight w:val="340"/>
        <w:jc w:val="center"/>
      </w:trPr>
      <w:tc>
        <w:tcPr>
          <w:tcW w:w="1300" w:type="pct"/>
          <w:vMerge w:val="restart"/>
          <w:vAlign w:val="center"/>
        </w:tcPr>
        <w:p w14:paraId="23A549E1" w14:textId="77777777" w:rsidR="002F5B8A"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C105CCA"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SOP-050</w:t>
          </w:r>
        </w:p>
      </w:tc>
    </w:tr>
    <w:tr w:rsidR="002F5B8A" w:rsidRPr="004B4A99" w14:paraId="13720DA9" w14:textId="77777777" w:rsidTr="00FF227F">
      <w:trPr>
        <w:cantSplit/>
        <w:trHeight w:val="340"/>
        <w:jc w:val="center"/>
      </w:trPr>
      <w:tc>
        <w:tcPr>
          <w:tcW w:w="1300" w:type="pct"/>
          <w:vMerge/>
          <w:vAlign w:val="center"/>
        </w:tcPr>
        <w:p w14:paraId="37148520"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2943FA10"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F5B8A" w:rsidRPr="004B4A99" w14:paraId="5737AB9A" w14:textId="77777777" w:rsidTr="00FF227F">
      <w:trPr>
        <w:cantSplit/>
        <w:trHeight w:val="340"/>
        <w:jc w:val="center"/>
      </w:trPr>
      <w:tc>
        <w:tcPr>
          <w:tcW w:w="1300" w:type="pct"/>
          <w:vMerge w:val="restart"/>
          <w:vAlign w:val="center"/>
        </w:tcPr>
        <w:p w14:paraId="4E72BDB6"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F5B8A" w:rsidRPr="004B4A99" w14:paraId="0813DEE3" w14:textId="77777777" w:rsidTr="00FF227F">
      <w:trPr>
        <w:cantSplit/>
        <w:trHeight w:val="340"/>
        <w:jc w:val="center"/>
      </w:trPr>
      <w:tc>
        <w:tcPr>
          <w:tcW w:w="1300" w:type="pct"/>
          <w:vMerge/>
          <w:vAlign w:val="center"/>
        </w:tcPr>
        <w:p w14:paraId="0DBF06F1"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747A16C7"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F5B8A" w:rsidRPr="004B4A99" w14:paraId="467E5DE5" w14:textId="77777777" w:rsidTr="00FF227F">
      <w:trPr>
        <w:cantSplit/>
        <w:trHeight w:val="340"/>
        <w:jc w:val="center"/>
      </w:trPr>
      <w:tc>
        <w:tcPr>
          <w:tcW w:w="1300" w:type="pct"/>
          <w:vAlign w:val="center"/>
        </w:tcPr>
        <w:p w14:paraId="7D5A6E46"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85D4CCE" w14:textId="77777777" w:rsidR="002F5B8A"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6E583EA5"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TSH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F5B8A" w:rsidRPr="004B4A99" w14:paraId="7076EC4D" w14:textId="77777777" w:rsidTr="00FF227F">
      <w:trPr>
        <w:cantSplit/>
        <w:trHeight w:val="369"/>
        <w:jc w:val="center"/>
      </w:trPr>
      <w:tc>
        <w:tcPr>
          <w:tcW w:w="1300" w:type="pct"/>
          <w:vAlign w:val="center"/>
        </w:tcPr>
        <w:p w14:paraId="78E4E2CB"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F5B8A" w:rsidRPr="004B4A99" w14:paraId="70F16FC8" w14:textId="77777777" w:rsidTr="00FF227F">
      <w:trPr>
        <w:cantSplit/>
        <w:trHeight w:val="340"/>
        <w:jc w:val="center"/>
      </w:trPr>
      <w:tc>
        <w:tcPr>
          <w:tcW w:w="1300" w:type="pct"/>
          <w:vMerge w:val="restart"/>
          <w:vAlign w:val="center"/>
        </w:tcPr>
        <w:p w14:paraId="581A7966" w14:textId="77777777" w:rsidR="002F5B8A"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0C36486"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SOP-050</w:t>
          </w:r>
        </w:p>
      </w:tc>
    </w:tr>
    <w:tr w:rsidR="002F5B8A" w:rsidRPr="004B4A99" w14:paraId="615C5189" w14:textId="77777777" w:rsidTr="00FF227F">
      <w:trPr>
        <w:cantSplit/>
        <w:trHeight w:val="340"/>
        <w:jc w:val="center"/>
      </w:trPr>
      <w:tc>
        <w:tcPr>
          <w:tcW w:w="1300" w:type="pct"/>
          <w:vMerge/>
          <w:vAlign w:val="center"/>
        </w:tcPr>
        <w:p w14:paraId="795A3454"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14967148"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F5B8A" w:rsidRPr="004B4A99" w14:paraId="053B4F16" w14:textId="77777777" w:rsidTr="00FF227F">
      <w:trPr>
        <w:cantSplit/>
        <w:trHeight w:val="340"/>
        <w:jc w:val="center"/>
      </w:trPr>
      <w:tc>
        <w:tcPr>
          <w:tcW w:w="1300" w:type="pct"/>
          <w:vMerge w:val="restart"/>
          <w:vAlign w:val="center"/>
        </w:tcPr>
        <w:p w14:paraId="525835BE"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F5B8A" w:rsidRPr="004B4A99" w14:paraId="6EB4168F" w14:textId="77777777" w:rsidTr="00FF227F">
      <w:trPr>
        <w:cantSplit/>
        <w:trHeight w:val="340"/>
        <w:jc w:val="center"/>
      </w:trPr>
      <w:tc>
        <w:tcPr>
          <w:tcW w:w="1300" w:type="pct"/>
          <w:vMerge/>
          <w:vAlign w:val="center"/>
        </w:tcPr>
        <w:p w14:paraId="4F55C041"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27BD5F79"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F5B8A" w:rsidRPr="004B4A99" w14:paraId="59FDD851" w14:textId="77777777" w:rsidTr="00FF227F">
      <w:trPr>
        <w:cantSplit/>
        <w:trHeight w:val="340"/>
        <w:jc w:val="center"/>
      </w:trPr>
      <w:tc>
        <w:tcPr>
          <w:tcW w:w="1300" w:type="pct"/>
          <w:vAlign w:val="center"/>
        </w:tcPr>
        <w:p w14:paraId="0DD264F6"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0CFEB36" w14:textId="77777777" w:rsidR="002F5B8A"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37F14AA"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TSH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F5B8A" w:rsidRPr="004B4A99" w14:paraId="1346FD4B" w14:textId="77777777" w:rsidTr="00FF227F">
      <w:trPr>
        <w:cantSplit/>
        <w:trHeight w:val="369"/>
        <w:jc w:val="center"/>
      </w:trPr>
      <w:tc>
        <w:tcPr>
          <w:tcW w:w="1300" w:type="pct"/>
          <w:vAlign w:val="center"/>
        </w:tcPr>
        <w:p w14:paraId="7A607975"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F5B8A" w:rsidRPr="004B4A99" w14:paraId="3FE71133" w14:textId="77777777" w:rsidTr="00FF227F">
      <w:trPr>
        <w:cantSplit/>
        <w:trHeight w:val="340"/>
        <w:jc w:val="center"/>
      </w:trPr>
      <w:tc>
        <w:tcPr>
          <w:tcW w:w="1300" w:type="pct"/>
          <w:vMerge w:val="restart"/>
          <w:vAlign w:val="center"/>
        </w:tcPr>
        <w:p w14:paraId="12AF09AC" w14:textId="77777777" w:rsidR="002F5B8A"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3891F5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SOP-050</w:t>
          </w:r>
        </w:p>
      </w:tc>
    </w:tr>
    <w:tr w:rsidR="002F5B8A" w:rsidRPr="004B4A99" w14:paraId="7F8F7B66" w14:textId="77777777" w:rsidTr="00FF227F">
      <w:trPr>
        <w:cantSplit/>
        <w:trHeight w:val="340"/>
        <w:jc w:val="center"/>
      </w:trPr>
      <w:tc>
        <w:tcPr>
          <w:tcW w:w="1300" w:type="pct"/>
          <w:vMerge/>
          <w:vAlign w:val="center"/>
        </w:tcPr>
        <w:p w14:paraId="1E8BB389"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707358B9"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F5B8A" w:rsidRPr="004B4A99" w14:paraId="38BD2163" w14:textId="77777777" w:rsidTr="00FF227F">
      <w:trPr>
        <w:cantSplit/>
        <w:trHeight w:val="340"/>
        <w:jc w:val="center"/>
      </w:trPr>
      <w:tc>
        <w:tcPr>
          <w:tcW w:w="1300" w:type="pct"/>
          <w:vMerge w:val="restart"/>
          <w:vAlign w:val="center"/>
        </w:tcPr>
        <w:p w14:paraId="6D9E4B55"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F5B8A" w:rsidRPr="004B4A99" w14:paraId="744F1841" w14:textId="77777777" w:rsidTr="00FF227F">
      <w:trPr>
        <w:cantSplit/>
        <w:trHeight w:val="340"/>
        <w:jc w:val="center"/>
      </w:trPr>
      <w:tc>
        <w:tcPr>
          <w:tcW w:w="1300" w:type="pct"/>
          <w:vMerge/>
          <w:vAlign w:val="center"/>
        </w:tcPr>
        <w:p w14:paraId="4AB6AE4D"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5D49A9EB"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F5B8A" w:rsidRPr="004B4A99" w14:paraId="590F5EEA" w14:textId="77777777" w:rsidTr="00FF227F">
      <w:trPr>
        <w:cantSplit/>
        <w:trHeight w:val="340"/>
        <w:jc w:val="center"/>
      </w:trPr>
      <w:tc>
        <w:tcPr>
          <w:tcW w:w="1300" w:type="pct"/>
          <w:vAlign w:val="center"/>
        </w:tcPr>
        <w:p w14:paraId="196271D9"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EF9B5EC" w14:textId="77777777" w:rsidR="002F5B8A"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CC504DC"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TSH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F5B8A" w:rsidRPr="004B4A99" w14:paraId="2C0BB8AD" w14:textId="77777777" w:rsidTr="00FF227F">
      <w:trPr>
        <w:cantSplit/>
        <w:trHeight w:val="369"/>
        <w:jc w:val="center"/>
      </w:trPr>
      <w:tc>
        <w:tcPr>
          <w:tcW w:w="1300" w:type="pct"/>
          <w:vAlign w:val="center"/>
        </w:tcPr>
        <w:p w14:paraId="3DB92BF9"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F5B8A" w:rsidRPr="004B4A99" w14:paraId="40405EE2" w14:textId="77777777" w:rsidTr="00FF227F">
      <w:trPr>
        <w:cantSplit/>
        <w:trHeight w:val="340"/>
        <w:jc w:val="center"/>
      </w:trPr>
      <w:tc>
        <w:tcPr>
          <w:tcW w:w="1300" w:type="pct"/>
          <w:vMerge w:val="restart"/>
          <w:vAlign w:val="center"/>
        </w:tcPr>
        <w:p w14:paraId="48461C24" w14:textId="77777777" w:rsidR="002F5B8A"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65B0312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SOP-050</w:t>
          </w:r>
        </w:p>
      </w:tc>
    </w:tr>
    <w:tr w:rsidR="002F5B8A" w:rsidRPr="004B4A99" w14:paraId="75F3ABD9" w14:textId="77777777" w:rsidTr="00FF227F">
      <w:trPr>
        <w:cantSplit/>
        <w:trHeight w:val="340"/>
        <w:jc w:val="center"/>
      </w:trPr>
      <w:tc>
        <w:tcPr>
          <w:tcW w:w="1300" w:type="pct"/>
          <w:vMerge/>
          <w:vAlign w:val="center"/>
        </w:tcPr>
        <w:p w14:paraId="0084CA17"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01497A80"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F5B8A" w:rsidRPr="004B4A99" w14:paraId="60570D8E" w14:textId="77777777" w:rsidTr="00FF227F">
      <w:trPr>
        <w:cantSplit/>
        <w:trHeight w:val="340"/>
        <w:jc w:val="center"/>
      </w:trPr>
      <w:tc>
        <w:tcPr>
          <w:tcW w:w="1300" w:type="pct"/>
          <w:vMerge w:val="restart"/>
          <w:vAlign w:val="center"/>
        </w:tcPr>
        <w:p w14:paraId="20149CD8"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F5B8A" w:rsidRPr="004B4A99" w14:paraId="5CD64991" w14:textId="77777777" w:rsidTr="00FF227F">
      <w:trPr>
        <w:cantSplit/>
        <w:trHeight w:val="340"/>
        <w:jc w:val="center"/>
      </w:trPr>
      <w:tc>
        <w:tcPr>
          <w:tcW w:w="1300" w:type="pct"/>
          <w:vMerge/>
          <w:vAlign w:val="center"/>
        </w:tcPr>
        <w:p w14:paraId="06AFFB19" w14:textId="77777777" w:rsidR="002F5B8A" w:rsidRPr="004B4A99" w:rsidRDefault="002F5B8A" w:rsidP="002F5B8A">
          <w:pPr>
            <w:pStyle w:val="TableParagraph"/>
            <w:jc w:val="center"/>
            <w:rPr>
              <w:rFonts w:ascii="Palatino Linotype" w:hAnsi="Palatino Linotype"/>
              <w:b/>
              <w:bCs/>
              <w:sz w:val="16"/>
              <w:szCs w:val="16"/>
            </w:rPr>
          </w:pPr>
        </w:p>
      </w:tc>
      <w:tc>
        <w:tcPr>
          <w:tcW w:w="2162" w:type="pct"/>
          <w:vMerge/>
          <w:vAlign w:val="center"/>
        </w:tcPr>
        <w:p w14:paraId="2840A0E3" w14:textId="77777777" w:rsidR="002F5B8A" w:rsidRPr="004B4A99" w:rsidRDefault="002F5B8A" w:rsidP="002F5B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F5B8A" w:rsidRPr="004B4A99" w14:paraId="6644EF38" w14:textId="77777777" w:rsidTr="00FF227F">
      <w:trPr>
        <w:cantSplit/>
        <w:trHeight w:val="340"/>
        <w:jc w:val="center"/>
      </w:trPr>
      <w:tc>
        <w:tcPr>
          <w:tcW w:w="1300" w:type="pct"/>
          <w:vAlign w:val="center"/>
        </w:tcPr>
        <w:p w14:paraId="23D12B20"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B1A22CD" w14:textId="77777777" w:rsidR="002F5B8A"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34B61500"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TSH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F5B8A" w:rsidRPr="004B4A99" w14:paraId="1A3E2302" w14:textId="77777777" w:rsidTr="00FF227F">
      <w:trPr>
        <w:cantSplit/>
        <w:trHeight w:val="369"/>
        <w:jc w:val="center"/>
      </w:trPr>
      <w:tc>
        <w:tcPr>
          <w:tcW w:w="1300" w:type="pct"/>
          <w:vAlign w:val="center"/>
        </w:tcPr>
        <w:p w14:paraId="7D9A2A6E" w14:textId="77777777" w:rsidR="002F5B8A" w:rsidRPr="004B4A99" w:rsidRDefault="002F5B8A" w:rsidP="002F5B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2F5B8A" w:rsidRPr="004B4A99" w:rsidRDefault="002F5B8A" w:rsidP="002F5B8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4"/>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4"/>
  </w:num>
  <w:num w:numId="299" w16cid:durableId="2146004939">
    <w:abstractNumId w:val="5"/>
  </w:num>
  <w:num w:numId="300" w16cid:durableId="1480151845">
    <w:abstractNumId w:val="5"/>
  </w:num>
  <w:num w:numId="301" w16cid:durableId="87697545">
    <w:abstractNumId w:val="5"/>
  </w:num>
  <w:num w:numId="302" w16cid:durableId="367146980">
    <w:abstractNumId w:val="5"/>
  </w:num>
  <w:num w:numId="303" w16cid:durableId="256327069">
    <w:abstractNumId w:val="5"/>
  </w:num>
  <w:num w:numId="304" w16cid:durableId="876549838">
    <w:abstractNumId w:val="5"/>
  </w:num>
  <w:num w:numId="305" w16cid:durableId="58853966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628"/>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4111"/>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D53A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5B8A"/>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558"/>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1C45"/>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445B0"/>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24E"/>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61BA"/>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AEC"/>
    <w:rsid w:val="00A60CA2"/>
    <w:rsid w:val="00A61E31"/>
    <w:rsid w:val="00A62AD8"/>
    <w:rsid w:val="00A6357A"/>
    <w:rsid w:val="00A706A0"/>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1E23"/>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1809"/>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03DF"/>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61</TotalTime>
  <Pages>19</Pages>
  <Words>3721</Words>
  <Characters>21213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2025-05-27T16:51:00Z</cp:lastPrinted>
  <dcterms:created xsi:type="dcterms:W3CDTF">2025-05-09T10:34:00Z</dcterms:created>
  <dcterms:modified xsi:type="dcterms:W3CDTF">2025-05-29T18:33:00Z</dcterms:modified>
</cp:coreProperties>
</file>