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Times New Roman" w:cs="Times New Roman" w:eastAsia="Times New Roman" w:hAnsi="Times New Roman"/>
          <w:b/>
          <w:bCs/>
          <w:sz w:val="28"/>
          <w:szCs w:val="28"/>
        </w:rPr>
        <w:t xml:space="preserve">BankruptcyShield Pro v2.0: Next-Gen Hybrid Machine Learning for Bankruptcy Prediction Using GA, PSO and Random Forest — A Taiwan Market Analysis</w:t>
      </w:r>
    </w:p>
    <w:p>
      <w:r>
        <w:rPr>
          <w:sz w:val="12"/>
          <w:szCs w:val="12"/>
        </w:rPr>
        <w:t xml:space="preserve"/>
      </w:r>
    </w:p>
    <w:p>
      <w:pPr>
        <w:spacing w:before="0" w:after="40"/>
        <w:jc w:val="center"/>
      </w:pPr>
      <w:r>
        <w:rPr>
          <w:rFonts w:ascii="Times New Roman" w:cs="Times New Roman" w:eastAsia="Times New Roman" w:hAnsi="Times New Roman"/>
          <w:b/>
          <w:bCs/>
          <w:sz w:val="18"/>
          <w:szCs w:val="18"/>
        </w:rPr>
        <w:t xml:space="preserve">1. D.Harshitha(22P31A0588),  </w:t>
      </w:r>
      <w:r>
        <w:rPr>
          <w:rFonts w:ascii="Times New Roman" w:cs="Times New Roman" w:eastAsia="Times New Roman" w:hAnsi="Times New Roman"/>
          <w:b/>
          <w:bCs/>
          <w:sz w:val="18"/>
          <w:szCs w:val="18"/>
        </w:rPr>
        <w:t xml:space="preserve">2. P.PavanKalyan(23P35A0512),  </w:t>
      </w:r>
      <w:r>
        <w:rPr>
          <w:rFonts w:ascii="Times New Roman" w:cs="Times New Roman" w:eastAsia="Times New Roman" w:hAnsi="Times New Roman"/>
          <w:b/>
          <w:bCs/>
          <w:sz w:val="18"/>
          <w:szCs w:val="18"/>
        </w:rPr>
        <w:t xml:space="preserve">3. P.SatyaSudheer(23P35A0511),  </w:t>
      </w:r>
      <w:r>
        <w:rPr>
          <w:rFonts w:ascii="Times New Roman" w:cs="Times New Roman" w:eastAsia="Times New Roman" w:hAnsi="Times New Roman"/>
          <w:b/>
          <w:bCs/>
          <w:sz w:val="18"/>
          <w:szCs w:val="18"/>
        </w:rPr>
        <w:t xml:space="preserve">4. Vikram(22P31A05D0)</w:t>
      </w:r>
    </w:p>
    <w:p>
      <w:pPr>
        <w:spacing w:before="0" w:after="40"/>
        <w:jc w:val="center"/>
      </w:pPr>
      <w:r>
        <w:rPr>
          <w:rFonts w:ascii="Times New Roman" w:cs="Times New Roman" w:eastAsia="Times New Roman" w:hAnsi="Times New Roman"/>
          <w:sz w:val="18"/>
          <w:szCs w:val="18"/>
        </w:rPr>
        <w:t xml:space="preserve">B.Tech Students, Department of CSE, Aditya College of Engineering &amp; Technology (A), Surampalem</w:t>
      </w:r>
    </w:p>
    <w:p>
      <w:pPr>
        <w:spacing w:before="0" w:after="80"/>
        <w:jc w:val="center"/>
      </w:pPr>
      <w:r>
        <w:rPr>
          <w:rFonts w:ascii="Times New Roman" w:cs="Times New Roman" w:eastAsia="Times New Roman" w:hAnsi="Times New Roman"/>
          <w:sz w:val="18"/>
          <w:szCs w:val="18"/>
        </w:rPr>
        <w:t xml:space="preserve">Dr. Ch.S.V.V.S.N.Murthy, M.Tech, Ph.D., Associate Professor, Department of CSE, Aditya College of Engineering &amp; Technology (A), Surampalem</w:t>
      </w:r>
    </w:p>
    <w:p>
      <w:pPr>
        <w:pBdr>
          <w:bottom w:val="single" w:color="000000" w:sz="6" w:space="1"/>
        </w:pBdr>
      </w:pPr>
      <w:r>
        <w:rPr>
          <w:sz w:val="4"/>
          <w:szCs w:val="4"/>
        </w:rPr>
        <w:t xml:space="preserve"/>
      </w:r>
    </w:p>
    <w:p>
      <w:r>
        <w:rPr>
          <w:sz w:val="12"/>
          <w:szCs w:val="12"/>
        </w:rPr>
        <w:t xml:space="preserve"/>
      </w:r>
    </w:p>
    <w:p>
      <w:pPr>
        <w:spacing w:before="0" w:after="60"/>
        <w:jc w:val="center"/>
      </w:pPr>
      <w:r>
        <w:rPr>
          <w:rFonts w:ascii="Times New Roman" w:cs="Times New Roman" w:eastAsia="Times New Roman" w:hAnsi="Times New Roman"/>
          <w:b/>
          <w:bCs/>
          <w:i/>
          <w:iCs/>
          <w:sz w:val="20"/>
          <w:szCs w:val="20"/>
        </w:rPr>
        <w:t xml:space="preserve">Abstract</w:t>
      </w:r>
    </w:p>
    <w:p>
      <w:pPr>
        <w:spacing w:line="240" w:before="40" w:after="40"/>
        <w:jc w:val="both"/>
      </w:pPr>
      <w:r>
        <w:rPr>
          <w:rFonts w:ascii="Times New Roman" w:cs="Times New Roman" w:eastAsia="Times New Roman" w:hAnsi="Times New Roman"/>
          <w:sz w:val="18"/>
          <w:szCs w:val="18"/>
        </w:rPr>
        <w:t xml:space="preserve">Bankruptcy forecasting is crucial for financial stability and risk management. This study advances the accuracy of bankruptcy prediction using a hybrid machine learning pipeline on the Taiwan Economic Journal (TEJ) dataset, which presents real-world challenges such as class imbalance and high-dimensional noisy features. Our approach, BankruptcyShield Pro v2.0, combines three complementary techniques: Genetic Algorithm (GA) for optimal feature selection from 95 financial indicators, Particle Swarm Optimization (PSO) for Random Forest hyperparameter tuning, and Random Forest (RF) as the final high-accuracy classifier. Experimental results demonstrate significant improvements in precision, recall, and F1-score compared to standalone Logistic Regression, Decision Tree, and default Random Forest baselines. Feature importance analysis provides deeper insight into the financial indicators most predictive of bankruptcy. A Flask-based web application enables real-time predictions for financial analysts. This research proposes a robust, scalable framework for imbalanced financial datasets, offering practical risk management insights for financial institutions.</w:t>
      </w:r>
    </w:p>
    <w:p>
      <w:r>
        <w:rPr>
          <w:sz w:val="12"/>
          <w:szCs w:val="12"/>
        </w:rPr>
        <w:t xml:space="preserve"/>
      </w:r>
    </w:p>
    <w:p>
      <w:pPr>
        <w:spacing w:line="240" w:before="40" w:after="40"/>
        <w:jc w:val="both"/>
      </w:pPr>
      <w:r>
        <w:rPr>
          <w:rFonts w:ascii="Times New Roman" w:cs="Times New Roman" w:eastAsia="Times New Roman" w:hAnsi="Times New Roman"/>
          <w:i/>
          <w:iCs/>
          <w:sz w:val="18"/>
          <w:szCs w:val="18"/>
        </w:rPr>
        <w:t xml:space="preserve">Keywords: Bankruptcy prediction, Genetic Algorithm, Particle Swarm Optimization, Random Forest, Feature selection, Hyperparameter tuning, Taiwan Economic Journal, Class imbalance, Flask.</w:t>
      </w:r>
    </w:p>
    <w:p>
      <w:r>
        <w:rPr>
          <w:sz w:val="12"/>
          <w:szCs w:val="12"/>
        </w:rPr>
        <w:t xml:space="preserve"/>
      </w:r>
    </w:p>
    <w:p>
      <w:pPr>
        <w:pBdr>
          <w:bottom w:val="single" w:color="000000" w:sz="4" w:space="1"/>
        </w:pBdr>
      </w:pPr>
      <w:r>
        <w:rPr>
          <w:sz w:val="4"/>
          <w:szCs w:val="4"/>
        </w:rPr>
        <w:t xml:space="preserve"/>
      </w:r>
    </w:p>
    <w:p>
      <w:pPr>
        <w:sectPr>
          <w:pgSz w:w="12240" w:h="15840" w:orient="portrait"/>
          <w:pgMar w:top="1080" w:right="1080" w:bottom="1080" w:left="1080" w:header="708" w:footer="708" w:gutter="0"/>
          <w:pgNumType/>
          <w:docGrid w:linePitch="360"/>
        </w:sectPr>
      </w:pPr>
    </w:p>
    <w:p>
      <w:pPr>
        <w:spacing w:before="160" w:after="60"/>
        <w:jc w:val="left"/>
      </w:pPr>
      <w:r>
        <w:rPr>
          <w:rFonts w:ascii="Times New Roman" w:cs="Times New Roman" w:eastAsia="Times New Roman" w:hAnsi="Times New Roman"/>
          <w:b/>
          <w:bCs/>
          <w:caps/>
          <w:sz w:val="20"/>
          <w:szCs w:val="20"/>
        </w:rPr>
        <w:t xml:space="preserve">I. Introduction</w:t>
      </w:r>
    </w:p>
    <w:p>
      <w:pPr>
        <w:spacing w:line="240" w:before="40" w:after="40"/>
        <w:jc w:val="both"/>
      </w:pPr>
      <w:r>
        <w:rPr>
          <w:rFonts w:ascii="Times New Roman" w:cs="Times New Roman" w:eastAsia="Times New Roman" w:hAnsi="Times New Roman"/>
          <w:sz w:val="18"/>
          <w:szCs w:val="18"/>
        </w:rPr>
        <w:t xml:space="preserve">Bankruptcy prediction is a crucial area of research in the financial sector, as business failures lead to severe economic consequences including job losses, supply chain disruptions, reduced tax revenues, and declining investor confidence. Machine learning techniques provide a promising approach for accurately predicting financial distress and enabling proactive interventions.</w:t>
      </w:r>
    </w:p>
    <w:p>
      <w:r>
        <w:rPr>
          <w:sz w:val="12"/>
          <w:szCs w:val="12"/>
        </w:rPr>
        <w:t xml:space="preserve"/>
      </w:r>
    </w:p>
    <w:p>
      <w:pPr>
        <w:spacing w:line="240" w:before="40" w:after="40"/>
        <w:jc w:val="both"/>
      </w:pPr>
      <w:r>
        <w:rPr>
          <w:rFonts w:ascii="Times New Roman" w:cs="Times New Roman" w:eastAsia="Times New Roman" w:hAnsi="Times New Roman"/>
          <w:sz w:val="18"/>
          <w:szCs w:val="18"/>
        </w:rPr>
        <w:t xml:space="preserve">By analyzing financial indicators such as cash flow ratios, debt ratios, profitability metrics, and market trends, machine learning algorithms can identify early warning signs of financial instability. Traditional statistical approaches such as Altman's Z-score and Logistic Regression have been widely used but struggle with high-dimensional financial datasets and non-linear variable relationships.</w:t>
      </w:r>
    </w:p>
    <w:p>
      <w:r>
        <w:rPr>
          <w:sz w:val="12"/>
          <w:szCs w:val="12"/>
        </w:rPr>
        <w:t xml:space="preserve"/>
      </w:r>
    </w:p>
    <w:p>
      <w:pPr>
        <w:spacing w:line="240" w:before="40" w:after="40"/>
        <w:jc w:val="both"/>
      </w:pPr>
      <w:r>
        <w:rPr>
          <w:rFonts w:ascii="Times New Roman" w:cs="Times New Roman" w:eastAsia="Times New Roman" w:hAnsi="Times New Roman"/>
          <w:sz w:val="18"/>
          <w:szCs w:val="18"/>
        </w:rPr>
        <w:t xml:space="preserve">BankruptcyShield Pro v2.0 addresses these limitations through a three-stage intelligent pipeline: (1) Genetic Algorithm for evolutionary feature selection, (2) Particle Swarm Optimization for hyperparameter tuning, and (3) Random Forest as the final high-accuracy classifier. The system is evaluated on the Taiwan Economic Journal (TEJ) dataset and deployed via a Flask web application for practical financial risk assessment.</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Strategies for Enhancing Bankruptcy Prediction Using Machine Learning:</w:t>
      </w:r>
    </w:p>
    <w:p>
      <w:r>
        <w:rPr>
          <w:sz w:val="12"/>
          <w:szCs w:val="12"/>
        </w:rPr>
        <w:t xml:space="preserve"/>
      </w:r>
    </w:p>
    <w:p>
      <w:pPr>
        <w:pStyle w:val="ListParagraph"/>
        <w:numPr>
          <w:ilvl w:val="0"/>
          <w:numId w:val="2"/>
        </w:numPr>
        <w:spacing w:line="240" w:before="20" w:after="20"/>
      </w:pPr>
      <w:r>
        <w:rPr>
          <w:rFonts w:ascii="Times New Roman" w:cs="Times New Roman" w:eastAsia="Times New Roman" w:hAnsi="Times New Roman"/>
          <w:sz w:val="18"/>
          <w:szCs w:val="18"/>
        </w:rPr>
        <w:t xml:space="preserve">Implement regular monitoring of financial health using ML algorithms that analyze patterns in financial metrics and debt ratios to detect early signs of distress. Predictive models provide timely insights enabling proactive preventive measures.</w:t>
      </w:r>
    </w:p>
    <w:p>
      <w:pPr>
        <w:pStyle w:val="ListParagraph"/>
        <w:numPr>
          <w:ilvl w:val="0"/>
          <w:numId w:val="2"/>
        </w:numPr>
        <w:spacing w:line="240" w:before="20" w:after="20"/>
      </w:pPr>
      <w:r>
        <w:rPr>
          <w:rFonts w:ascii="Times New Roman" w:cs="Times New Roman" w:eastAsia="Times New Roman" w:hAnsi="Times New Roman"/>
          <w:sz w:val="18"/>
          <w:szCs w:val="18"/>
        </w:rPr>
        <w:t xml:space="preserve">Provide personalized risk assessments and financial recommendations based on ML model insights, including strategies for cost-cutting, revenue optimization, and investment diversification tailored to each company's financial condition.</w:t>
      </w:r>
    </w:p>
    <w:p>
      <w:pPr>
        <w:pStyle w:val="ListParagraph"/>
        <w:numPr>
          <w:ilvl w:val="0"/>
          <w:numId w:val="2"/>
        </w:numPr>
        <w:spacing w:line="240" w:before="20" w:after="20"/>
      </w:pPr>
      <w:r>
        <w:rPr>
          <w:rFonts w:ascii="Times New Roman" w:cs="Times New Roman" w:eastAsia="Times New Roman" w:hAnsi="Times New Roman"/>
          <w:sz w:val="18"/>
          <w:szCs w:val="18"/>
        </w:rPr>
        <w:t xml:space="preserve">Utilize predictive modeling to identify high-risk financial periods and proactively allocate resources. By forecasting challenges in advance, organizations can implement precautionary measures such as liquidity management and restructuring plans.</w:t>
      </w:r>
    </w:p>
    <w:p>
      <w:pPr>
        <w:pStyle w:val="ListParagraph"/>
        <w:numPr>
          <w:ilvl w:val="0"/>
          <w:numId w:val="2"/>
        </w:numPr>
        <w:spacing w:line="240" w:before="20" w:after="20"/>
      </w:pPr>
      <w:r>
        <w:rPr>
          <w:rFonts w:ascii="Times New Roman" w:cs="Times New Roman" w:eastAsia="Times New Roman" w:hAnsi="Times New Roman"/>
          <w:sz w:val="18"/>
          <w:szCs w:val="18"/>
        </w:rPr>
        <w:t xml:space="preserve">Enhance transparency and financial reporting using ML to analyze financial statements, detect anomalies, and identify fraudulent activities, thereby reducing the risk of financial mismanagement and insolvency.</w:t>
      </w:r>
    </w:p>
    <w:p>
      <w:r>
        <w:rPr>
          <w:sz w:val="12"/>
          <w:szCs w:val="12"/>
        </w:rPr>
        <w:t xml:space="preserve"/>
      </w:r>
    </w:p>
    <w:p>
      <w:pPr>
        <w:spacing w:before="160" w:after="60"/>
        <w:jc w:val="left"/>
      </w:pPr>
      <w:r>
        <w:rPr>
          <w:rFonts w:ascii="Times New Roman" w:cs="Times New Roman" w:eastAsia="Times New Roman" w:hAnsi="Times New Roman"/>
          <w:b/>
          <w:bCs/>
          <w:caps/>
          <w:sz w:val="20"/>
          <w:szCs w:val="20"/>
        </w:rPr>
        <w:t xml:space="preserve">II. Literature Review</w:t>
      </w:r>
    </w:p>
    <w:p>
      <w:pPr>
        <w:spacing w:line="240" w:before="40" w:after="40"/>
        <w:jc w:val="both"/>
      </w:pPr>
      <w:r>
        <w:rPr>
          <w:rFonts w:ascii="Times New Roman" w:cs="Times New Roman" w:eastAsia="Times New Roman" w:hAnsi="Times New Roman"/>
          <w:b/>
          <w:bCs/>
          <w:sz w:val="18"/>
          <w:szCs w:val="18"/>
        </w:rPr>
        <w:t xml:space="preserve">1. Shetty, Musa, &amp; Brédart (2022):</w:t>
      </w:r>
    </w:p>
    <w:p>
      <w:pPr>
        <w:spacing w:line="240" w:before="40" w:after="40"/>
        <w:jc w:val="both"/>
      </w:pPr>
      <w:r>
        <w:rPr>
          <w:rFonts w:ascii="Times New Roman" w:cs="Times New Roman" w:eastAsia="Times New Roman" w:hAnsi="Times New Roman"/>
          <w:sz w:val="18"/>
          <w:szCs w:val="18"/>
        </w:rPr>
        <w:t xml:space="preserve">This study investigates the effectiveness of machine learning models in predicting corporate bankruptcies, exploring advanced techniques including deep neural networks, Random Forests, SVM, and XGBoost. Despite utilizing only three financial ratios, these methods show promising accuracy, demonstrating that even limited data can yield reliable forecasts.</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2. Shi &amp; Li (2019):</w:t>
      </w:r>
    </w:p>
    <w:p>
      <w:pPr>
        <w:spacing w:line="240" w:before="40" w:after="40"/>
        <w:jc w:val="both"/>
      </w:pPr>
      <w:r>
        <w:rPr>
          <w:rFonts w:ascii="Times New Roman" w:cs="Times New Roman" w:eastAsia="Times New Roman" w:hAnsi="Times New Roman"/>
          <w:sz w:val="18"/>
          <w:szCs w:val="18"/>
        </w:rPr>
        <w:t xml:space="preserve">A systematic literature review examining corporate bankruptcy prediction models from 1968 to 2017 using Scopus data. The study highlights how interest in bankruptcy prediction grew post-2008 financial crisis and identifies the evolution of predictive techniques over five decades.</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3. Alam et al. (2019):</w:t>
      </w:r>
    </w:p>
    <w:p>
      <w:pPr>
        <w:spacing w:line="240" w:before="40" w:after="40"/>
        <w:jc w:val="both"/>
      </w:pPr>
      <w:r>
        <w:rPr>
          <w:rFonts w:ascii="Times New Roman" w:cs="Times New Roman" w:eastAsia="Times New Roman" w:hAnsi="Times New Roman"/>
          <w:sz w:val="18"/>
          <w:szCs w:val="18"/>
        </w:rPr>
        <w:t xml:space="preserve">This paper examines methods for predicting corporate bankruptcy to foster a healthier corporate environment, leveraging advanced ML techniques to improve forecasting models that help businesses avoid financial distress and improve corporate governance.</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4. Perboli &amp; Arabnezhad (2021):</w:t>
      </w:r>
    </w:p>
    <w:p>
      <w:pPr>
        <w:spacing w:line="240" w:before="40" w:after="40"/>
        <w:jc w:val="both"/>
      </w:pPr>
      <w:r>
        <w:rPr>
          <w:rFonts w:ascii="Times New Roman" w:cs="Times New Roman" w:eastAsia="Times New Roman" w:hAnsi="Times New Roman"/>
          <w:sz w:val="18"/>
          <w:szCs w:val="18"/>
        </w:rPr>
        <w:t xml:space="preserve">Presents a ML-based Decision Support System (DSS) for mid- and long-term company crisis prediction, analyzing financial and operational indicators to provide proactive forecasting tools enabling stakeholders to take preventive measures before a crisis occurs.</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5. Boughaci &amp; Alkhawaldeh (2020):</w:t>
      </w:r>
    </w:p>
    <w:p>
      <w:pPr>
        <w:spacing w:line="240" w:before="40" w:after="40"/>
        <w:jc w:val="both"/>
      </w:pPr>
      <w:r>
        <w:rPr>
          <w:rFonts w:ascii="Times New Roman" w:cs="Times New Roman" w:eastAsia="Times New Roman" w:hAnsi="Times New Roman"/>
          <w:sz w:val="18"/>
          <w:szCs w:val="18"/>
        </w:rPr>
        <w:t xml:space="preserve">Compares machine learning techniques for credit scoring and bankruptcy prediction, evaluating Decision Trees, Random Forests, Neural Networks, and SVM, highlighting the importance of selecting appropriate models to enhance decision-making in banking and finance.</w:t>
      </w:r>
    </w:p>
    <w:p>
      <w:r>
        <w:rPr>
          <w:sz w:val="12"/>
          <w:szCs w:val="12"/>
        </w:rPr>
        <w:t xml:space="preserve"/>
      </w:r>
    </w:p>
    <w:p>
      <w:pPr>
        <w:spacing w:before="160" w:after="60"/>
        <w:jc w:val="left"/>
      </w:pPr>
      <w:r>
        <w:rPr>
          <w:rFonts w:ascii="Times New Roman" w:cs="Times New Roman" w:eastAsia="Times New Roman" w:hAnsi="Times New Roman"/>
          <w:b/>
          <w:bCs/>
          <w:caps/>
          <w:sz w:val="20"/>
          <w:szCs w:val="20"/>
        </w:rPr>
        <w:t xml:space="preserve">III. Methodology</w:t>
      </w:r>
    </w:p>
    <w:p>
      <w:pPr>
        <w:spacing w:line="240" w:before="40" w:after="40"/>
        <w:jc w:val="both"/>
      </w:pPr>
      <w:r>
        <w:rPr>
          <w:rFonts w:ascii="Times New Roman" w:cs="Times New Roman" w:eastAsia="Times New Roman" w:hAnsi="Times New Roman"/>
          <w:sz w:val="18"/>
          <w:szCs w:val="18"/>
        </w:rPr>
        <w:t xml:space="preserve">In this project, we have designed two primary modules: User Module and System Module, incorporating various technologies for accurate bankruptcy prediction.</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1. System Module</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Dataset Creation:</w:t>
      </w:r>
    </w:p>
    <w:p>
      <w:pPr>
        <w:pStyle w:val="ListParagraph"/>
        <w:numPr>
          <w:ilvl w:val="0"/>
          <w:numId w:val="3"/>
        </w:numPr>
        <w:spacing w:line="240" w:before="20" w:after="20"/>
      </w:pPr>
      <w:r>
        <w:rPr>
          <w:rFonts w:ascii="Times New Roman" w:cs="Times New Roman" w:eastAsia="Times New Roman" w:hAnsi="Times New Roman"/>
          <w:sz w:val="18"/>
          <w:szCs w:val="18"/>
        </w:rPr>
        <w:t xml:space="preserve">The TEJ dataset consists of financial records of companies listed on Taiwan Stock Exchange (1999–2009), including 95 financial indicators covering liquidity, profitability, leverage, and solvency ratios.</w:t>
      </w:r>
    </w:p>
    <w:p>
      <w:pPr>
        <w:pStyle w:val="ListParagraph"/>
        <w:numPr>
          <w:ilvl w:val="0"/>
          <w:numId w:val="3"/>
        </w:numPr>
        <w:spacing w:line="240" w:before="20" w:after="20"/>
      </w:pPr>
      <w:r>
        <w:rPr>
          <w:rFonts w:ascii="Times New Roman" w:cs="Times New Roman" w:eastAsia="Times New Roman" w:hAnsi="Times New Roman"/>
          <w:sz w:val="18"/>
          <w:szCs w:val="18"/>
        </w:rPr>
        <w:t xml:space="preserve">Data is collected from market databases and company filings for training the bankruptcy prediction model.</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Pre-processing:</w:t>
      </w:r>
    </w:p>
    <w:p>
      <w:pPr>
        <w:pStyle w:val="ListParagraph"/>
        <w:numPr>
          <w:ilvl w:val="0"/>
          <w:numId w:val="3"/>
        </w:numPr>
        <w:spacing w:line="240" w:before="20" w:after="20"/>
      </w:pPr>
      <w:r>
        <w:rPr>
          <w:rFonts w:ascii="Times New Roman" w:cs="Times New Roman" w:eastAsia="Times New Roman" w:hAnsi="Times New Roman"/>
          <w:sz w:val="18"/>
          <w:szCs w:val="18"/>
        </w:rPr>
        <w:t xml:space="preserve">Handles missing values via median imputation, normalizes numerical values using Min-Max scaling, and removes redundant financial indicators.</w:t>
      </w:r>
    </w:p>
    <w:p>
      <w:pPr>
        <w:pStyle w:val="ListParagraph"/>
        <w:numPr>
          <w:ilvl w:val="0"/>
          <w:numId w:val="3"/>
        </w:numPr>
        <w:spacing w:line="240" w:before="20" w:after="20"/>
      </w:pPr>
      <w:r>
        <w:rPr>
          <w:rFonts w:ascii="Times New Roman" w:cs="Times New Roman" w:eastAsia="Times New Roman" w:hAnsi="Times New Roman"/>
          <w:sz w:val="18"/>
          <w:szCs w:val="18"/>
        </w:rPr>
        <w:t xml:space="preserve">Feature selection using Genetic Algorithm (GA) and Particle Swarm Optimization (PSO) for hyperparameter tuning are applied. Class imbalance handled using SMOTE oversampling.</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Training:</w:t>
      </w:r>
    </w:p>
    <w:p>
      <w:pPr>
        <w:pStyle w:val="ListParagraph"/>
        <w:numPr>
          <w:ilvl w:val="0"/>
          <w:numId w:val="3"/>
        </w:numPr>
        <w:spacing w:line="240" w:before="20" w:after="20"/>
      </w:pPr>
      <w:r>
        <w:rPr>
          <w:rFonts w:ascii="Times New Roman" w:cs="Times New Roman" w:eastAsia="Times New Roman" w:hAnsi="Times New Roman"/>
          <w:sz w:val="18"/>
          <w:szCs w:val="18"/>
        </w:rPr>
        <w:t xml:space="preserve">The pre-processed dataset is used to train machine learning models including Random Forest, Decision Tree, and Logistic Regression.</w:t>
      </w:r>
    </w:p>
    <w:p>
      <w:pPr>
        <w:pStyle w:val="ListParagraph"/>
        <w:numPr>
          <w:ilvl w:val="0"/>
          <w:numId w:val="3"/>
        </w:numPr>
        <w:spacing w:line="240" w:before="20" w:after="20"/>
      </w:pPr>
      <w:r>
        <w:rPr>
          <w:rFonts w:ascii="Times New Roman" w:cs="Times New Roman" w:eastAsia="Times New Roman" w:hAnsi="Times New Roman"/>
          <w:sz w:val="18"/>
          <w:szCs w:val="18"/>
        </w:rPr>
        <w:t xml:space="preserve">Hyperparameter tuning is performed using Genetic Algorithm (GA) for feature selection and Particle Swarm Optimization (PSO) for optimizing Random Forest parameters.</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Classification:</w:t>
      </w:r>
    </w:p>
    <w:p>
      <w:pPr>
        <w:pStyle w:val="ListParagraph"/>
        <w:numPr>
          <w:ilvl w:val="0"/>
          <w:numId w:val="3"/>
        </w:numPr>
        <w:spacing w:line="240" w:before="20" w:after="20"/>
      </w:pPr>
      <w:r>
        <w:rPr>
          <w:rFonts w:ascii="Times New Roman" w:cs="Times New Roman" w:eastAsia="Times New Roman" w:hAnsi="Times New Roman"/>
          <w:sz w:val="18"/>
          <w:szCs w:val="18"/>
        </w:rPr>
        <w:t xml:space="preserve">The trained Random Forest model classifies companies as 'Bankrupt' or 'Non-Bankrupt' based on the GA-selected optimal feature subset.</w:t>
      </w:r>
    </w:p>
    <w:p>
      <w:pPr>
        <w:pStyle w:val="ListParagraph"/>
        <w:numPr>
          <w:ilvl w:val="0"/>
          <w:numId w:val="3"/>
        </w:numPr>
        <w:spacing w:line="240" w:before="20" w:after="20"/>
      </w:pPr>
      <w:r>
        <w:rPr>
          <w:rFonts w:ascii="Times New Roman" w:cs="Times New Roman" w:eastAsia="Times New Roman" w:hAnsi="Times New Roman"/>
          <w:sz w:val="18"/>
          <w:szCs w:val="18"/>
        </w:rPr>
        <w:t xml:space="preserve">Results provide bankruptcy probability scores (High/Medium/Low risk) and financial stability assessments.</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2. User Module</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Upload Financial Data:</w:t>
      </w:r>
    </w:p>
    <w:p>
      <w:pPr>
        <w:pStyle w:val="ListParagraph"/>
        <w:numPr>
          <w:ilvl w:val="0"/>
          <w:numId w:val="3"/>
        </w:numPr>
        <w:spacing w:line="240" w:before="20" w:after="20"/>
      </w:pPr>
      <w:r>
        <w:rPr>
          <w:rFonts w:ascii="Times New Roman" w:cs="Times New Roman" w:eastAsia="Times New Roman" w:hAnsi="Times New Roman"/>
          <w:sz w:val="18"/>
          <w:szCs w:val="18"/>
        </w:rPr>
        <w:t xml:space="preserve">Users (e.g., financial analysts, investors) upload company financial reports in CSV format for bankruptcy risk assessment through the Flask web interface.</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View Prediction Results:</w:t>
      </w:r>
    </w:p>
    <w:p>
      <w:pPr>
        <w:pStyle w:val="ListParagraph"/>
        <w:numPr>
          <w:ilvl w:val="0"/>
          <w:numId w:val="3"/>
        </w:numPr>
        <w:spacing w:line="240" w:before="20" w:after="20"/>
      </w:pPr>
      <w:r>
        <w:rPr>
          <w:rFonts w:ascii="Times New Roman" w:cs="Times New Roman" w:eastAsia="Times New Roman" w:hAnsi="Times New Roman"/>
          <w:sz w:val="18"/>
          <w:szCs w:val="18"/>
        </w:rPr>
        <w:t xml:space="preserve">Users receive a bankruptcy risk score (High, Medium, Low) along with visual reports including feature importance plots, histograms, box plots, and pair plots on financial stability.</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User Login/Signup:</w:t>
      </w:r>
    </w:p>
    <w:p>
      <w:pPr>
        <w:pStyle w:val="ListParagraph"/>
        <w:numPr>
          <w:ilvl w:val="0"/>
          <w:numId w:val="3"/>
        </w:numPr>
        <w:spacing w:line="240" w:before="20" w:after="20"/>
      </w:pPr>
      <w:r>
        <w:rPr>
          <w:rFonts w:ascii="Times New Roman" w:cs="Times New Roman" w:eastAsia="Times New Roman" w:hAnsi="Times New Roman"/>
          <w:sz w:val="18"/>
          <w:szCs w:val="18"/>
        </w:rPr>
        <w:t xml:space="preserve">Secure authentication system for user access and personalized financial risk analysis with session management.</w:t>
      </w:r>
    </w:p>
    <w:p>
      <w:r>
        <w:rPr>
          <w:sz w:val="12"/>
          <w:szCs w:val="12"/>
        </w:rPr>
        <w:t xml:space="preserve"/>
      </w:r>
    </w:p>
    <w:p>
      <w:pPr>
        <w:spacing w:line="240" w:before="40" w:after="40"/>
        <w:jc w:val="both"/>
      </w:pPr>
      <w:r>
        <w:rPr>
          <w:rFonts w:ascii="Times New Roman" w:cs="Times New Roman" w:eastAsia="Times New Roman" w:hAnsi="Times New Roman"/>
          <w:b/>
          <w:bCs/>
          <w:sz w:val="18"/>
          <w:szCs w:val="18"/>
        </w:rPr>
        <w:t xml:space="preserve">Financial Data Processing:</w:t>
      </w:r>
    </w:p>
    <w:p>
      <w:pPr>
        <w:spacing w:line="240" w:before="40" w:after="40"/>
        <w:jc w:val="both"/>
      </w:pPr>
      <w:r>
        <w:rPr>
          <w:rFonts w:ascii="Times New Roman" w:cs="Times New Roman" w:eastAsia="Times New Roman" w:hAnsi="Times New Roman"/>
          <w:sz w:val="18"/>
          <w:szCs w:val="18"/>
        </w:rPr>
        <w:t xml:space="preserve">Financial data processing involves analyzing key financial ratios and economic indicators to identify bankruptcy risk patterns. Feature extraction processes financial ratios such as debt-to-equity, profitability, liquidity, and solvency metrics. Historical trends and market-based indicators are analyzed to improve risk assessment accuracy.</w:t>
      </w:r>
    </w:p>
    <w:p>
      <w:r>
        <w:rPr>
          <w:sz w:val="12"/>
          <w:szCs w:val="12"/>
        </w:rPr>
        <w:t xml:space="preserve"/>
      </w:r>
    </w:p>
    <w:p>
      <w:pPr>
        <w:spacing w:before="120" w:after="40"/>
        <w:jc w:val="left"/>
      </w:pPr>
      <w:r>
        <w:rPr>
          <w:rFonts w:ascii="Times New Roman" w:cs="Times New Roman" w:eastAsia="Times New Roman" w:hAnsi="Times New Roman"/>
          <w:b/>
          <w:bCs/>
          <w:i/>
          <w:iCs/>
          <w:sz w:val="18"/>
          <w:szCs w:val="18"/>
        </w:rPr>
        <w:t xml:space="preserve">Machine Learning &amp; AI Models</w:t>
      </w:r>
    </w:p>
    <w:p>
      <w:pPr>
        <w:spacing w:line="240" w:before="40" w:after="40"/>
        <w:jc w:val="both"/>
      </w:pPr>
      <w:r>
        <w:rPr>
          <w:rFonts w:ascii="Times New Roman" w:cs="Times New Roman" w:eastAsia="Times New Roman" w:hAnsi="Times New Roman"/>
          <w:sz w:val="18"/>
          <w:szCs w:val="18"/>
        </w:rPr>
        <w:t xml:space="preserve">Random Forest (Final Classifier): The primary classification model in BankruptcyShield Pro v2.0. Constructs multiple decision trees on bootstrapped feature subsets selected by GA and aggregates predictions through majority voting. Achieves best performance with PSO-optimized hyperparameters.</w:t>
      </w:r>
    </w:p>
    <w:p>
      <w:r>
        <w:rPr>
          <w:sz w:val="12"/>
          <w:szCs w:val="12"/>
        </w:rPr>
        <w:t xml:space="preserve"/>
      </w:r>
    </w:p>
    <w:p>
      <w:pPr>
        <w:spacing w:line="240" w:before="40" w:after="40"/>
        <w:jc w:val="both"/>
      </w:pPr>
      <w:r>
        <w:rPr>
          <w:rFonts w:ascii="Times New Roman" w:cs="Times New Roman" w:eastAsia="Times New Roman" w:hAnsi="Times New Roman"/>
          <w:sz w:val="18"/>
          <w:szCs w:val="18"/>
        </w:rPr>
        <w:t xml:space="preserve">Logistic Regression (Internal GA Evaluator): Used as the fast internal fitness function inside the Genetic Algorithm due to its computational efficiency. Enables rapid evaluation of hundreds of feature subsets across GA generations without the overhead of training full Random Forest models. Not the final prediction model.</w:t>
      </w:r>
    </w:p>
    <w:p>
      <w:r>
        <w:rPr>
          <w:sz w:val="12"/>
          <w:szCs w:val="12"/>
        </w:rPr>
        <w:t xml:space="preserve"/>
      </w:r>
    </w:p>
    <w:p>
      <w:pPr>
        <w:spacing w:line="240" w:before="40" w:after="40"/>
        <w:jc w:val="both"/>
      </w:pPr>
      <w:r>
        <w:rPr>
          <w:rFonts w:ascii="Times New Roman" w:cs="Times New Roman" w:eastAsia="Times New Roman" w:hAnsi="Times New Roman"/>
          <w:sz w:val="18"/>
          <w:szCs w:val="18"/>
        </w:rPr>
        <w:t xml:space="preserve">Decision Tree: Used as a baseline comparison model and for interpretable visualization of decision rules from financial data, helping understand which financial factors contribute most to the prediction.</w:t>
      </w:r>
    </w:p>
    <w:p>
      <w:r>
        <w:rPr>
          <w:sz w:val="12"/>
          <w:szCs w:val="12"/>
        </w:rPr>
        <w:t xml:space="preserve"/>
      </w:r>
    </w:p>
    <w:p>
      <w:pPr>
        <w:spacing w:before="120" w:after="40"/>
        <w:jc w:val="left"/>
      </w:pPr>
      <w:r>
        <w:rPr>
          <w:rFonts w:ascii="Times New Roman" w:cs="Times New Roman" w:eastAsia="Times New Roman" w:hAnsi="Times New Roman"/>
          <w:b/>
          <w:bCs/>
          <w:i/>
          <w:iCs/>
          <w:sz w:val="18"/>
          <w:szCs w:val="18"/>
        </w:rPr>
        <w:t xml:space="preserve">Algorithms Used</w:t>
      </w:r>
    </w:p>
    <w:p>
      <w:pPr>
        <w:pStyle w:val="ListParagraph"/>
        <w:numPr>
          <w:ilvl w:val="0"/>
          <w:numId w:val="4"/>
        </w:numPr>
        <w:spacing w:line="240" w:before="20" w:after="20"/>
      </w:pPr>
      <w:r>
        <w:rPr>
          <w:rFonts w:ascii="Times New Roman" w:cs="Times New Roman" w:eastAsia="Times New Roman" w:hAnsi="Times New Roman"/>
          <w:b/>
          <w:bCs/>
          <w:sz w:val="18"/>
          <w:szCs w:val="18"/>
        </w:rPr>
        <w:t xml:space="preserve">Feature Selection with Genetic Algorithm (GA): </w:t>
      </w:r>
      <w:r>
        <w:rPr>
          <w:rFonts w:ascii="Times New Roman" w:cs="Times New Roman" w:eastAsia="Times New Roman" w:hAnsi="Times New Roman"/>
          <w:sz w:val="18"/>
          <w:szCs w:val="18"/>
        </w:rPr>
        <w:t xml:space="preserve">Selects the most relevant financial indicators from 95 features using binary chromosome encoding, tournament selection, crossover, and mutation operators. Converges to optimal feature subset using LR as fast internal evaluator.</w:t>
      </w:r>
    </w:p>
    <w:p>
      <w:pPr>
        <w:pStyle w:val="ListParagraph"/>
        <w:numPr>
          <w:ilvl w:val="0"/>
          <w:numId w:val="4"/>
        </w:numPr>
        <w:spacing w:line="240" w:before="20" w:after="20"/>
      </w:pPr>
      <w:r>
        <w:rPr>
          <w:rFonts w:ascii="Times New Roman" w:cs="Times New Roman" w:eastAsia="Times New Roman" w:hAnsi="Times New Roman"/>
          <w:b/>
          <w:bCs/>
          <w:sz w:val="18"/>
          <w:szCs w:val="18"/>
        </w:rPr>
        <w:t xml:space="preserve">Particle Swarm Optimization (PSO): </w:t>
      </w:r>
      <w:r>
        <w:rPr>
          <w:rFonts w:ascii="Times New Roman" w:cs="Times New Roman" w:eastAsia="Times New Roman" w:hAnsi="Times New Roman"/>
          <w:sz w:val="18"/>
          <w:szCs w:val="18"/>
        </w:rPr>
        <w:t xml:space="preserve">Optimizes Random Forest hyperparameters (n_estimators, max_depth, min_samples_split, min_samples_leaf, max_features) through swarm-based search. Particles update positions based on personal best and global best configurations.</w:t>
      </w:r>
    </w:p>
    <w:p>
      <w:pPr>
        <w:pStyle w:val="ListParagraph"/>
        <w:numPr>
          <w:ilvl w:val="0"/>
          <w:numId w:val="4"/>
        </w:numPr>
        <w:spacing w:line="240" w:before="20" w:after="20"/>
      </w:pPr>
      <w:r>
        <w:rPr>
          <w:rFonts w:ascii="Times New Roman" w:cs="Times New Roman" w:eastAsia="Times New Roman" w:hAnsi="Times New Roman"/>
          <w:b/>
          <w:bCs/>
          <w:sz w:val="18"/>
          <w:szCs w:val="18"/>
        </w:rPr>
        <w:t xml:space="preserve">Random Forest Classifier: </w:t>
      </w:r>
      <w:r>
        <w:rPr>
          <w:rFonts w:ascii="Times New Roman" w:cs="Times New Roman" w:eastAsia="Times New Roman" w:hAnsi="Times New Roman"/>
          <w:sz w:val="18"/>
          <w:szCs w:val="18"/>
        </w:rPr>
        <w:t xml:space="preserve">Final classification model benefiting from GA-selected features and PSO-optimized hyperparameters. Robust ensemble approach that handles class imbalance and provides built-in feature importance ranking.</w:t>
      </w:r>
    </w:p>
    <w:p>
      <w:r>
        <w:rPr>
          <w:sz w:val="12"/>
          <w:szCs w:val="12"/>
        </w:rPr>
        <w:t xml:space="preserve"/>
      </w:r>
    </w:p>
    <w:p>
      <w:pPr>
        <w:spacing w:line="240" w:before="40" w:after="40"/>
        <w:jc w:val="both"/>
      </w:pPr>
      <w:r>
        <w:rPr>
          <w:rFonts w:ascii="Times New Roman" w:cs="Times New Roman" w:eastAsia="Times New Roman" w:hAnsi="Times New Roman"/>
          <w:sz w:val="18"/>
          <w:szCs w:val="18"/>
        </w:rPr>
        <w:t xml:space="preserve">This methodology ensures a robust, scalable, and efficient bankruptcy prediction system, aiding financial institutions and investors in proactive risk management.</w:t>
      </w:r>
    </w:p>
    <w:p>
      <w:r>
        <w:rPr>
          <w:sz w:val="12"/>
          <w:szCs w:val="12"/>
        </w:rPr>
        <w:t xml:space="preserve"/>
      </w:r>
    </w:p>
    <w:p>
      <w:pPr>
        <w:spacing w:before="160" w:after="60"/>
        <w:jc w:val="left"/>
      </w:pPr>
      <w:r>
        <w:rPr>
          <w:rFonts w:ascii="Times New Roman" w:cs="Times New Roman" w:eastAsia="Times New Roman" w:hAnsi="Times New Roman"/>
          <w:b/>
          <w:bCs/>
          <w:caps/>
          <w:sz w:val="20"/>
          <w:szCs w:val="20"/>
        </w:rPr>
        <w:t xml:space="preserve">IV. Result and Output</w:t>
      </w:r>
    </w:p>
    <w:p>
      <w:pPr>
        <w:spacing w:line="240" w:before="40" w:after="40"/>
        <w:jc w:val="both"/>
      </w:pPr>
      <w:r>
        <w:rPr>
          <w:rFonts w:ascii="Times New Roman" w:cs="Times New Roman" w:eastAsia="Times New Roman" w:hAnsi="Times New Roman"/>
          <w:i/>
          <w:iCs/>
          <w:color w:val="888888"/>
          <w:sz w:val="18"/>
          <w:szCs w:val="18"/>
        </w:rPr>
        <w:t xml:space="preserve">[Insert: Registration Interface screenshot]</w:t>
      </w:r>
    </w:p>
    <w:p>
      <w:r>
        <w:rPr>
          <w:sz w:val="12"/>
          <w:szCs w:val="12"/>
        </w:rPr>
        <w:t xml:space="preserve"/>
      </w:r>
    </w:p>
    <w:p>
      <w:pPr>
        <w:spacing w:line="240" w:before="40" w:after="40"/>
        <w:jc w:val="both"/>
      </w:pPr>
      <w:r>
        <w:rPr>
          <w:rFonts w:ascii="Times New Roman" w:cs="Times New Roman" w:eastAsia="Times New Roman" w:hAnsi="Times New Roman"/>
          <w:i/>
          <w:iCs/>
          <w:color w:val="888888"/>
          <w:sz w:val="18"/>
          <w:szCs w:val="18"/>
        </w:rPr>
        <w:t xml:space="preserve">[Insert: Login Module screenshot]</w:t>
      </w:r>
    </w:p>
    <w:p>
      <w:r>
        <w:rPr>
          <w:sz w:val="12"/>
          <w:szCs w:val="12"/>
        </w:rPr>
        <w:t xml:space="preserve"/>
      </w:r>
    </w:p>
    <w:p>
      <w:pPr>
        <w:spacing w:line="240" w:before="40" w:after="40"/>
        <w:jc w:val="both"/>
      </w:pPr>
      <w:r>
        <w:rPr>
          <w:rFonts w:ascii="Times New Roman" w:cs="Times New Roman" w:eastAsia="Times New Roman" w:hAnsi="Times New Roman"/>
          <w:i/>
          <w:iCs/>
          <w:color w:val="888888"/>
          <w:sz w:val="18"/>
          <w:szCs w:val="18"/>
        </w:rPr>
        <w:t xml:space="preserve">[Insert: Dataset Upload Page screenshot]</w:t>
      </w:r>
    </w:p>
    <w:p>
      <w:r>
        <w:rPr>
          <w:sz w:val="12"/>
          <w:szCs w:val="12"/>
        </w:rPr>
        <w:t xml:space="preserve"/>
      </w:r>
    </w:p>
    <w:p>
      <w:pPr>
        <w:spacing w:line="240" w:before="40" w:after="40"/>
        <w:jc w:val="both"/>
      </w:pPr>
      <w:r>
        <w:rPr>
          <w:rFonts w:ascii="Times New Roman" w:cs="Times New Roman" w:eastAsia="Times New Roman" w:hAnsi="Times New Roman"/>
          <w:i/>
          <w:iCs/>
          <w:color w:val="888888"/>
          <w:sz w:val="18"/>
          <w:szCs w:val="18"/>
        </w:rPr>
        <w:t xml:space="preserve">[Insert: Prediction Page screenshot]</w:t>
      </w:r>
    </w:p>
    <w:p>
      <w:r>
        <w:rPr>
          <w:sz w:val="12"/>
          <w:szCs w:val="12"/>
        </w:rPr>
        <w:t xml:space="preserve"/>
      </w:r>
    </w:p>
    <w:p>
      <w:pPr>
        <w:spacing w:line="240" w:before="40" w:after="40"/>
        <w:jc w:val="both"/>
      </w:pPr>
      <w:r>
        <w:rPr>
          <w:rFonts w:ascii="Times New Roman" w:cs="Times New Roman" w:eastAsia="Times New Roman" w:hAnsi="Times New Roman"/>
          <w:i/>
          <w:iCs/>
          <w:color w:val="888888"/>
          <w:sz w:val="18"/>
          <w:szCs w:val="18"/>
        </w:rPr>
        <w:t xml:space="preserve">[Insert: Feature Importance plot, Box plot, Histogram, Pair plot visualizations]</w:t>
      </w:r>
    </w:p>
    <w:p>
      <w:r>
        <w:rPr>
          <w:sz w:val="12"/>
          <w:szCs w:val="12"/>
        </w:rPr>
        <w:t xml:space="preserve"/>
      </w:r>
    </w:p>
    <w:p>
      <w:pPr>
        <w:spacing w:before="120" w:after="40"/>
        <w:jc w:val="left"/>
      </w:pPr>
      <w:r>
        <w:rPr>
          <w:rFonts w:ascii="Times New Roman" w:cs="Times New Roman" w:eastAsia="Times New Roman" w:hAnsi="Times New Roman"/>
          <w:b/>
          <w:bCs/>
          <w:i/>
          <w:iCs/>
          <w:sz w:val="18"/>
          <w:szCs w:val="18"/>
        </w:rPr>
        <w:t xml:space="preserve">Performance Comparison</w:t>
      </w:r>
    </w:p>
    <w:p>
      <w:r>
        <w:rPr>
          <w:sz w:val="12"/>
          <w:szCs w:val="12"/>
        </w:rPr>
        <w:t xml:space="preserve"/>
      </w:r>
    </w:p>
    <w:tbl>
      <w:tblPr>
        <w:tblW w:type="dxa" w:w="4230"/>
        <w:tblBorders>
          <w:top w:val="single" w:color="auto" w:sz="4"/>
          <w:left w:val="single" w:color="auto" w:sz="4"/>
          <w:bottom w:val="single" w:color="auto" w:sz="4"/>
          <w:right w:val="single" w:color="auto" w:sz="4"/>
          <w:insideH w:val="single" w:color="auto" w:sz="4"/>
          <w:insideV w:val="single" w:color="auto" w:sz="4"/>
        </w:tblBorders>
      </w:tblPr>
      <w:tblGrid>
        <w:gridCol w:w="1800"/>
        <w:gridCol w:w="810"/>
        <w:gridCol w:w="810"/>
        <w:gridCol w:w="810"/>
        <w:gridCol w:w="810"/>
      </w:tblGrid>
      <w:tr>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Model</w:t>
            </w:r>
          </w:p>
        </w:tc>
        <w:tc>
          <w:tcPr>
            <w:tcW w:type="dxa" w:w="81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Acc (%)</w:t>
            </w:r>
          </w:p>
        </w:tc>
        <w:tc>
          <w:tcPr>
            <w:tcW w:type="dxa" w:w="81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Prec</w:t>
            </w:r>
          </w:p>
        </w:tc>
        <w:tc>
          <w:tcPr>
            <w:tcW w:type="dxa" w:w="81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Recall</w:t>
            </w:r>
          </w:p>
        </w:tc>
        <w:tc>
          <w:tcPr>
            <w:tcW w:type="dxa" w:w="81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F1</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Logistic Regression</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Decision Tree</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Random Forest (Default)</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GA + RF</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BankruptcyShield Pro (GA+PSO+RF)</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c>
          <w:tcPr>
            <w:tcW w:type="dxa" w:w="8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[X.XX]</w:t>
            </w:r>
          </w:p>
        </w:tc>
      </w:tr>
    </w:tbl>
    <w:p>
      <w:r>
        <w:rPr>
          <w:sz w:val="12"/>
          <w:szCs w:val="12"/>
        </w:rPr>
        <w:t xml:space="preserve"/>
      </w:r>
    </w:p>
    <w:p>
      <w:pPr>
        <w:jc w:val="center"/>
      </w:pPr>
      <w:r>
        <w:rPr>
          <w:rFonts w:ascii="Times New Roman" w:cs="Times New Roman" w:eastAsia="Times New Roman" w:hAnsi="Times New Roman"/>
          <w:i/>
          <w:iCs/>
          <w:sz w:val="16"/>
          <w:szCs w:val="16"/>
        </w:rPr>
        <w:t xml:space="preserve">Table I: Comparative Model Performance on TEJ Dataset</w:t>
      </w:r>
    </w:p>
    <w:p>
      <w:r>
        <w:rPr>
          <w:sz w:val="12"/>
          <w:szCs w:val="12"/>
        </w:rPr>
        <w:t xml:space="preserve"/>
      </w:r>
    </w:p>
    <w:p>
      <w:pPr>
        <w:spacing w:line="240" w:before="40" w:after="40"/>
        <w:jc w:val="both"/>
      </w:pPr>
      <w:r>
        <w:rPr>
          <w:rFonts w:ascii="Times New Roman" w:cs="Times New Roman" w:eastAsia="Times New Roman" w:hAnsi="Times New Roman"/>
          <w:sz w:val="18"/>
          <w:szCs w:val="18"/>
        </w:rPr>
        <w:t xml:space="preserve">The GA model achieved optimal performance with [M] selected features from the original 95. PSO-tuned hyperparameters further improved the Random Forest accuracy by [X.X]% over the default configuration. BankruptcyShield Pro v2.0 (GA+PSO+RF) outperforms all baselines across all evaluation metrics.</w:t>
      </w:r>
    </w:p>
    <w:p>
      <w:r>
        <w:rPr>
          <w:sz w:val="12"/>
          <w:szCs w:val="12"/>
        </w:rPr>
        <w:t xml:space="preserve"/>
      </w:r>
    </w:p>
    <w:p>
      <w:pPr>
        <w:spacing w:before="120" w:after="40"/>
        <w:jc w:val="left"/>
      </w:pPr>
      <w:r>
        <w:rPr>
          <w:rFonts w:ascii="Times New Roman" w:cs="Times New Roman" w:eastAsia="Times New Roman" w:hAnsi="Times New Roman"/>
          <w:b/>
          <w:bCs/>
          <w:i/>
          <w:iCs/>
          <w:sz w:val="18"/>
          <w:szCs w:val="18"/>
        </w:rPr>
        <w:t xml:space="preserve">Test Case Model</w:t>
      </w:r>
    </w:p>
    <w:p>
      <w:r>
        <w:rPr>
          <w:sz w:val="12"/>
          <w:szCs w:val="12"/>
        </w:rPr>
        <w:t xml:space="preserve"/>
      </w:r>
    </w:p>
    <w:p>
      <w:pPr>
        <w:spacing w:before="160" w:after="60"/>
        <w:jc w:val="left"/>
      </w:pPr>
      <w:r>
        <w:rPr>
          <w:rFonts w:ascii="Times New Roman" w:cs="Times New Roman" w:eastAsia="Times New Roman" w:hAnsi="Times New Roman"/>
          <w:b/>
          <w:bCs/>
          <w:caps/>
          <w:sz w:val="20"/>
          <w:szCs w:val="20"/>
        </w:rPr>
        <w:t xml:space="preserve">V. Conclusion and Future Scope</w:t>
      </w:r>
    </w:p>
    <w:p>
      <w:pPr>
        <w:spacing w:line="240" w:before="40" w:after="40"/>
        <w:jc w:val="both"/>
      </w:pPr>
      <w:r>
        <w:rPr>
          <w:rFonts w:ascii="Times New Roman" w:cs="Times New Roman" w:eastAsia="Times New Roman" w:hAnsi="Times New Roman"/>
          <w:sz w:val="18"/>
          <w:szCs w:val="18"/>
        </w:rPr>
        <w:t xml:space="preserve">Predicting bankruptcy is vital for assessing the financial health and sustainability of companies. BankruptcyShield Pro v2.0 explores two powerful optimization techniques — Genetic Algorithm (GA) and Particle Swarm Optimization (PSO) — integrated with Random Forest to enhance bankruptcy prediction accuracy on the Taiwan Economic Journal dataset.</w:t>
      </w:r>
    </w:p>
    <w:p>
      <w:r>
        <w:rPr>
          <w:sz w:val="12"/>
          <w:szCs w:val="12"/>
        </w:rPr>
        <w:t xml:space="preserve"/>
      </w:r>
    </w:p>
    <w:p>
      <w:pPr>
        <w:spacing w:line="240" w:before="40" w:after="40"/>
        <w:jc w:val="both"/>
      </w:pPr>
      <w:r>
        <w:rPr>
          <w:rFonts w:ascii="Times New Roman" w:cs="Times New Roman" w:eastAsia="Times New Roman" w:hAnsi="Times New Roman"/>
          <w:sz w:val="18"/>
          <w:szCs w:val="18"/>
        </w:rPr>
        <w:t xml:space="preserve">The GA model, optimized for feature selection, achieved impressive accuracy with [M] selected features from the original 95 financial indicators. The PSO model, fine-tuned for Random Forest hyperparameters, showed significant improvements in prediction precision. Both optimization techniques successfully handled large datasets with missing values and imbalanced classes. The combination of GA and PSO marks a significant contribution to predictive analytics in finance.</w:t>
      </w:r>
    </w:p>
    <w:p>
      <w:r>
        <w:rPr>
          <w:sz w:val="12"/>
          <w:szCs w:val="12"/>
        </w:rPr>
        <w:t xml:space="preserve"/>
      </w:r>
    </w:p>
    <w:p>
      <w:pPr>
        <w:spacing w:line="240" w:before="40" w:after="40"/>
        <w:jc w:val="both"/>
      </w:pPr>
      <w:r>
        <w:rPr>
          <w:rFonts w:ascii="Times New Roman" w:cs="Times New Roman" w:eastAsia="Times New Roman" w:hAnsi="Times New Roman"/>
          <w:sz w:val="18"/>
          <w:szCs w:val="18"/>
        </w:rPr>
        <w:t xml:space="preserve">The visual analytics through the Flask-based web application proved essential for presenting results, providing users with interactive plots and insights into bankruptcy risks. Future work will explore: (1) extending to other financial markets (American, European); (2) incorporating LSTM for time-series analysis; (3) integrating SHAP for model explainability; and (4) cloud-based API deployment.</w:t>
      </w:r>
    </w:p>
    <w:p>
      <w:r>
        <w:rPr>
          <w:sz w:val="12"/>
          <w:szCs w:val="12"/>
        </w:rPr>
        <w:t xml:space="preserve"/>
      </w:r>
    </w:p>
    <w:p>
      <w:pPr>
        <w:spacing w:before="160" w:after="60"/>
        <w:jc w:val="left"/>
      </w:pPr>
      <w:r>
        <w:rPr>
          <w:rFonts w:ascii="Times New Roman" w:cs="Times New Roman" w:eastAsia="Times New Roman" w:hAnsi="Times New Roman"/>
          <w:b/>
          <w:bCs/>
          <w:caps/>
          <w:sz w:val="20"/>
          <w:szCs w:val="20"/>
        </w:rPr>
        <w:t xml:space="preserve">VI. References</w:t>
      </w:r>
    </w:p>
    <w:p>
      <w:pPr>
        <w:spacing w:before="40" w:after="40" w:line="220"/>
      </w:pPr>
      <w:r>
        <w:rPr>
          <w:rFonts w:ascii="Times New Roman" w:cs="Times New Roman" w:eastAsia="Times New Roman" w:hAnsi="Times New Roman"/>
          <w:sz w:val="16"/>
          <w:szCs w:val="16"/>
        </w:rPr>
        <w:t xml:space="preserve">[1] S. Shetty, M. Musa, and X. Brédart, "Bankruptcy prediction using machine learning techniques," J. Risk Financial Manage., vol. 15, no. 1, p. 35, Jan. 2022, doi:10.3390/jrfm15010035.</w:t>
      </w:r>
    </w:p>
    <w:p>
      <w:pPr>
        <w:spacing w:before="40" w:after="40" w:line="220"/>
      </w:pPr>
      <w:r>
        <w:rPr>
          <w:rFonts w:ascii="Times New Roman" w:cs="Times New Roman" w:eastAsia="Times New Roman" w:hAnsi="Times New Roman"/>
          <w:sz w:val="16"/>
          <w:szCs w:val="16"/>
        </w:rPr>
        <w:t xml:space="preserve">[2] Y. Shi and X. Li, "An overview of bankruptcy prediction models for corporate firms: A systematic literature review," Intangible Capital, vol. 15, no. 2, p. 114, Oct. 2019.</w:t>
      </w:r>
    </w:p>
    <w:p>
      <w:pPr>
        <w:spacing w:before="40" w:after="40" w:line="220"/>
      </w:pPr>
      <w:r>
        <w:rPr>
          <w:rFonts w:ascii="Times New Roman" w:cs="Times New Roman" w:eastAsia="Times New Roman" w:hAnsi="Times New Roman"/>
          <w:sz w:val="16"/>
          <w:szCs w:val="16"/>
        </w:rPr>
        <w:t xml:space="preserve">[3] T. M. Alam, K. Shaukat, M. Mushtaq, et al., "Corporate bankruptcy prediction: An approach towards better corporate world," Comput. J., vol. 64, no. 11, pp. 1731–1746, Nov. 2019.</w:t>
      </w:r>
    </w:p>
    <w:p>
      <w:pPr>
        <w:spacing w:before="40" w:after="40" w:line="220"/>
      </w:pPr>
      <w:r>
        <w:rPr>
          <w:rFonts w:ascii="Times New Roman" w:cs="Times New Roman" w:eastAsia="Times New Roman" w:hAnsi="Times New Roman"/>
          <w:sz w:val="16"/>
          <w:szCs w:val="16"/>
        </w:rPr>
        <w:t xml:space="preserve">[4] G. Perboli and E. Arabnezhad, "A machine learning-based DSS for mid and long-term company crisis prediction," Expert Syst. Appl., vol. 174, Jul. 2021, Art. no. 114758.</w:t>
      </w:r>
    </w:p>
    <w:p>
      <w:pPr>
        <w:spacing w:before="40" w:after="40" w:line="220"/>
      </w:pPr>
      <w:r>
        <w:rPr>
          <w:rFonts w:ascii="Times New Roman" w:cs="Times New Roman" w:eastAsia="Times New Roman" w:hAnsi="Times New Roman"/>
          <w:sz w:val="16"/>
          <w:szCs w:val="16"/>
        </w:rPr>
        <w:t xml:space="preserve">[5] D. Boughaci and A. A. K. Alkhawaldeh, "Appropriate machine learning techniques for credit scoring and bankruptcy prediction in banking and finance," Risk Decis. Anal., vol. 8, nos. 1–2, pp. 15–24, May 2020.</w:t>
      </w:r>
    </w:p>
    <w:p>
      <w:pPr>
        <w:spacing w:before="40" w:after="40" w:line="220"/>
      </w:pPr>
      <w:r>
        <w:rPr>
          <w:rFonts w:ascii="Times New Roman" w:cs="Times New Roman" w:eastAsia="Times New Roman" w:hAnsi="Times New Roman"/>
          <w:sz w:val="16"/>
          <w:szCs w:val="16"/>
        </w:rPr>
        <w:t xml:space="preserve">[6] T. Le, "A comprehensive survey of imbalanced learning methods for bankruptcy prediction," IET Commun., vol. 16, no. 5, pp. 433–441, Mar. 2022.</w:t>
      </w:r>
    </w:p>
    <w:p>
      <w:pPr>
        <w:spacing w:before="40" w:after="40" w:line="220"/>
      </w:pPr>
      <w:r>
        <w:rPr>
          <w:rFonts w:ascii="Times New Roman" w:cs="Times New Roman" w:eastAsia="Times New Roman" w:hAnsi="Times New Roman"/>
          <w:sz w:val="16"/>
          <w:szCs w:val="16"/>
        </w:rPr>
        <w:t xml:space="preserve">[7] C. Tsai, "Two-stage hybrid learning techniques for bankruptcy prediction," Stat. Anal. Data Mining, vol. 13, no. 6, pp. 565–572, Dec. 2020.</w:t>
      </w:r>
    </w:p>
    <w:p>
      <w:pPr>
        <w:spacing w:before="40" w:after="40" w:line="220"/>
      </w:pPr>
      <w:r>
        <w:rPr>
          <w:rFonts w:ascii="Times New Roman" w:cs="Times New Roman" w:eastAsia="Times New Roman" w:hAnsi="Times New Roman"/>
          <w:sz w:val="16"/>
          <w:szCs w:val="16"/>
        </w:rPr>
        <w:t xml:space="preserve">[8] D. Veganzones and E. Séverin, "An investigation of bankruptcy prediction in imbalanced datasets," Decis. Support Syst., vol. 112, pp. 111–124, Aug. 2018.</w:t>
      </w:r>
    </w:p>
    <w:p>
      <w:pPr>
        <w:spacing w:before="40" w:after="40" w:line="220"/>
      </w:pPr>
      <w:r>
        <w:rPr>
          <w:rFonts w:ascii="Times New Roman" w:cs="Times New Roman" w:eastAsia="Times New Roman" w:hAnsi="Times New Roman"/>
          <w:sz w:val="16"/>
          <w:szCs w:val="16"/>
        </w:rPr>
        <w:t xml:space="preserve">[9] J. Kennedy and R. Eberhart, "Particle Swarm Optimization," in Proc. IEEE ICNN, Perth, 1995, pp. 1942–1948.</w:t>
      </w:r>
    </w:p>
    <w:p>
      <w:pPr>
        <w:spacing w:before="40" w:after="40" w:line="220"/>
      </w:pPr>
      <w:r>
        <w:rPr>
          <w:rFonts w:ascii="Times New Roman" w:cs="Times New Roman" w:eastAsia="Times New Roman" w:hAnsi="Times New Roman"/>
          <w:sz w:val="16"/>
          <w:szCs w:val="16"/>
        </w:rPr>
        <w:t xml:space="preserve">[10] L. Breiman, "Random Forests," Machine Learning, vol. 45, no. 1, pp. 5–32, 2001.</w:t>
      </w:r>
    </w:p>
    <w:p>
      <w:pPr>
        <w:sectPr>
          <w:pgSz w:w="12240" w:h="15840" w:orient="portrait"/>
          <w:pgMar w:top="1080" w:right="1080" w:bottom="1080" w:left="1080" w:header="708" w:footer="708" w:gutter="0"/>
          <w:pgNumType/>
          <w:cols w:space="720" w:num="2" w:equalWidth="true"/>
          <w:docGrid w:linePitch="360"/>
        </w:sectPr>
      </w:pPr>
    </w:p>
    <w:p>
      <w:pPr>
        <w:spacing w:before="80" w:after="60"/>
        <w:jc w:val="center"/>
      </w:pPr>
      <w:r>
        <w:rPr>
          <w:rFonts w:ascii="Times New Roman" w:cs="Times New Roman" w:eastAsia="Times New Roman" w:hAnsi="Times New Roman"/>
          <w:b/>
          <w:bCs/>
          <w:sz w:val="18"/>
          <w:szCs w:val="18"/>
        </w:rPr>
        <w:t xml:space="preserve">Table II: Test Case Model</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720"/>
        <w:gridCol w:w="1000"/>
        <w:gridCol w:w="1000"/>
        <w:gridCol w:w="400"/>
      </w:tblGrid>
      <w:tr>
        <w:tc>
          <w:tcPr>
            <w:tcW w:type="dxa" w:w="4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S.No</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Test Case</w:t>
            </w:r>
          </w:p>
        </w:tc>
        <w:tc>
          <w:tcPr>
            <w:tcW w:type="dxa" w:w="7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I/O</w:t>
            </w:r>
          </w:p>
        </w:tc>
        <w:tc>
          <w:tcPr>
            <w:tcW w:type="dxa" w:w="1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Expected O/T</w:t>
            </w:r>
          </w:p>
        </w:tc>
        <w:tc>
          <w:tcPr>
            <w:tcW w:type="dxa" w:w="1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Actual O/T</w:t>
            </w:r>
          </w:p>
        </w:tc>
        <w:tc>
          <w:tcPr>
            <w:tcW w:type="dxa" w:w="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P/F</w:t>
            </w:r>
          </w:p>
        </w:tc>
      </w:tr>
      <w:tr>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Read the dataset</w:t>
            </w:r>
          </w:p>
        </w:tc>
        <w:tc>
          <w:tcPr>
            <w:tcW w:type="dxa" w:w="7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Dataset path</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Dataset read successfully</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Dataset fetched successfully</w:t>
            </w:r>
          </w:p>
        </w:tc>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w:t>
            </w:r>
          </w:p>
        </w:tc>
      </w:tr>
      <w:tr>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2</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Pre-processing</w:t>
            </w:r>
          </w:p>
        </w:tc>
        <w:tc>
          <w:tcPr>
            <w:tcW w:type="dxa" w:w="7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Raw dataset</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Pre-processing performed</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Pre-processing completed</w:t>
            </w:r>
          </w:p>
        </w:tc>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w:t>
            </w:r>
          </w:p>
        </w:tc>
      </w:tr>
      <w:tr>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GA Feature Selection</w:t>
            </w:r>
          </w:p>
        </w:tc>
        <w:tc>
          <w:tcPr>
            <w:tcW w:type="dxa" w:w="7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95 features</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Optimal subset selected</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Feature subset obtained</w:t>
            </w:r>
          </w:p>
        </w:tc>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w:t>
            </w:r>
          </w:p>
        </w:tc>
      </w:tr>
      <w:tr>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PSO Hyperparameter Tuning</w:t>
            </w:r>
          </w:p>
        </w:tc>
        <w:tc>
          <w:tcPr>
            <w:tcW w:type="dxa" w:w="7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RF model</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Optimized params found</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Params optimized</w:t>
            </w:r>
          </w:p>
        </w:tc>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w:t>
            </w:r>
          </w:p>
        </w:tc>
      </w:tr>
      <w:tr>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Model Building</w:t>
            </w:r>
          </w:p>
        </w:tc>
        <w:tc>
          <w:tcPr>
            <w:tcW w:type="dxa" w:w="7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Clean data</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Model created</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Model created successfully</w:t>
            </w:r>
          </w:p>
        </w:tc>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w:t>
            </w:r>
          </w:p>
        </w:tc>
      </w:tr>
      <w:tr>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6</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Bankruptcy Detection</w:t>
            </w:r>
          </w:p>
        </w:tc>
        <w:tc>
          <w:tcPr>
            <w:tcW w:type="dxa" w:w="7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Input data</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Output prediction</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Prediction returned</w:t>
            </w:r>
          </w:p>
        </w:tc>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P</w:t>
            </w:r>
          </w:p>
        </w:tc>
      </w:tr>
    </w:tbl>
    <w:p>
      <w:r>
        <w:rPr>
          <w:sz w:val="12"/>
          <w:szCs w:val="12"/>
        </w:rPr>
        <w:t xml:space="preserve"/>
      </w:r>
    </w:p>
    <w:sectPr>
      <w:type w:val="continuous"/>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o"/>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2026-03-20T08:44:23.683Z</dcterms:created>
  <dcterms:modified xsi:type="dcterms:W3CDTF">2026-03-20T08:44:23.685Z</dcterms:modified>
</cp:coreProperties>
</file>

<file path=docProps/custom.xml><?xml version="1.0" encoding="utf-8"?>
<Properties xmlns="http://schemas.openxmlformats.org/officeDocument/2006/custom-properties" xmlns:vt="http://schemas.openxmlformats.org/officeDocument/2006/docPropsVTypes"/>
</file>