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Intelligent Emergency Evacuation Digital Twin</w:t>
      </w:r>
    </w:p>
    <w:p>
      <w:pPr>
        <w:spacing w:after="240"/>
        <w:jc w:val="center"/>
      </w:pPr>
      <w:r>
        <w:rPr>
          <w:rFonts w:ascii="Calibri" w:hAnsi="Calibri"/>
          <w:b/>
          <w:color w:val="0284C7"/>
          <w:sz w:val="24"/>
        </w:rPr>
        <w:t>Faculty Demonstration Video Script (1.5 to 2.0 Minutes)</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Pr>
          <w:p>
            <w:pPr>
              <w:spacing w:after="0"/>
            </w:pPr>
            <w:r>
              <w:rPr>
                <w:b/>
              </w:rPr>
              <w:t xml:space="preserve">Target Duration: </w:t>
            </w:r>
            <w:r>
              <w:t xml:space="preserve">90 – 120 Seconds (1.5 – 2.0 Mins)   |   </w:t>
            </w:r>
            <w:r>
              <w:rPr>
                <w:b/>
              </w:rPr>
              <w:t xml:space="preserve">Audience: </w:t>
            </w:r>
            <w:r>
              <w:t xml:space="preserve">Faculty Project Review Committee   |   </w:t>
            </w:r>
            <w:r>
              <w:rPr>
                <w:b/>
              </w:rPr>
              <w:t xml:space="preserve">Delivery Tone: </w:t>
            </w:r>
            <w:r>
              <w:t>Academic, Crisp, Confident</w:t>
            </w:r>
          </w:p>
        </w:tc>
      </w:tr>
    </w:tbl>
    <w:p>
      <w:pPr>
        <w:spacing w:after="80"/>
      </w:pPr>
    </w:p>
    <w:p>
      <w:pPr>
        <w:spacing w:after="80"/>
      </w:pPr>
      <w:r>
        <w:rPr>
          <w:rFonts w:ascii="Calibri" w:hAnsi="Calibri"/>
          <w:b/>
          <w:color w:val="0F172A"/>
          <w:sz w:val="26"/>
        </w:rPr>
        <w:t>1. Pre-Recording Setup &amp; Best Practices</w:t>
      </w:r>
    </w:p>
    <w:p>
      <w:pPr>
        <w:pStyle w:val="ListBullet"/>
        <w:spacing w:after="60"/>
      </w:pPr>
      <w:r>
        <w:rPr>
          <w:b/>
        </w:rPr>
        <w:t xml:space="preserve">Screen Setup: </w:t>
      </w:r>
      <w:r>
        <w:t>Record at 1080p (1920×1080) in full-screen mode (press F11 in your browser) to eliminate URL bars and clutter.</w:t>
      </w:r>
    </w:p>
    <w:p>
      <w:pPr>
        <w:pStyle w:val="ListBullet"/>
        <w:spacing w:after="60"/>
      </w:pPr>
      <w:r>
        <w:rPr>
          <w:b/>
        </w:rPr>
        <w:t xml:space="preserve">Active Services: </w:t>
      </w:r>
      <w:r>
        <w:t>Ensure both the FastAPI backend (localhost:8000) and Next.js frontend (localhost:3000) are running.</w:t>
      </w:r>
    </w:p>
    <w:p>
      <w:pPr>
        <w:pStyle w:val="ListBullet"/>
        <w:spacing w:after="60"/>
      </w:pPr>
      <w:r>
        <w:rPr>
          <w:b/>
        </w:rPr>
        <w:t xml:space="preserve">Pre-run Simulation: </w:t>
      </w:r>
      <w:r>
        <w:t>Have a sample building (e.g., Academic Building) loaded with its topological graph already generated, and one comparison run completed in the background so transitions are instant.</w:t>
      </w:r>
    </w:p>
    <w:p>
      <w:pPr>
        <w:pStyle w:val="ListBullet"/>
        <w:spacing w:after="60"/>
      </w:pPr>
      <w:r>
        <w:rPr>
          <w:b/>
        </w:rPr>
        <w:t xml:space="preserve">Speech Delivery: </w:t>
      </w:r>
      <w:r>
        <w:t>Keep a deliberate pace of around 110 to 130 words per minute. Move the mouse cursor smoothly to highlight relevant features on screen.</w:t>
      </w:r>
    </w:p>
    <w:p>
      <w:pPr>
        <w:spacing w:after="120"/>
      </w:pPr>
    </w:p>
    <w:p>
      <w:pPr>
        <w:spacing w:after="120"/>
      </w:pPr>
      <w:r>
        <w:rPr>
          <w:rFonts w:ascii="Calibri" w:hAnsi="Calibri"/>
          <w:b/>
          <w:color w:val="0F172A"/>
          <w:sz w:val="26"/>
        </w:rPr>
        <w:t>2. Scene-by-Scene Video Recording Script</w:t>
      </w: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Pr>
          <w:p>
            <w:pPr>
              <w:spacing w:after="0"/>
            </w:pPr>
            <w:r>
              <w:rPr>
                <w:rFonts w:ascii="Calibri" w:hAnsi="Calibri"/>
                <w:b/>
                <w:color w:val="FFFFFF"/>
                <w:sz w:val="22"/>
              </w:rPr>
              <w:t>Scene 1: Research Motivation &amp; System Overview   |   0:00 – 0:18 (18 seconds)</w:t>
            </w:r>
          </w:p>
        </w:tc>
      </w:tr>
      <w:tr>
        <w:tc>
          <w:tcPr>
            <w:tcW w:type="dxa" w:w="10080"/>
            <w:shd w:fill="F8FAFC"/>
            <w:tcMar>
              <w:top w:w="80" w:type="dxa"/>
              <w:bottom w:w="80" w:type="dxa"/>
              <w:left w:w="140" w:type="dxa"/>
              <w:right w:w="140" w:type="dxa"/>
            </w:tcMar>
          </w:tcPr>
          <w:p>
            <w:pPr>
              <w:spacing w:after="0"/>
            </w:pPr>
            <w:r>
              <w:rPr>
                <w:b/>
                <w:color w:val="0284C7"/>
              </w:rPr>
              <w:t xml:space="preserve">Screen / Visual Action: </w:t>
            </w:r>
            <w:r>
              <w:t>[Dashboard (/)]  Start on the Dashboard. Point briefly to system telemetry metrics. Then click to open the Academic Building in the Editor.</w:t>
            </w:r>
          </w:p>
        </w:tc>
      </w:tr>
      <w:tr>
        <w:tc>
          <w:tcPr>
            <w:tcW w:type="dxa" w:w="10080"/>
            <w:shd w:fill="ECFDF5"/>
            <w:tcMar>
              <w:top w:w="50" w:type="dxa"/>
              <w:bottom w:w="30" w:type="dxa"/>
              <w:left w:w="140" w:type="dxa"/>
              <w:right w:w="140" w:type="dxa"/>
            </w:tcMar>
          </w:tcPr>
          <w:p>
            <w:pPr>
              <w:spacing w:after="0"/>
            </w:pPr>
            <w:r>
              <w:rPr>
                <w:b/>
                <w:color w:val="059669"/>
              </w:rPr>
              <w:t>Voiceover Narration (Spoken Word):</w:t>
            </w:r>
          </w:p>
        </w:tc>
      </w:tr>
      <w:tr>
        <w:tc>
          <w:tcPr>
            <w:tcW w:type="dxa" w:w="10080"/>
            <w:shd w:fill="F0FDF4"/>
            <w:tcMar>
              <w:top w:w="40" w:type="dxa"/>
              <w:bottom w:w="90" w:type="dxa"/>
              <w:left w:w="140" w:type="dxa"/>
              <w:right w:w="140" w:type="dxa"/>
            </w:tcMar>
          </w:tcPr>
          <w:p>
            <w:pPr>
              <w:spacing w:after="0"/>
            </w:pPr>
            <w:r>
              <w:rPr>
                <w:rFonts w:ascii="Calibri" w:hAnsi="Calibri"/>
                <w:i/>
                <w:color w:val="0F172A"/>
                <w:sz w:val="20"/>
              </w:rPr>
              <w:t>"Respected faculty members, welcome to our demonstration of the Intelligent Emergency Evacuation Digital Twin.</w:t>
              <w:br/>
              <w:br/>
              <w:t>During indoor building disasters, conventional static exit signs direct people to the nearest exit regardless of evolving conditions—causing dangerous crowd bottlenecks and routing evacuees directly into advancing smoke or fire. Our project solves this through a high-fidelity digital twin that calculates dynamic, hazard-aware, and predictive load-balanced evacuation paths in real time."</w:t>
            </w:r>
          </w:p>
        </w:tc>
      </w:tr>
    </w:tbl>
    <w:p>
      <w:pPr>
        <w:spacing w:after="100"/>
      </w:pP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Pr>
          <w:p>
            <w:pPr>
              <w:spacing w:after="0"/>
            </w:pPr>
            <w:r>
              <w:rPr>
                <w:rFonts w:ascii="Calibri" w:hAnsi="Calibri"/>
                <w:b/>
                <w:color w:val="FFFFFF"/>
                <w:sz w:val="22"/>
              </w:rPr>
              <w:t>Scene 2: Spatial Graph Generation &amp; 3D Digital Twin Viewport   |   0:18 – 0:45 (27 seconds)</w:t>
            </w:r>
          </w:p>
        </w:tc>
      </w:tr>
      <w:tr>
        <w:tc>
          <w:tcPr>
            <w:tcW w:type="dxa" w:w="10080"/>
            <w:shd w:fill="F8FAFC"/>
            <w:tcMar>
              <w:top w:w="80" w:type="dxa"/>
              <w:bottom w:w="80" w:type="dxa"/>
              <w:left w:w="140" w:type="dxa"/>
              <w:right w:w="140" w:type="dxa"/>
            </w:tcMar>
          </w:tcPr>
          <w:p>
            <w:pPr>
              <w:spacing w:after="0"/>
            </w:pPr>
            <w:r>
              <w:rPr>
                <w:b/>
                <w:color w:val="0284C7"/>
              </w:rPr>
              <w:t xml:space="preserve">Screen / Visual Action: </w:t>
            </w:r>
            <w:r>
              <w:t>[Building Editor (/editor)]  Display the 2D floor plan showing rooms, corridors, and exits. Click "Show Graph" to reveal the navigation graph nodes and edges. Click the 3D toggle button, rotate the 3D building view smoothly for 3 seconds, then return to 2D.</w:t>
            </w:r>
          </w:p>
        </w:tc>
      </w:tr>
      <w:tr>
        <w:tc>
          <w:tcPr>
            <w:tcW w:type="dxa" w:w="10080"/>
            <w:shd w:fill="ECFDF5"/>
            <w:tcMar>
              <w:top w:w="50" w:type="dxa"/>
              <w:bottom w:w="30" w:type="dxa"/>
              <w:left w:w="140" w:type="dxa"/>
              <w:right w:w="140" w:type="dxa"/>
            </w:tcMar>
          </w:tcPr>
          <w:p>
            <w:pPr>
              <w:spacing w:after="0"/>
            </w:pPr>
            <w:r>
              <w:rPr>
                <w:b/>
                <w:color w:val="059669"/>
              </w:rPr>
              <w:t>Voiceover Narration (Spoken Word):</w:t>
            </w:r>
          </w:p>
        </w:tc>
      </w:tr>
      <w:tr>
        <w:tc>
          <w:tcPr>
            <w:tcW w:type="dxa" w:w="10080"/>
            <w:shd w:fill="F0FDF4"/>
            <w:tcMar>
              <w:top w:w="40" w:type="dxa"/>
              <w:bottom w:w="90" w:type="dxa"/>
              <w:left w:w="140" w:type="dxa"/>
              <w:right w:w="140" w:type="dxa"/>
            </w:tcMar>
          </w:tcPr>
          <w:p>
            <w:pPr>
              <w:spacing w:after="0"/>
            </w:pPr>
            <w:r>
              <w:rPr>
                <w:rFonts w:ascii="Calibri" w:hAnsi="Calibri"/>
                <w:i/>
                <w:color w:val="0F172A"/>
                <w:sz w:val="20"/>
              </w:rPr>
              <w:t>"Here in our Editor, the application models complex multi-floor facilities. The architectural layout automatically compiles into a spatial topological navigation graph, where nodes represent rooms, hallways, and portals, and edges represent traversable paths.</w:t>
              <w:br/>
              <w:br/>
              <w:t>With a single click, users can toggle a synchronized 3D Digital Twin built with Three.js. This gives facility managers and first responders a comprehensive isometric view of multi-level vertical egress and structural corridors."</w:t>
            </w:r>
          </w:p>
        </w:tc>
      </w:tr>
    </w:tbl>
    <w:p>
      <w:pPr>
        <w:spacing w:after="100"/>
      </w:pP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Pr>
          <w:p>
            <w:pPr>
              <w:spacing w:after="0"/>
            </w:pPr>
            <w:r>
              <w:rPr>
                <w:rFonts w:ascii="Calibri" w:hAnsi="Calibri"/>
                <w:b/>
                <w:color w:val="FFFFFF"/>
                <w:sz w:val="22"/>
              </w:rPr>
              <w:t>Scene 3: Scenario Configurator &amp; 4-Algorithm Benchmark Race   |   0:45 – 1:12 (27 seconds)</w:t>
            </w:r>
          </w:p>
        </w:tc>
      </w:tr>
      <w:tr>
        <w:tc>
          <w:tcPr>
            <w:tcW w:type="dxa" w:w="10080"/>
            <w:shd w:fill="F8FAFC"/>
            <w:tcMar>
              <w:top w:w="80" w:type="dxa"/>
              <w:bottom w:w="80" w:type="dxa"/>
              <w:left w:w="140" w:type="dxa"/>
              <w:right w:w="140" w:type="dxa"/>
            </w:tcMar>
          </w:tcPr>
          <w:p>
            <w:pPr>
              <w:spacing w:after="0"/>
            </w:pPr>
            <w:r>
              <w:rPr>
                <w:b/>
                <w:color w:val="0284C7"/>
              </w:rPr>
              <w:t xml:space="preserve">Screen / Visual Action: </w:t>
            </w:r>
            <w:r>
              <w:t>[Scenario Configurator (/scenarios)]  Open the Scenarios page. Select "Head-to-Head Race". Highlight the occupant count slider (e.g. 30–50 agents), hazard spread rate, and the 4 algorithm cards (A, B, C, D). Click "Launch Comparative Race".</w:t>
            </w:r>
          </w:p>
        </w:tc>
      </w:tr>
      <w:tr>
        <w:tc>
          <w:tcPr>
            <w:tcW w:type="dxa" w:w="10080"/>
            <w:shd w:fill="ECFDF5"/>
            <w:tcMar>
              <w:top w:w="50" w:type="dxa"/>
              <w:bottom w:w="30" w:type="dxa"/>
              <w:left w:w="140" w:type="dxa"/>
              <w:right w:w="140" w:type="dxa"/>
            </w:tcMar>
          </w:tcPr>
          <w:p>
            <w:pPr>
              <w:spacing w:after="0"/>
            </w:pPr>
            <w:r>
              <w:rPr>
                <w:b/>
                <w:color w:val="059669"/>
              </w:rPr>
              <w:t>Voiceover Narration (Spoken Word):</w:t>
            </w:r>
          </w:p>
        </w:tc>
      </w:tr>
      <w:tr>
        <w:tc>
          <w:tcPr>
            <w:tcW w:type="dxa" w:w="10080"/>
            <w:shd w:fill="F0FDF4"/>
            <w:tcMar>
              <w:top w:w="40" w:type="dxa"/>
              <w:bottom w:w="90" w:type="dxa"/>
              <w:left w:w="140" w:type="dxa"/>
              <w:right w:w="140" w:type="dxa"/>
            </w:tcMar>
          </w:tcPr>
          <w:p>
            <w:pPr>
              <w:spacing w:after="0"/>
            </w:pPr>
            <w:r>
              <w:rPr>
                <w:rFonts w:ascii="Calibri" w:hAnsi="Calibri"/>
                <w:i/>
                <w:color w:val="0F172A"/>
                <w:sz w:val="20"/>
              </w:rPr>
              <w:t>"In the Scenario Configurator, we test and benchmark evacuation performance across four distinct algorithmic strategies:</w:t>
              <w:br/>
              <w:t>• Algorithm A is our static shortest-path baseline;</w:t>
              <w:br/>
              <w:t>• Algorithm B introduces dynamic hazard cost penalties;</w:t>
              <w:br/>
              <w:t>• Algorithm C penalizes instantaneous door congestion; and</w:t>
              <w:br/>
              <w:t>• Algorithm D—our proposed system—combines predictive exit queue forecasting with cumulative hazard avoidance.</w:t>
              <w:br/>
              <w:br/>
              <w:t>Let's launch the Head-to-Head Race to evaluate these models simultaneously."</w:t>
            </w:r>
          </w:p>
        </w:tc>
      </w:tr>
    </w:tbl>
    <w:p>
      <w:pPr>
        <w:spacing w:after="100"/>
      </w:pP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Pr>
          <w:p>
            <w:pPr>
              <w:spacing w:after="0"/>
            </w:pPr>
            <w:r>
              <w:rPr>
                <w:rFonts w:ascii="Calibri" w:hAnsi="Calibri"/>
                <w:b/>
                <w:color w:val="FFFFFF"/>
                <w:sz w:val="22"/>
              </w:rPr>
              <w:t>Scene 4: Live Simulation Playback &amp; Exit Intelligence HUD   |   1:12 – 1:42 (30 seconds)</w:t>
            </w:r>
          </w:p>
        </w:tc>
      </w:tr>
      <w:tr>
        <w:tc>
          <w:tcPr>
            <w:tcW w:type="dxa" w:w="10080"/>
            <w:shd w:fill="F8FAFC"/>
            <w:tcMar>
              <w:top w:w="80" w:type="dxa"/>
              <w:bottom w:w="80" w:type="dxa"/>
              <w:left w:w="140" w:type="dxa"/>
              <w:right w:w="140" w:type="dxa"/>
            </w:tcMar>
          </w:tcPr>
          <w:p>
            <w:pPr>
              <w:spacing w:after="0"/>
            </w:pPr>
            <w:r>
              <w:rPr>
                <w:b/>
                <w:color w:val="0284C7"/>
              </w:rPr>
              <w:t xml:space="preserve">Screen / Visual Action: </w:t>
            </w:r>
            <w:r>
              <w:t>[Simulation Playback &amp; Digital Twin HUD (/editor)]  Press Play on the simulation timeline scrubber. Show agents moving toward exits. Scrub the timeline forward and backward. Focus on the Exit Intelligence HUD on the right showing real-time queue lengths and load distribution.</w:t>
            </w:r>
          </w:p>
        </w:tc>
      </w:tr>
      <w:tr>
        <w:tc>
          <w:tcPr>
            <w:tcW w:type="dxa" w:w="10080"/>
            <w:shd w:fill="ECFDF5"/>
            <w:tcMar>
              <w:top w:w="50" w:type="dxa"/>
              <w:bottom w:w="30" w:type="dxa"/>
              <w:left w:w="140" w:type="dxa"/>
              <w:right w:w="140" w:type="dxa"/>
            </w:tcMar>
          </w:tcPr>
          <w:p>
            <w:pPr>
              <w:spacing w:after="0"/>
            </w:pPr>
            <w:r>
              <w:rPr>
                <w:b/>
                <w:color w:val="059669"/>
              </w:rPr>
              <w:t>Voiceover Narration (Spoken Word):</w:t>
            </w:r>
          </w:p>
        </w:tc>
      </w:tr>
      <w:tr>
        <w:tc>
          <w:tcPr>
            <w:tcW w:type="dxa" w:w="10080"/>
            <w:shd w:fill="F0FDF4"/>
            <w:tcMar>
              <w:top w:w="40" w:type="dxa"/>
              <w:bottom w:w="90" w:type="dxa"/>
              <w:left w:w="140" w:type="dxa"/>
              <w:right w:w="140" w:type="dxa"/>
            </w:tcMar>
          </w:tcPr>
          <w:p>
            <w:pPr>
              <w:spacing w:after="0"/>
            </w:pPr>
            <w:r>
              <w:rPr>
                <w:rFonts w:ascii="Calibri" w:hAnsi="Calibri"/>
                <w:i/>
                <w:color w:val="0F172A"/>
                <w:sz w:val="20"/>
              </w:rPr>
              <w:t>"Here is our discrete-event simulation running live. Notice our heterogeneous population: agents model adults, children, and mobility-impaired individuals with varying speeds and reaction times.</w:t>
              <w:br/>
              <w:br/>
              <w:t>Under our proposed Algorithm D, as an exit begins to congest, evacuees proactively re-route toward underutilized alternatives before severe bottlenecks form.</w:t>
              <w:br/>
              <w:br/>
              <w:t>On the right, the Exit Intelligence HUD provides live telemetry on queue depths and flow rates, visually confirming balanced crowd distribution across all available exits."</w:t>
            </w:r>
          </w:p>
        </w:tc>
      </w:tr>
    </w:tbl>
    <w:p>
      <w:pPr>
        <w:spacing w:after="100"/>
      </w:pP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Pr>
          <w:p>
            <w:pPr>
              <w:spacing w:after="0"/>
            </w:pPr>
            <w:r>
              <w:rPr>
                <w:rFonts w:ascii="Calibri" w:hAnsi="Calibri"/>
                <w:b/>
                <w:color w:val="FFFFFF"/>
                <w:sz w:val="22"/>
              </w:rPr>
              <w:t>Scene 5: Empirical Validation &amp; Faculty Conclusion   |   1:42 – 2:00 (18 seconds)</w:t>
            </w:r>
          </w:p>
        </w:tc>
      </w:tr>
      <w:tr>
        <w:tc>
          <w:tcPr>
            <w:tcW w:type="dxa" w:w="10080"/>
            <w:shd w:fill="F8FAFC"/>
            <w:tcMar>
              <w:top w:w="80" w:type="dxa"/>
              <w:bottom w:w="80" w:type="dxa"/>
              <w:left w:w="140" w:type="dxa"/>
              <w:right w:w="140" w:type="dxa"/>
            </w:tcMar>
          </w:tcPr>
          <w:p>
            <w:pPr>
              <w:spacing w:after="0"/>
            </w:pPr>
            <w:r>
              <w:rPr>
                <w:b/>
                <w:color w:val="0284C7"/>
              </w:rPr>
              <w:t xml:space="preserve">Screen / Visual Action: </w:t>
            </w:r>
            <w:r>
              <w:t>[Simulations &amp; Analytics Dashboard (/simulations)]  Navigate to the Simulations analytics view. Highlight the comparison bar charts, Total Evacuation Time (TET) reduction, zero casualties/trapped count, and winner badge.</w:t>
            </w:r>
          </w:p>
        </w:tc>
      </w:tr>
      <w:tr>
        <w:tc>
          <w:tcPr>
            <w:tcW w:type="dxa" w:w="10080"/>
            <w:shd w:fill="ECFDF5"/>
            <w:tcMar>
              <w:top w:w="50" w:type="dxa"/>
              <w:bottom w:w="30" w:type="dxa"/>
              <w:left w:w="140" w:type="dxa"/>
              <w:right w:w="140" w:type="dxa"/>
            </w:tcMar>
          </w:tcPr>
          <w:p>
            <w:pPr>
              <w:spacing w:after="0"/>
            </w:pPr>
            <w:r>
              <w:rPr>
                <w:b/>
                <w:color w:val="059669"/>
              </w:rPr>
              <w:t>Voiceover Narration (Spoken Word):</w:t>
            </w:r>
          </w:p>
        </w:tc>
      </w:tr>
      <w:tr>
        <w:tc>
          <w:tcPr>
            <w:tcW w:type="dxa" w:w="10080"/>
            <w:shd w:fill="F0FDF4"/>
            <w:tcMar>
              <w:top w:w="40" w:type="dxa"/>
              <w:bottom w:w="90" w:type="dxa"/>
              <w:left w:w="140" w:type="dxa"/>
              <w:right w:w="140" w:type="dxa"/>
            </w:tcMar>
          </w:tcPr>
          <w:p>
            <w:pPr>
              <w:spacing w:after="0"/>
            </w:pPr>
            <w:r>
              <w:rPr>
                <w:rFonts w:ascii="Calibri" w:hAnsi="Calibri"/>
                <w:i/>
                <w:color w:val="0F172A"/>
                <w:sz w:val="20"/>
              </w:rPr>
              <w:t>"Finally, our analytics dashboard confirms the research hypothesis: Algorithm D delivers a significant reduction in Total Evacuation Time, eliminates exit stampedes, and minimizes cumulative toxic hazard exposure.</w:t>
              <w:br/>
              <w:br/>
              <w:t>This platform successfully bridges computational graph theory with practical life-saving architectural safety. Thank you for your time, and we look forward to your questions and evaluation!"</w:t>
            </w:r>
          </w:p>
        </w:tc>
      </w:tr>
    </w:tbl>
    <w:p>
      <w:pPr>
        <w:spacing w:after="100"/>
      </w:pPr>
    </w:p>
    <w:p>
      <w:pPr>
        <w:spacing w:after="80"/>
      </w:pPr>
      <w:r>
        <w:rPr>
          <w:rFonts w:ascii="Calibri" w:hAnsi="Calibri"/>
          <w:b/>
          <w:color w:val="0F172A"/>
          <w:sz w:val="26"/>
        </w:rPr>
        <w:t>3. Quick Reference Matrix (Recording Cheatsheet)</w:t>
      </w:r>
    </w:p>
    <w:tbl>
      <w:tblPr>
        <w:tblW w:type="auto" w:w="0"/>
        <w:jc w:val="center"/>
        <w:tblLook w:firstColumn="1" w:firstRow="1" w:lastColumn="0" w:lastRow="0" w:noHBand="0" w:noVBand="1" w:val="04A0"/>
      </w:tblPr>
      <w:tblGrid>
        <w:gridCol w:w="2520"/>
        <w:gridCol w:w="2520"/>
        <w:gridCol w:w="2520"/>
        <w:gridCol w:w="2520"/>
      </w:tblGrid>
      <w:tr>
        <w:tc>
          <w:tcPr>
            <w:tcW w:type="dxa" w:w="1728"/>
            <w:shd w:fill="0F172A"/>
            <w:tcMar>
              <w:top w:w="80" w:type="dxa"/>
              <w:bottom w:w="80" w:type="dxa"/>
              <w:left w:w="100" w:type="dxa"/>
              <w:right w:w="100" w:type="dxa"/>
            </w:tcMar>
          </w:tcPr>
          <w:p>
            <w:pPr>
              <w:spacing w:after="0"/>
            </w:pPr>
            <w:r>
              <w:rPr>
                <w:b/>
                <w:color w:val="FFFFFF"/>
                <w:sz w:val="19"/>
              </w:rPr>
              <w:t>Timestamp</w:t>
            </w:r>
          </w:p>
        </w:tc>
        <w:tc>
          <w:tcPr>
            <w:tcW w:type="dxa" w:w="1728"/>
            <w:shd w:fill="0F172A"/>
            <w:tcMar>
              <w:top w:w="80" w:type="dxa"/>
              <w:bottom w:w="80" w:type="dxa"/>
              <w:left w:w="100" w:type="dxa"/>
              <w:right w:w="100" w:type="dxa"/>
            </w:tcMar>
          </w:tcPr>
          <w:p>
            <w:pPr>
              <w:spacing w:after="0"/>
            </w:pPr>
            <w:r>
              <w:rPr>
                <w:b/>
                <w:color w:val="FFFFFF"/>
                <w:sz w:val="19"/>
              </w:rPr>
              <w:t>Phase</w:t>
            </w:r>
          </w:p>
        </w:tc>
        <w:tc>
          <w:tcPr>
            <w:tcW w:type="dxa" w:w="3312"/>
            <w:shd w:fill="0F172A"/>
            <w:tcMar>
              <w:top w:w="80" w:type="dxa"/>
              <w:bottom w:w="80" w:type="dxa"/>
              <w:left w:w="100" w:type="dxa"/>
              <w:right w:w="100" w:type="dxa"/>
            </w:tcMar>
          </w:tcPr>
          <w:p>
            <w:pPr>
              <w:spacing w:after="0"/>
            </w:pPr>
            <w:r>
              <w:rPr>
                <w:b/>
                <w:color w:val="FFFFFF"/>
                <w:sz w:val="19"/>
              </w:rPr>
              <w:t>Screen Action</w:t>
            </w:r>
          </w:p>
        </w:tc>
        <w:tc>
          <w:tcPr>
            <w:tcW w:type="dxa" w:w="3312"/>
            <w:shd w:fill="0F172A"/>
            <w:tcMar>
              <w:top w:w="80" w:type="dxa"/>
              <w:bottom w:w="80" w:type="dxa"/>
              <w:left w:w="100" w:type="dxa"/>
              <w:right w:w="100" w:type="dxa"/>
            </w:tcMar>
          </w:tcPr>
          <w:p>
            <w:pPr>
              <w:spacing w:after="0"/>
            </w:pPr>
            <w:r>
              <w:rPr>
                <w:b/>
                <w:color w:val="FFFFFF"/>
                <w:sz w:val="19"/>
              </w:rPr>
              <w:t>Core Academic Highlight</w:t>
            </w:r>
          </w:p>
        </w:tc>
      </w:tr>
      <w:tr>
        <w:tc>
          <w:tcPr>
            <w:tcW w:type="dxa" w:w="1728"/>
            <w:shd w:fill="F8FAFC"/>
            <w:tcMar>
              <w:top w:w="60" w:type="dxa"/>
              <w:bottom w:w="60" w:type="dxa"/>
              <w:left w:w="100" w:type="dxa"/>
              <w:right w:w="100" w:type="dxa"/>
            </w:tcMar>
          </w:tcPr>
          <w:p>
            <w:pPr>
              <w:spacing w:after="0"/>
            </w:pPr>
            <w:r>
              <w:rPr>
                <w:b/>
                <w:sz w:val="18"/>
              </w:rPr>
              <w:t>0:00 – 0:18</w:t>
            </w:r>
          </w:p>
        </w:tc>
        <w:tc>
          <w:tcPr>
            <w:tcW w:type="dxa" w:w="1728"/>
            <w:shd w:fill="F8FAFC"/>
            <w:tcMar>
              <w:top w:w="60" w:type="dxa"/>
              <w:bottom w:w="60" w:type="dxa"/>
              <w:left w:w="100" w:type="dxa"/>
              <w:right w:w="100" w:type="dxa"/>
            </w:tcMar>
          </w:tcPr>
          <w:p>
            <w:pPr>
              <w:spacing w:after="0"/>
            </w:pPr>
            <w:r>
              <w:rPr>
                <w:sz w:val="18"/>
              </w:rPr>
              <w:t>Introduction</w:t>
            </w:r>
          </w:p>
        </w:tc>
        <w:tc>
          <w:tcPr>
            <w:tcW w:type="dxa" w:w="3312"/>
            <w:shd w:fill="F8FAFC"/>
            <w:tcMar>
              <w:top w:w="60" w:type="dxa"/>
              <w:bottom w:w="60" w:type="dxa"/>
              <w:left w:w="100" w:type="dxa"/>
              <w:right w:w="100" w:type="dxa"/>
            </w:tcMar>
          </w:tcPr>
          <w:p>
            <w:pPr>
              <w:spacing w:after="0"/>
            </w:pPr>
            <w:r>
              <w:rPr>
                <w:sz w:val="18"/>
              </w:rPr>
              <w:t>Dashboard &amp; Problem Context</w:t>
            </w:r>
          </w:p>
        </w:tc>
        <w:tc>
          <w:tcPr>
            <w:tcW w:type="dxa" w:w="3312"/>
            <w:shd w:fill="F8FAFC"/>
            <w:tcMar>
              <w:top w:w="60" w:type="dxa"/>
              <w:bottom w:w="60" w:type="dxa"/>
              <w:left w:w="100" w:type="dxa"/>
              <w:right w:w="100" w:type="dxa"/>
            </w:tcMar>
          </w:tcPr>
          <w:p>
            <w:pPr>
              <w:spacing w:after="0"/>
            </w:pPr>
            <w:r>
              <w:rPr>
                <w:sz w:val="18"/>
              </w:rPr>
              <w:t>Static egress failures vs dynamic hazard &amp; load routing</w:t>
            </w:r>
          </w:p>
        </w:tc>
      </w:tr>
      <w:tr>
        <w:tc>
          <w:tcPr>
            <w:tcW w:type="dxa" w:w="1728"/>
            <w:shd w:fill="FFFFFF"/>
            <w:tcMar>
              <w:top w:w="60" w:type="dxa"/>
              <w:bottom w:w="60" w:type="dxa"/>
              <w:left w:w="100" w:type="dxa"/>
              <w:right w:w="100" w:type="dxa"/>
            </w:tcMar>
          </w:tcPr>
          <w:p>
            <w:pPr>
              <w:spacing w:after="0"/>
            </w:pPr>
            <w:r>
              <w:rPr>
                <w:b/>
                <w:sz w:val="18"/>
              </w:rPr>
              <w:t>0:18 – 0:45</w:t>
            </w:r>
          </w:p>
        </w:tc>
        <w:tc>
          <w:tcPr>
            <w:tcW w:type="dxa" w:w="1728"/>
            <w:shd w:fill="FFFFFF"/>
            <w:tcMar>
              <w:top w:w="60" w:type="dxa"/>
              <w:bottom w:w="60" w:type="dxa"/>
              <w:left w:w="100" w:type="dxa"/>
              <w:right w:w="100" w:type="dxa"/>
            </w:tcMar>
          </w:tcPr>
          <w:p>
            <w:pPr>
              <w:spacing w:after="0"/>
            </w:pPr>
            <w:r>
              <w:rPr>
                <w:sz w:val="18"/>
              </w:rPr>
              <w:t>Digital Twin</w:t>
            </w:r>
          </w:p>
        </w:tc>
        <w:tc>
          <w:tcPr>
            <w:tcW w:type="dxa" w:w="3312"/>
            <w:shd w:fill="FFFFFF"/>
            <w:tcMar>
              <w:top w:w="60" w:type="dxa"/>
              <w:bottom w:w="60" w:type="dxa"/>
              <w:left w:w="100" w:type="dxa"/>
              <w:right w:w="100" w:type="dxa"/>
            </w:tcMar>
          </w:tcPr>
          <w:p>
            <w:pPr>
              <w:spacing w:after="0"/>
            </w:pPr>
            <w:r>
              <w:rPr>
                <w:sz w:val="18"/>
              </w:rPr>
              <w:t>2D Floorplan, Graph &amp; 3D Toggle</w:t>
            </w:r>
          </w:p>
        </w:tc>
        <w:tc>
          <w:tcPr>
            <w:tcW w:type="dxa" w:w="3312"/>
            <w:shd w:fill="FFFFFF"/>
            <w:tcMar>
              <w:top w:w="60" w:type="dxa"/>
              <w:bottom w:w="60" w:type="dxa"/>
              <w:left w:w="100" w:type="dxa"/>
              <w:right w:w="100" w:type="dxa"/>
            </w:tcMar>
          </w:tcPr>
          <w:p>
            <w:pPr>
              <w:spacing w:after="0"/>
            </w:pPr>
            <w:r>
              <w:rPr>
                <w:sz w:val="18"/>
              </w:rPr>
              <w:t>Automated topological graph generation &amp; Three.js 3D model</w:t>
            </w:r>
          </w:p>
        </w:tc>
      </w:tr>
      <w:tr>
        <w:tc>
          <w:tcPr>
            <w:tcW w:type="dxa" w:w="1728"/>
            <w:shd w:fill="F8FAFC"/>
            <w:tcMar>
              <w:top w:w="60" w:type="dxa"/>
              <w:bottom w:w="60" w:type="dxa"/>
              <w:left w:w="100" w:type="dxa"/>
              <w:right w:w="100" w:type="dxa"/>
            </w:tcMar>
          </w:tcPr>
          <w:p>
            <w:pPr>
              <w:spacing w:after="0"/>
            </w:pPr>
            <w:r>
              <w:rPr>
                <w:b/>
                <w:sz w:val="18"/>
              </w:rPr>
              <w:t>0:45 – 1:12</w:t>
            </w:r>
          </w:p>
        </w:tc>
        <w:tc>
          <w:tcPr>
            <w:tcW w:type="dxa" w:w="1728"/>
            <w:shd w:fill="F8FAFC"/>
            <w:tcMar>
              <w:top w:w="60" w:type="dxa"/>
              <w:bottom w:w="60" w:type="dxa"/>
              <w:left w:w="100" w:type="dxa"/>
              <w:right w:w="100" w:type="dxa"/>
            </w:tcMar>
          </w:tcPr>
          <w:p>
            <w:pPr>
              <w:spacing w:after="0"/>
            </w:pPr>
            <w:r>
              <w:rPr>
                <w:sz w:val="18"/>
              </w:rPr>
              <w:t>Benchmark</w:t>
            </w:r>
          </w:p>
        </w:tc>
        <w:tc>
          <w:tcPr>
            <w:tcW w:type="dxa" w:w="3312"/>
            <w:shd w:fill="F8FAFC"/>
            <w:tcMar>
              <w:top w:w="60" w:type="dxa"/>
              <w:bottom w:w="60" w:type="dxa"/>
              <w:left w:w="100" w:type="dxa"/>
              <w:right w:w="100" w:type="dxa"/>
            </w:tcMar>
          </w:tcPr>
          <w:p>
            <w:pPr>
              <w:spacing w:after="0"/>
            </w:pPr>
            <w:r>
              <w:rPr>
                <w:sz w:val="18"/>
              </w:rPr>
              <w:t>Scenario Config &amp; Head-to-Head Race</w:t>
            </w:r>
          </w:p>
        </w:tc>
        <w:tc>
          <w:tcPr>
            <w:tcW w:type="dxa" w:w="3312"/>
            <w:shd w:fill="F8FAFC"/>
            <w:tcMar>
              <w:top w:w="60" w:type="dxa"/>
              <w:bottom w:w="60" w:type="dxa"/>
              <w:left w:w="100" w:type="dxa"/>
              <w:right w:w="100" w:type="dxa"/>
            </w:tcMar>
          </w:tcPr>
          <w:p>
            <w:pPr>
              <w:spacing w:after="0"/>
            </w:pPr>
            <w:r>
              <w:rPr>
                <w:sz w:val="18"/>
              </w:rPr>
              <w:t>Benchmarking 4 algorithms (A: Static, B: Safety, C: Load, D: Predictive)</w:t>
            </w:r>
          </w:p>
        </w:tc>
      </w:tr>
      <w:tr>
        <w:tc>
          <w:tcPr>
            <w:tcW w:type="dxa" w:w="1728"/>
            <w:shd w:fill="FFFFFF"/>
            <w:tcMar>
              <w:top w:w="60" w:type="dxa"/>
              <w:bottom w:w="60" w:type="dxa"/>
              <w:left w:w="100" w:type="dxa"/>
              <w:right w:w="100" w:type="dxa"/>
            </w:tcMar>
          </w:tcPr>
          <w:p>
            <w:pPr>
              <w:spacing w:after="0"/>
            </w:pPr>
            <w:r>
              <w:rPr>
                <w:b/>
                <w:sz w:val="18"/>
              </w:rPr>
              <w:t>1:12 – 1:42</w:t>
            </w:r>
          </w:p>
        </w:tc>
        <w:tc>
          <w:tcPr>
            <w:tcW w:type="dxa" w:w="1728"/>
            <w:shd w:fill="FFFFFF"/>
            <w:tcMar>
              <w:top w:w="60" w:type="dxa"/>
              <w:bottom w:w="60" w:type="dxa"/>
              <w:left w:w="100" w:type="dxa"/>
              <w:right w:w="100" w:type="dxa"/>
            </w:tcMar>
          </w:tcPr>
          <w:p>
            <w:pPr>
              <w:spacing w:after="0"/>
            </w:pPr>
            <w:r>
              <w:rPr>
                <w:sz w:val="18"/>
              </w:rPr>
              <w:t>Simulation</w:t>
            </w:r>
          </w:p>
        </w:tc>
        <w:tc>
          <w:tcPr>
            <w:tcW w:type="dxa" w:w="3312"/>
            <w:shd w:fill="FFFFFF"/>
            <w:tcMar>
              <w:top w:w="60" w:type="dxa"/>
              <w:bottom w:w="60" w:type="dxa"/>
              <w:left w:w="100" w:type="dxa"/>
              <w:right w:w="100" w:type="dxa"/>
            </w:tcMar>
          </w:tcPr>
          <w:p>
            <w:pPr>
              <w:spacing w:after="0"/>
            </w:pPr>
            <w:r>
              <w:rPr>
                <w:sz w:val="18"/>
              </w:rPr>
              <w:t>Timeline Playback &amp; Exit HUD</w:t>
            </w:r>
          </w:p>
        </w:tc>
        <w:tc>
          <w:tcPr>
            <w:tcW w:type="dxa" w:w="3312"/>
            <w:shd w:fill="FFFFFF"/>
            <w:tcMar>
              <w:top w:w="60" w:type="dxa"/>
              <w:bottom w:w="60" w:type="dxa"/>
              <w:left w:w="100" w:type="dxa"/>
              <w:right w:w="100" w:type="dxa"/>
            </w:tcMar>
          </w:tcPr>
          <w:p>
            <w:pPr>
              <w:spacing w:after="0"/>
            </w:pPr>
            <w:r>
              <w:rPr>
                <w:sz w:val="18"/>
              </w:rPr>
              <w:t>Heterogeneous demographics, dynamic rerouting, queue mitigation</w:t>
            </w:r>
          </w:p>
        </w:tc>
      </w:tr>
      <w:tr>
        <w:tc>
          <w:tcPr>
            <w:tcW w:type="dxa" w:w="1728"/>
            <w:shd w:fill="F8FAFC"/>
            <w:tcMar>
              <w:top w:w="60" w:type="dxa"/>
              <w:bottom w:w="60" w:type="dxa"/>
              <w:left w:w="100" w:type="dxa"/>
              <w:right w:w="100" w:type="dxa"/>
            </w:tcMar>
          </w:tcPr>
          <w:p>
            <w:pPr>
              <w:spacing w:after="0"/>
            </w:pPr>
            <w:r>
              <w:rPr>
                <w:b/>
                <w:sz w:val="18"/>
              </w:rPr>
              <w:t>1:42 – 2:00</w:t>
            </w:r>
          </w:p>
        </w:tc>
        <w:tc>
          <w:tcPr>
            <w:tcW w:type="dxa" w:w="1728"/>
            <w:shd w:fill="F8FAFC"/>
            <w:tcMar>
              <w:top w:w="60" w:type="dxa"/>
              <w:bottom w:w="60" w:type="dxa"/>
              <w:left w:w="100" w:type="dxa"/>
              <w:right w:w="100" w:type="dxa"/>
            </w:tcMar>
          </w:tcPr>
          <w:p>
            <w:pPr>
              <w:spacing w:after="0"/>
            </w:pPr>
            <w:r>
              <w:rPr>
                <w:sz w:val="18"/>
              </w:rPr>
              <w:t>Results</w:t>
            </w:r>
          </w:p>
        </w:tc>
        <w:tc>
          <w:tcPr>
            <w:tcW w:type="dxa" w:w="3312"/>
            <w:shd w:fill="F8FAFC"/>
            <w:tcMar>
              <w:top w:w="60" w:type="dxa"/>
              <w:bottom w:w="60" w:type="dxa"/>
              <w:left w:w="100" w:type="dxa"/>
              <w:right w:w="100" w:type="dxa"/>
            </w:tcMar>
          </w:tcPr>
          <w:p>
            <w:pPr>
              <w:spacing w:after="0"/>
            </w:pPr>
            <w:r>
              <w:rPr>
                <w:sz w:val="18"/>
              </w:rPr>
              <w:t>Analytics Comparison Dashboard</w:t>
            </w:r>
          </w:p>
        </w:tc>
        <w:tc>
          <w:tcPr>
            <w:tcW w:type="dxa" w:w="3312"/>
            <w:shd w:fill="F8FAFC"/>
            <w:tcMar>
              <w:top w:w="60" w:type="dxa"/>
              <w:bottom w:w="60" w:type="dxa"/>
              <w:left w:w="100" w:type="dxa"/>
              <w:right w:w="100" w:type="dxa"/>
            </w:tcMar>
          </w:tcPr>
          <w:p>
            <w:pPr>
              <w:spacing w:after="0"/>
            </w:pPr>
            <w:r>
              <w:rPr>
                <w:sz w:val="18"/>
              </w:rPr>
              <w:t>Empirical TET reduction, zero stampedes, faculty thank-you</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