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046A38"/>
          <w:sz w:val="80"/>
        </w:rPr>
        <w:t>VulnHunter</w:t>
      </w:r>
    </w:p>
    <w:p>
      <w:pPr>
        <w:jc w:val="center"/>
      </w:pPr>
      <w:r>
        <w:rPr>
          <w:color w:val="282728"/>
          <w:sz w:val="32"/>
        </w:rPr>
        <w:t>AI-Powered Security Scanning &amp; Remediation, Built on Claude Code</w:t>
      </w:r>
    </w:p>
    <w:p>
      <w:pPr>
        <w:spacing w:before="400"/>
        <w:jc w:val="center"/>
      </w:pPr>
      <w:r>
        <w:rPr>
          <w:i/>
          <w:color w:val="53565A"/>
          <w:sz w:val="26"/>
        </w:rPr>
        <w:t>Project &amp; Test Report</w:t>
      </w:r>
    </w:p>
    <w:p>
      <w:pPr>
        <w:spacing w:before="1200"/>
        <w:jc w:val="center"/>
      </w:pPr>
      <w:r>
        <w:rPr>
          <w:color w:val="53565A"/>
          <w:sz w:val="20"/>
        </w:rPr>
        <w:t>Deloitte Claude Code Hackathon  |  Repository: github.com/Deloitte-US-Consulting/VulnHunter</w:t>
      </w:r>
    </w:p>
    <w:p>
      <w:r>
        <w:br w:type="page"/>
      </w:r>
    </w:p>
    <w:p>
      <w:pPr>
        <w:pStyle w:val="Heading1"/>
      </w:pPr>
      <w:r>
        <w:rPr>
          <w:rFonts w:ascii="Calibri" w:hAnsi="Calibri"/>
          <w:color w:val="046A38"/>
        </w:rPr>
        <w:t>Executive Summary</w:t>
      </w:r>
    </w:p>
    <w:p>
      <w:pPr>
        <w:spacing w:after="120"/>
      </w:pPr>
      <w:r>
        <w:rPr>
          <w:b w:val="0"/>
          <w:i w:val="0"/>
          <w:color w:val="282728"/>
          <w:sz w:val="21"/>
        </w:rPr>
        <w:t>VulnHunter is a Claude Code extension built for the Deloitte Claude Code Hackathon. It pairs two agentic pipelines around one design philosophy — detection and remediation are separated across scoped subagents, so the component that finds a problem is never the component that can introduce a new one, and nothing this system builds ever touches real infrastructure without human review.</w:t>
      </w:r>
    </w:p>
    <w:p>
      <w:pPr>
        <w:pStyle w:val="ListBullet"/>
      </w:pPr>
      <w:r>
        <w:rPr>
          <w:color w:val="282728"/>
          <w:sz w:val="21"/>
        </w:rPr>
        <w:t>/vulnhunt — scans source code for vulnerabilities, produces a ranked report, and auto-fixes the safe findings on a reviewable branch.</w:t>
      </w:r>
    </w:p>
    <w:p>
      <w:pPr>
        <w:pStyle w:val="ListBullet"/>
      </w:pPr>
      <w:r>
        <w:rPr>
          <w:color w:val="282728"/>
          <w:sz w:val="21"/>
        </w:rPr>
        <w:t>/remediate — ingests vulnerability/asset-risk findings from Tenable, Armis, and analyst threat intel, normalizes them into one schema, plans remediation by risk tier, and generates reviewable Ansible playbooks for Windows Server and Unix Server findings.</w:t>
      </w:r>
    </w:p>
    <w:p>
      <w:pPr>
        <w:spacing w:after="240"/>
      </w:pPr>
      <w:r>
        <w:rPr>
          <w:b w:val="0"/>
          <w:i w:val="0"/>
          <w:color w:val="282728"/>
          <w:sz w:val="21"/>
        </w:rPr>
        <w:t>Both pipelines were validated end-to-end against real (mock) data, producing real artifacts — not just design documents. A 33-test automated suite validates those artifacts directly from git history and generated files, with all 33 tests passing.</w:t>
      </w:r>
    </w:p>
    <w:tbl>
      <w:tblPr>
        <w:tblW w:type="auto" w:w="0"/>
        <w:jc w:val="center"/>
        <w:tblLayout w:type="fixed"/>
        <w:tblLook w:firstColumn="1" w:firstRow="1" w:lastColumn="0" w:lastRow="0" w:noHBand="0" w:noVBand="1" w:val="04A0"/>
      </w:tblPr>
      <w:tblGrid>
        <w:gridCol w:w="4824"/>
        <w:gridCol w:w="4824"/>
      </w:tblGrid>
      <w:tr>
        <w:tc>
          <w:tcPr>
            <w:tcW w:type="dxa" w:w="5184"/>
            <w:shd w:val="clear" w:color="auto" w:fill="86BC25"/>
          </w:tcPr>
          <w:p>
            <w:pPr>
              <w:jc w:val="left"/>
            </w:pPr>
            <w:r/>
            <w:r>
              <w:rPr>
                <w:rFonts w:ascii="Calibri" w:hAnsi="Calibri"/>
                <w:b/>
                <w:color w:val="FFFFFF"/>
                <w:sz w:val="19"/>
              </w:rPr>
              <w:t>Metric</w:t>
            </w:r>
          </w:p>
        </w:tc>
        <w:tc>
          <w:tcPr>
            <w:tcW w:type="dxa" w:w="4176"/>
            <w:shd w:val="clear" w:color="auto" w:fill="86BC25"/>
          </w:tcPr>
          <w:p>
            <w:pPr>
              <w:jc w:val="left"/>
            </w:pPr>
            <w:r/>
            <w:r>
              <w:rPr>
                <w:rFonts w:ascii="Calibri" w:hAnsi="Calibri"/>
                <w:b/>
                <w:color w:val="FFFFFF"/>
                <w:sz w:val="19"/>
              </w:rPr>
              <w:t>Value</w:t>
            </w:r>
          </w:p>
        </w:tc>
      </w:tr>
      <w:tr>
        <w:tc>
          <w:tcPr>
            <w:tcW w:type="dxa" w:w="5184"/>
          </w:tcPr>
          <w:p>
            <w:pPr>
              <w:jc w:val="left"/>
            </w:pPr>
            <w:r/>
            <w:r>
              <w:rPr>
                <w:rFonts w:ascii="Calibri" w:hAnsi="Calibri"/>
                <w:b w:val="0"/>
                <w:color w:val="282728"/>
                <w:sz w:val="19"/>
              </w:rPr>
              <w:t>Code vulnerabilities found (/vulnhunt)</w:t>
            </w:r>
          </w:p>
        </w:tc>
        <w:tc>
          <w:tcPr>
            <w:tcW w:type="dxa" w:w="4176"/>
          </w:tcPr>
          <w:p>
            <w:pPr>
              <w:jc w:val="left"/>
            </w:pPr>
            <w:r/>
            <w:r>
              <w:rPr>
                <w:rFonts w:ascii="Calibri" w:hAnsi="Calibri"/>
                <w:b w:val="0"/>
                <w:color w:val="282728"/>
                <w:sz w:val="19"/>
              </w:rPr>
              <w:t>9 (4 Critical, 2 High, 2 Medium, 1 Low)</w:t>
            </w:r>
          </w:p>
        </w:tc>
      </w:tr>
      <w:tr>
        <w:tc>
          <w:tcPr>
            <w:tcW w:type="dxa" w:w="5184"/>
          </w:tcPr>
          <w:p>
            <w:pPr>
              <w:jc w:val="left"/>
            </w:pPr>
            <w:r/>
            <w:r>
              <w:rPr>
                <w:rFonts w:ascii="Calibri" w:hAnsi="Calibri"/>
                <w:b w:val="0"/>
                <w:color w:val="282728"/>
                <w:sz w:val="19"/>
              </w:rPr>
              <w:t>Code vulnerabilities auto-fixed</w:t>
            </w:r>
          </w:p>
        </w:tc>
        <w:tc>
          <w:tcPr>
            <w:tcW w:type="dxa" w:w="4176"/>
          </w:tcPr>
          <w:p>
            <w:pPr>
              <w:jc w:val="left"/>
            </w:pPr>
            <w:r/>
            <w:r>
              <w:rPr>
                <w:rFonts w:ascii="Calibri" w:hAnsi="Calibri"/>
                <w:b w:val="0"/>
                <w:color w:val="282728"/>
                <w:sz w:val="19"/>
              </w:rPr>
              <w:t>6 of 9 — remaining 3 correctly left for human review</w:t>
            </w:r>
          </w:p>
        </w:tc>
      </w:tr>
      <w:tr>
        <w:tc>
          <w:tcPr>
            <w:tcW w:type="dxa" w:w="5184"/>
          </w:tcPr>
          <w:p>
            <w:pPr>
              <w:jc w:val="left"/>
            </w:pPr>
            <w:r/>
            <w:r>
              <w:rPr>
                <w:rFonts w:ascii="Calibri" w:hAnsi="Calibri"/>
                <w:b w:val="0"/>
                <w:color w:val="282728"/>
                <w:sz w:val="19"/>
              </w:rPr>
              <w:t>Infra findings normalized (/remediate)</w:t>
            </w:r>
          </w:p>
        </w:tc>
        <w:tc>
          <w:tcPr>
            <w:tcW w:type="dxa" w:w="4176"/>
          </w:tcPr>
          <w:p>
            <w:pPr>
              <w:jc w:val="left"/>
            </w:pPr>
            <w:r/>
            <w:r>
              <w:rPr>
                <w:rFonts w:ascii="Calibri" w:hAnsi="Calibri"/>
                <w:b w:val="0"/>
                <w:color w:val="282728"/>
                <w:sz w:val="19"/>
              </w:rPr>
              <w:t>11 (6 Tenable, 3 Armis, 2 threat intel)</w:t>
            </w:r>
          </w:p>
        </w:tc>
      </w:tr>
      <w:tr>
        <w:tc>
          <w:tcPr>
            <w:tcW w:type="dxa" w:w="5184"/>
          </w:tcPr>
          <w:p>
            <w:pPr>
              <w:jc w:val="left"/>
            </w:pPr>
            <w:r/>
            <w:r>
              <w:rPr>
                <w:rFonts w:ascii="Calibri" w:hAnsi="Calibri"/>
                <w:b w:val="0"/>
                <w:color w:val="282728"/>
                <w:sz w:val="19"/>
              </w:rPr>
              <w:t>Infra findings auto-remediable today</w:t>
            </w:r>
          </w:p>
        </w:tc>
        <w:tc>
          <w:tcPr>
            <w:tcW w:type="dxa" w:w="4176"/>
          </w:tcPr>
          <w:p>
            <w:pPr>
              <w:jc w:val="left"/>
            </w:pPr>
            <w:r/>
            <w:r>
              <w:rPr>
                <w:rFonts w:ascii="Calibri" w:hAnsi="Calibri"/>
                <w:b w:val="0"/>
                <w:color w:val="282728"/>
                <w:sz w:val="19"/>
              </w:rPr>
              <w:t>7 of 11 (4 Windows Server, 3 Unix Server)</w:t>
            </w:r>
          </w:p>
        </w:tc>
      </w:tr>
      <w:tr>
        <w:tc>
          <w:tcPr>
            <w:tcW w:type="dxa" w:w="5184"/>
          </w:tcPr>
          <w:p>
            <w:pPr>
              <w:jc w:val="left"/>
            </w:pPr>
            <w:r/>
            <w:r>
              <w:rPr>
                <w:rFonts w:ascii="Calibri" w:hAnsi="Calibri"/>
                <w:b w:val="0"/>
                <w:color w:val="282728"/>
                <w:sz w:val="19"/>
              </w:rPr>
              <w:t>Ansible playbooks generated</w:t>
            </w:r>
          </w:p>
        </w:tc>
        <w:tc>
          <w:tcPr>
            <w:tcW w:type="dxa" w:w="4176"/>
          </w:tcPr>
          <w:p>
            <w:pPr>
              <w:jc w:val="left"/>
            </w:pPr>
            <w:r/>
            <w:r>
              <w:rPr>
                <w:rFonts w:ascii="Calibri" w:hAnsi="Calibri"/>
                <w:b w:val="0"/>
                <w:color w:val="282728"/>
                <w:sz w:val="19"/>
              </w:rPr>
              <w:t>7 — all human-reviewable, none auto-executed</w:t>
            </w:r>
          </w:p>
        </w:tc>
      </w:tr>
      <w:tr>
        <w:tc>
          <w:tcPr>
            <w:tcW w:type="dxa" w:w="5184"/>
          </w:tcPr>
          <w:p>
            <w:pPr>
              <w:jc w:val="left"/>
            </w:pPr>
            <w:r/>
            <w:r>
              <w:rPr>
                <w:rFonts w:ascii="Calibri" w:hAnsi="Calibri"/>
                <w:b w:val="0"/>
                <w:color w:val="282728"/>
                <w:sz w:val="19"/>
              </w:rPr>
              <w:t>Automated tests written &amp; passing</w:t>
            </w:r>
          </w:p>
        </w:tc>
        <w:tc>
          <w:tcPr>
            <w:tcW w:type="dxa" w:w="4176"/>
          </w:tcPr>
          <w:p>
            <w:pPr>
              <w:jc w:val="left"/>
            </w:pPr>
            <w:r/>
            <w:r>
              <w:rPr>
                <w:rFonts w:ascii="Calibri" w:hAnsi="Calibri"/>
                <w:b w:val="0"/>
                <w:color w:val="282728"/>
                <w:sz w:val="19"/>
              </w:rPr>
              <w:t>33 / 33</w:t>
            </w:r>
          </w:p>
        </w:tc>
      </w:tr>
    </w:tbl>
    <w:p>
      <w:pPr>
        <w:spacing w:after="120"/>
      </w:pPr>
      <w:r>
        <w:rPr>
          <w:b w:val="0"/>
          <w:i w:val="0"/>
          <w:color w:val="282728"/>
          <w:sz w:val="21"/>
        </w:rPr>
      </w:r>
    </w:p>
    <w:p>
      <w:r>
        <w:br w:type="page"/>
      </w:r>
    </w:p>
    <w:p>
      <w:pPr>
        <w:pStyle w:val="Heading1"/>
      </w:pPr>
      <w:r>
        <w:rPr>
          <w:rFonts w:ascii="Calibri" w:hAnsi="Calibri"/>
          <w:color w:val="046A38"/>
        </w:rPr>
        <w:t>1. Problem Statement</w:t>
      </w:r>
    </w:p>
    <w:p>
      <w:pPr>
        <w:spacing w:after="120"/>
      </w:pPr>
      <w:r>
        <w:rPr>
          <w:b w:val="0"/>
          <w:i w:val="0"/>
          <w:color w:val="282728"/>
          <w:sz w:val="21"/>
        </w:rPr>
        <w:t>Static analysis and vulnerability scanning tools produce reports — they rarely produce fixes. Security debt accumulates because finding a vulnerability and actually remediating it are two different jobs, and most tooling only does the first one. This is true of source code, and it is arguably a bigger problem for infrastructure: a mature vulnerability management program generates thousands of findings across Tenable, Armis, and analyst threat intel, spanning Windows servers, Unix servers, network routing/switching, network security devices (firewalls), and IoT/OT devices. Turning each finding into an actual, safe fix is almost entirely manual today.</w:t>
      </w:r>
    </w:p>
    <w:p>
      <w:pPr>
        <w:pStyle w:val="Heading1"/>
      </w:pPr>
      <w:r>
        <w:rPr>
          <w:rFonts w:ascii="Calibri" w:hAnsi="Calibri"/>
          <w:color w:val="046A38"/>
        </w:rPr>
        <w:t>2. Solution Architecture</w:t>
      </w:r>
    </w:p>
    <w:p>
      <w:pPr>
        <w:spacing w:after="120"/>
      </w:pPr>
      <w:r>
        <w:rPr>
          <w:b w:val="0"/>
          <w:i w:val="0"/>
          <w:color w:val="282728"/>
          <w:sz w:val="21"/>
        </w:rPr>
        <w:t>VulnHunter answers this with two pipelines that share one design philosophy: separation of concerns through deliberately scoped Claude Code subagent tool access, so safety is architectural rather than a matter of prompting discipline.</w:t>
      </w:r>
    </w:p>
    <w:p>
      <w:pPr>
        <w:pStyle w:val="Heading2"/>
      </w:pPr>
      <w:r>
        <w:rPr>
          <w:rFonts w:ascii="Calibri" w:hAnsi="Calibri"/>
          <w:color w:val="282728"/>
        </w:rPr>
        <w:t>2.1 /vulnhunt — Code Scanning Pipeline</w:t>
      </w:r>
    </w:p>
    <w:p>
      <w:pPr>
        <w:spacing w:after="120"/>
      </w:pPr>
      <w:r>
        <w:rPr>
          <w:b w:val="0"/>
          <w:i w:val="0"/>
          <w:color w:val="282728"/>
          <w:sz w:val="21"/>
        </w:rPr>
        <w:t>One command runs a three-stage pipeline, each stage a separate subagent with scoped tools:</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86BC25"/>
          </w:tcPr>
          <w:p>
            <w:pPr>
              <w:jc w:val="left"/>
            </w:pPr>
            <w:r/>
            <w:r>
              <w:rPr>
                <w:rFonts w:ascii="Calibri" w:hAnsi="Calibri"/>
                <w:b/>
                <w:color w:val="FFFFFF"/>
                <w:sz w:val="19"/>
              </w:rPr>
              <w:t>Stage</w:t>
            </w:r>
          </w:p>
        </w:tc>
        <w:tc>
          <w:tcPr>
            <w:tcW w:type="dxa" w:w="2448"/>
            <w:shd w:val="clear" w:color="auto" w:fill="86BC25"/>
          </w:tcPr>
          <w:p>
            <w:pPr>
              <w:jc w:val="left"/>
            </w:pPr>
            <w:r/>
            <w:r>
              <w:rPr>
                <w:rFonts w:ascii="Calibri" w:hAnsi="Calibri"/>
                <w:b/>
                <w:color w:val="FFFFFF"/>
                <w:sz w:val="19"/>
              </w:rPr>
              <w:t>Tool Access</w:t>
            </w:r>
          </w:p>
        </w:tc>
        <w:tc>
          <w:tcPr>
            <w:tcW w:type="dxa" w:w="4464"/>
            <w:shd w:val="clear" w:color="auto" w:fill="86BC25"/>
          </w:tcPr>
          <w:p>
            <w:pPr>
              <w:jc w:val="left"/>
            </w:pPr>
            <w:r/>
            <w:r>
              <w:rPr>
                <w:rFonts w:ascii="Calibri" w:hAnsi="Calibri"/>
                <w:b/>
                <w:color w:val="FFFFFF"/>
                <w:sz w:val="19"/>
              </w:rPr>
              <w:t>Role</w:t>
            </w:r>
          </w:p>
        </w:tc>
      </w:tr>
      <w:tr>
        <w:tc>
          <w:tcPr>
            <w:tcW w:type="dxa" w:w="2448"/>
          </w:tcPr>
          <w:p>
            <w:pPr>
              <w:jc w:val="left"/>
            </w:pPr>
            <w:r/>
            <w:r>
              <w:rPr>
                <w:rFonts w:ascii="Calibri" w:hAnsi="Calibri"/>
                <w:b w:val="0"/>
                <w:color w:val="282728"/>
                <w:sz w:val="19"/>
              </w:rPr>
              <w:t>vuln-scanner</w:t>
            </w:r>
          </w:p>
        </w:tc>
        <w:tc>
          <w:tcPr>
            <w:tcW w:type="dxa" w:w="2448"/>
          </w:tcPr>
          <w:p>
            <w:pPr>
              <w:jc w:val="left"/>
            </w:pPr>
            <w:r/>
            <w:r>
              <w:rPr>
                <w:rFonts w:ascii="Calibri" w:hAnsi="Calibri"/>
                <w:b w:val="0"/>
                <w:color w:val="282728"/>
                <w:sz w:val="19"/>
              </w:rPr>
              <w:t>Read, Grep, Glob, Bash</w:t>
            </w:r>
          </w:p>
        </w:tc>
        <w:tc>
          <w:tcPr>
            <w:tcW w:type="dxa" w:w="4464"/>
          </w:tcPr>
          <w:p>
            <w:pPr>
              <w:jc w:val="left"/>
            </w:pPr>
            <w:r/>
            <w:r>
              <w:rPr>
                <w:rFonts w:ascii="Calibri" w:hAnsi="Calibri"/>
                <w:b w:val="0"/>
                <w:color w:val="282728"/>
                <w:sz w:val="19"/>
              </w:rPr>
              <w:t>Finds injection flaws, hardcoded secrets, insecure config, risky dependencies, Docker issues. Read-only — architecturally cannot modify anything.</w:t>
            </w:r>
          </w:p>
        </w:tc>
      </w:tr>
      <w:tr>
        <w:tc>
          <w:tcPr>
            <w:tcW w:type="dxa" w:w="2448"/>
          </w:tcPr>
          <w:p>
            <w:pPr>
              <w:jc w:val="left"/>
            </w:pPr>
            <w:r/>
            <w:r>
              <w:rPr>
                <w:rFonts w:ascii="Calibri" w:hAnsi="Calibri"/>
                <w:b w:val="0"/>
                <w:color w:val="282728"/>
                <w:sz w:val="19"/>
              </w:rPr>
              <w:t>vuln-triage-reporter</w:t>
            </w:r>
          </w:p>
        </w:tc>
        <w:tc>
          <w:tcPr>
            <w:tcW w:type="dxa" w:w="2448"/>
          </w:tcPr>
          <w:p>
            <w:pPr>
              <w:jc w:val="left"/>
            </w:pPr>
            <w:r/>
            <w:r>
              <w:rPr>
                <w:rFonts w:ascii="Calibri" w:hAnsi="Calibri"/>
                <w:b w:val="0"/>
                <w:color w:val="282728"/>
                <w:sz w:val="19"/>
              </w:rPr>
              <w:t>Write only</w:t>
            </w:r>
          </w:p>
        </w:tc>
        <w:tc>
          <w:tcPr>
            <w:tcW w:type="dxa" w:w="4464"/>
          </w:tcPr>
          <w:p>
            <w:pPr>
              <w:jc w:val="left"/>
            </w:pPr>
            <w:r/>
            <w:r>
              <w:rPr>
                <w:rFonts w:ascii="Calibri" w:hAnsi="Calibri"/>
                <w:b w:val="0"/>
                <w:color w:val="282728"/>
                <w:sz w:val="19"/>
              </w:rPr>
              <w:t>Turns raw JSON findings into SECURITY_REPORT.md — ranked, plain-English impact, remediation plan. Cannot read source or fix anything.</w:t>
            </w:r>
          </w:p>
        </w:tc>
      </w:tr>
      <w:tr>
        <w:tc>
          <w:tcPr>
            <w:tcW w:type="dxa" w:w="2448"/>
          </w:tcPr>
          <w:p>
            <w:pPr>
              <w:jc w:val="left"/>
            </w:pPr>
            <w:r/>
            <w:r>
              <w:rPr>
                <w:rFonts w:ascii="Calibri" w:hAnsi="Calibri"/>
                <w:b w:val="0"/>
                <w:color w:val="282728"/>
                <w:sz w:val="19"/>
              </w:rPr>
              <w:t>vuln-fixer</w:t>
            </w:r>
          </w:p>
        </w:tc>
        <w:tc>
          <w:tcPr>
            <w:tcW w:type="dxa" w:w="2448"/>
          </w:tcPr>
          <w:p>
            <w:pPr>
              <w:jc w:val="left"/>
            </w:pPr>
            <w:r/>
            <w:r>
              <w:rPr>
                <w:rFonts w:ascii="Calibri" w:hAnsi="Calibri"/>
                <w:b w:val="0"/>
                <w:color w:val="282728"/>
                <w:sz w:val="19"/>
              </w:rPr>
              <w:t>Read, Edit, Write, Bash</w:t>
            </w:r>
          </w:p>
        </w:tc>
        <w:tc>
          <w:tcPr>
            <w:tcW w:type="dxa" w:w="4464"/>
          </w:tcPr>
          <w:p>
            <w:pPr>
              <w:jc w:val="left"/>
            </w:pPr>
            <w:r/>
            <w:r>
              <w:rPr>
                <w:rFonts w:ascii="Calibri" w:hAnsi="Calibri"/>
                <w:b w:val="0"/>
                <w:color w:val="282728"/>
                <w:sz w:val="19"/>
              </w:rPr>
              <w:t>Fixes only findings marked auto_fixable, on a new branch, then pushes — never commits to main directly.</w:t>
            </w:r>
          </w:p>
        </w:tc>
      </w:tr>
    </w:tbl>
    <w:p>
      <w:pPr>
        <w:spacing w:after="240"/>
      </w:pPr>
      <w:r>
        <w:rPr>
          <w:b w:val="0"/>
          <w:i/>
          <w:color w:val="046A38"/>
          <w:sz w:val="21"/>
        </w:rPr>
        <w:t>Safety model: the tool that finds vulnerabilities (vuln-scanner) has no Edit/Write access at all — it is architecturally incapable of introducing a new vulnerability while looking for existing ones.</w:t>
      </w:r>
    </w:p>
    <w:p>
      <w:pPr>
        <w:pStyle w:val="Heading2"/>
      </w:pPr>
      <w:r>
        <w:rPr>
          <w:rFonts w:ascii="Calibri" w:hAnsi="Calibri"/>
          <w:color w:val="282728"/>
        </w:rPr>
        <w:t>2.2 /remediate — Infrastructure Remediation Pipeline</w:t>
      </w:r>
    </w:p>
    <w:p>
      <w:pPr>
        <w:spacing w:after="120"/>
      </w:pPr>
      <w:r>
        <w:rPr>
          <w:b w:val="0"/>
          <w:i w:val="0"/>
          <w:color w:val="282728"/>
          <w:sz w:val="21"/>
        </w:rPr>
        <w:t>Extends the same philosophy to enterprise vulnerability management: ingest from multiple scanner/intel sources, normalize into one schema, plan remediation by risk, then generate — never execute — fix automation for supported asset classes.</w:t>
      </w:r>
    </w:p>
    <w:tbl>
      <w:tblPr>
        <w:tblW w:type="auto" w:w="0"/>
        <w:jc w:val="center"/>
        <w:tblLayout w:type="fixed"/>
        <w:tblLook w:firstColumn="1" w:firstRow="1" w:lastColumn="0" w:lastRow="0" w:noHBand="0" w:noVBand="1" w:val="04A0"/>
      </w:tblPr>
      <w:tblGrid>
        <w:gridCol w:w="3216"/>
        <w:gridCol w:w="3216"/>
        <w:gridCol w:w="3216"/>
      </w:tblGrid>
      <w:tr>
        <w:tc>
          <w:tcPr>
            <w:tcW w:type="dxa" w:w="2592"/>
            <w:shd w:val="clear" w:color="auto" w:fill="86BC25"/>
          </w:tcPr>
          <w:p>
            <w:pPr>
              <w:jc w:val="left"/>
            </w:pPr>
            <w:r/>
            <w:r>
              <w:rPr>
                <w:rFonts w:ascii="Calibri" w:hAnsi="Calibri"/>
                <w:b/>
                <w:color w:val="FFFFFF"/>
                <w:sz w:val="19"/>
              </w:rPr>
              <w:t>Stage</w:t>
            </w:r>
          </w:p>
        </w:tc>
        <w:tc>
          <w:tcPr>
            <w:tcW w:type="dxa" w:w="2160"/>
            <w:shd w:val="clear" w:color="auto" w:fill="86BC25"/>
          </w:tcPr>
          <w:p>
            <w:pPr>
              <w:jc w:val="left"/>
            </w:pPr>
            <w:r/>
            <w:r>
              <w:rPr>
                <w:rFonts w:ascii="Calibri" w:hAnsi="Calibri"/>
                <w:b/>
                <w:color w:val="FFFFFF"/>
                <w:sz w:val="19"/>
              </w:rPr>
              <w:t>Tool Access</w:t>
            </w:r>
          </w:p>
        </w:tc>
        <w:tc>
          <w:tcPr>
            <w:tcW w:type="dxa" w:w="4608"/>
            <w:shd w:val="clear" w:color="auto" w:fill="86BC25"/>
          </w:tcPr>
          <w:p>
            <w:pPr>
              <w:jc w:val="left"/>
            </w:pPr>
            <w:r/>
            <w:r>
              <w:rPr>
                <w:rFonts w:ascii="Calibri" w:hAnsi="Calibri"/>
                <w:b/>
                <w:color w:val="FFFFFF"/>
                <w:sz w:val="19"/>
              </w:rPr>
              <w:t>Role</w:t>
            </w:r>
          </w:p>
        </w:tc>
      </w:tr>
      <w:tr>
        <w:tc>
          <w:tcPr>
            <w:tcW w:type="dxa" w:w="2592"/>
          </w:tcPr>
          <w:p>
            <w:pPr>
              <w:jc w:val="left"/>
            </w:pPr>
            <w:r/>
            <w:r>
              <w:rPr>
                <w:rFonts w:ascii="Calibri" w:hAnsi="Calibri"/>
                <w:b w:val="0"/>
                <w:color w:val="282728"/>
                <w:sz w:val="19"/>
              </w:rPr>
              <w:t>vuln-ingest-normalizer</w:t>
            </w:r>
          </w:p>
        </w:tc>
        <w:tc>
          <w:tcPr>
            <w:tcW w:type="dxa" w:w="2160"/>
          </w:tcPr>
          <w:p>
            <w:pPr>
              <w:jc w:val="left"/>
            </w:pPr>
            <w:r/>
            <w:r>
              <w:rPr>
                <w:rFonts w:ascii="Calibri" w:hAnsi="Calibri"/>
                <w:b w:val="0"/>
                <w:color w:val="282728"/>
                <w:sz w:val="19"/>
              </w:rPr>
              <w:t>Read, Glob, Write</w:t>
            </w:r>
          </w:p>
        </w:tc>
        <w:tc>
          <w:tcPr>
            <w:tcW w:type="dxa" w:w="4608"/>
          </w:tcPr>
          <w:p>
            <w:pPr>
              <w:jc w:val="left"/>
            </w:pPr>
            <w:r/>
            <w:r>
              <w:rPr>
                <w:rFonts w:ascii="Calibri" w:hAnsi="Calibri"/>
                <w:b w:val="0"/>
                <w:color w:val="282728"/>
                <w:sz w:val="19"/>
              </w:rPr>
              <w:t>Parses Tenable CSV, Armis JSON, and threat-intel JSON into one common Finding schema. Classifies each finding's asset type and routes supported domains for remediation.</w:t>
            </w:r>
          </w:p>
        </w:tc>
      </w:tr>
      <w:tr>
        <w:tc>
          <w:tcPr>
            <w:tcW w:type="dxa" w:w="2592"/>
          </w:tcPr>
          <w:p>
            <w:pPr>
              <w:jc w:val="left"/>
            </w:pPr>
            <w:r/>
            <w:r>
              <w:rPr>
                <w:rFonts w:ascii="Calibri" w:hAnsi="Calibri"/>
                <w:b w:val="0"/>
                <w:color w:val="282728"/>
                <w:sz w:val="19"/>
              </w:rPr>
              <w:t>remediation-planner</w:t>
            </w:r>
          </w:p>
        </w:tc>
        <w:tc>
          <w:tcPr>
            <w:tcW w:type="dxa" w:w="2160"/>
          </w:tcPr>
          <w:p>
            <w:pPr>
              <w:jc w:val="left"/>
            </w:pPr>
            <w:r/>
            <w:r>
              <w:rPr>
                <w:rFonts w:ascii="Calibri" w:hAnsi="Calibri"/>
                <w:b w:val="0"/>
                <w:color w:val="282728"/>
                <w:sz w:val="19"/>
              </w:rPr>
              <w:t>Read, Write</w:t>
            </w:r>
          </w:p>
        </w:tc>
        <w:tc>
          <w:tcPr>
            <w:tcW w:type="dxa" w:w="4608"/>
          </w:tcPr>
          <w:p>
            <w:pPr>
              <w:jc w:val="left"/>
            </w:pPr>
            <w:r/>
            <w:r>
              <w:rPr>
                <w:rFonts w:ascii="Calibri" w:hAnsi="Calibri"/>
                <w:b w:val="0"/>
                <w:color w:val="282728"/>
                <w:sz w:val="19"/>
              </w:rPr>
              <w:t>Assigns each finding an action type, automation target, risk tier (auto-approvable / needs-change-approval / manual-only), rollback plan, and priority.</w:t>
            </w:r>
          </w:p>
        </w:tc>
      </w:tr>
      <w:tr>
        <w:tc>
          <w:tcPr>
            <w:tcW w:type="dxa" w:w="2592"/>
          </w:tcPr>
          <w:p>
            <w:pPr>
              <w:jc w:val="left"/>
            </w:pPr>
            <w:r/>
            <w:r>
              <w:rPr>
                <w:rFonts w:ascii="Calibri" w:hAnsi="Calibri"/>
                <w:b w:val="0"/>
                <w:color w:val="282728"/>
                <w:sz w:val="19"/>
              </w:rPr>
              <w:t>remediation-fixer-windows</w:t>
            </w:r>
          </w:p>
        </w:tc>
        <w:tc>
          <w:tcPr>
            <w:tcW w:type="dxa" w:w="2160"/>
          </w:tcPr>
          <w:p>
            <w:pPr>
              <w:jc w:val="left"/>
            </w:pPr>
            <w:r/>
            <w:r>
              <w:rPr>
                <w:rFonts w:ascii="Calibri" w:hAnsi="Calibri"/>
                <w:b w:val="0"/>
                <w:color w:val="282728"/>
                <w:sz w:val="19"/>
              </w:rPr>
              <w:t>Read, Write only</w:t>
            </w:r>
          </w:p>
        </w:tc>
        <w:tc>
          <w:tcPr>
            <w:tcW w:type="dxa" w:w="4608"/>
          </w:tcPr>
          <w:p>
            <w:pPr>
              <w:jc w:val="left"/>
            </w:pPr>
            <w:r/>
            <w:r>
              <w:rPr>
                <w:rFonts w:ascii="Calibri" w:hAnsi="Calibri"/>
                <w:b w:val="0"/>
                <w:color w:val="282728"/>
                <w:sz w:val="19"/>
              </w:rPr>
              <w:t>Generates Ansible playbooks for windows-server findings. No Bash, no network, no credentials — cannot execute anything.</w:t>
            </w:r>
          </w:p>
        </w:tc>
      </w:tr>
      <w:tr>
        <w:tc>
          <w:tcPr>
            <w:tcW w:type="dxa" w:w="2592"/>
          </w:tcPr>
          <w:p>
            <w:pPr>
              <w:jc w:val="left"/>
            </w:pPr>
            <w:r/>
            <w:r>
              <w:rPr>
                <w:rFonts w:ascii="Calibri" w:hAnsi="Calibri"/>
                <w:b w:val="0"/>
                <w:color w:val="282728"/>
                <w:sz w:val="19"/>
              </w:rPr>
              <w:t>remediation-fixer-unix</w:t>
            </w:r>
          </w:p>
        </w:tc>
        <w:tc>
          <w:tcPr>
            <w:tcW w:type="dxa" w:w="2160"/>
          </w:tcPr>
          <w:p>
            <w:pPr>
              <w:jc w:val="left"/>
            </w:pPr>
            <w:r/>
            <w:r>
              <w:rPr>
                <w:rFonts w:ascii="Calibri" w:hAnsi="Calibri"/>
                <w:b w:val="0"/>
                <w:color w:val="282728"/>
                <w:sz w:val="19"/>
              </w:rPr>
              <w:t>Read, Write only</w:t>
            </w:r>
          </w:p>
        </w:tc>
        <w:tc>
          <w:tcPr>
            <w:tcW w:type="dxa" w:w="4608"/>
          </w:tcPr>
          <w:p>
            <w:pPr>
              <w:jc w:val="left"/>
            </w:pPr>
            <w:r/>
            <w:r>
              <w:rPr>
                <w:rFonts w:ascii="Calibri" w:hAnsi="Calibri"/>
                <w:b w:val="0"/>
                <w:color w:val="282728"/>
                <w:sz w:val="19"/>
              </w:rPr>
              <w:t>Generates Ansible playbooks for unix-server findings. Same restricted tool access as the Windows fixer.</w:t>
            </w:r>
          </w:p>
        </w:tc>
      </w:tr>
    </w:tbl>
    <w:p>
      <w:pPr>
        <w:spacing w:after="80"/>
      </w:pPr>
      <w:r>
        <w:rPr>
          <w:b w:val="0"/>
          <w:i w:val="0"/>
          <w:color w:val="282728"/>
          <w:sz w:val="21"/>
        </w:rPr>
        <w:t>Asset class coverage today:</w:t>
      </w:r>
    </w:p>
    <w:tbl>
      <w:tblPr>
        <w:tblW w:type="auto" w:w="0"/>
        <w:jc w:val="center"/>
        <w:tblLayout w:type="fixed"/>
        <w:tblLook w:firstColumn="1" w:firstRow="1" w:lastColumn="0" w:lastRow="0" w:noHBand="0" w:noVBand="1" w:val="04A0"/>
      </w:tblPr>
      <w:tblGrid>
        <w:gridCol w:w="3216"/>
        <w:gridCol w:w="3216"/>
        <w:gridCol w:w="3216"/>
      </w:tblGrid>
      <w:tr>
        <w:tc>
          <w:tcPr>
            <w:tcW w:type="dxa" w:w="3888"/>
            <w:shd w:val="clear" w:color="auto" w:fill="86BC25"/>
          </w:tcPr>
          <w:p>
            <w:pPr>
              <w:jc w:val="left"/>
            </w:pPr>
            <w:r/>
            <w:r>
              <w:rPr>
                <w:rFonts w:ascii="Calibri" w:hAnsi="Calibri"/>
                <w:b/>
                <w:color w:val="FFFFFF"/>
                <w:sz w:val="19"/>
              </w:rPr>
              <w:t>Asset Class</w:t>
            </w:r>
          </w:p>
        </w:tc>
        <w:tc>
          <w:tcPr>
            <w:tcW w:type="dxa" w:w="2592"/>
            <w:shd w:val="clear" w:color="auto" w:fill="86BC25"/>
          </w:tcPr>
          <w:p>
            <w:pPr>
              <w:jc w:val="left"/>
            </w:pPr>
            <w:r/>
            <w:r>
              <w:rPr>
                <w:rFonts w:ascii="Calibri" w:hAnsi="Calibri"/>
                <w:b/>
                <w:color w:val="FFFFFF"/>
                <w:sz w:val="19"/>
              </w:rPr>
              <w:t>Ingested &amp; Planned?</w:t>
            </w:r>
          </w:p>
        </w:tc>
        <w:tc>
          <w:tcPr>
            <w:tcW w:type="dxa" w:w="2880"/>
            <w:shd w:val="clear" w:color="auto" w:fill="86BC25"/>
          </w:tcPr>
          <w:p>
            <w:pPr>
              <w:jc w:val="left"/>
            </w:pPr>
            <w:r/>
            <w:r>
              <w:rPr>
                <w:rFonts w:ascii="Calibri" w:hAnsi="Calibri"/>
                <w:b/>
                <w:color w:val="FFFFFF"/>
                <w:sz w:val="19"/>
              </w:rPr>
              <w:t>Automated Fix Generation?</w:t>
            </w:r>
          </w:p>
        </w:tc>
      </w:tr>
      <w:tr>
        <w:tc>
          <w:tcPr>
            <w:tcW w:type="dxa" w:w="3888"/>
          </w:tcPr>
          <w:p>
            <w:pPr>
              <w:jc w:val="left"/>
            </w:pPr>
            <w:r/>
            <w:r>
              <w:rPr>
                <w:rFonts w:ascii="Calibri" w:hAnsi="Calibri"/>
                <w:b w:val="0"/>
                <w:color w:val="282728"/>
                <w:sz w:val="19"/>
              </w:rPr>
              <w:t>Windows Server</w:t>
            </w:r>
          </w:p>
        </w:tc>
        <w:tc>
          <w:tcPr>
            <w:tcW w:type="dxa" w:w="2592"/>
          </w:tcPr>
          <w:p>
            <w:pPr>
              <w:jc w:val="left"/>
            </w:pPr>
            <w:r/>
            <w:r>
              <w:rPr>
                <w:rFonts w:ascii="Calibri" w:hAnsi="Calibri"/>
                <w:b w:val="0"/>
                <w:color w:val="282728"/>
                <w:sz w:val="19"/>
              </w:rPr>
              <w:t>Yes</w:t>
            </w:r>
          </w:p>
        </w:tc>
        <w:tc>
          <w:tcPr>
            <w:tcW w:type="dxa" w:w="2880"/>
          </w:tcPr>
          <w:p>
            <w:pPr>
              <w:jc w:val="left"/>
            </w:pPr>
            <w:r/>
            <w:r>
              <w:rPr>
                <w:rFonts w:ascii="Calibri" w:hAnsi="Calibri"/>
                <w:b w:val="0"/>
                <w:color w:val="282728"/>
                <w:sz w:val="19"/>
              </w:rPr>
              <w:t>Yes — remediation-fixer-windows</w:t>
            </w:r>
          </w:p>
        </w:tc>
      </w:tr>
      <w:tr>
        <w:tc>
          <w:tcPr>
            <w:tcW w:type="dxa" w:w="3888"/>
          </w:tcPr>
          <w:p>
            <w:pPr>
              <w:jc w:val="left"/>
            </w:pPr>
            <w:r/>
            <w:r>
              <w:rPr>
                <w:rFonts w:ascii="Calibri" w:hAnsi="Calibri"/>
                <w:b w:val="0"/>
                <w:color w:val="282728"/>
                <w:sz w:val="19"/>
              </w:rPr>
              <w:t>Unix / Linux Server</w:t>
            </w:r>
          </w:p>
        </w:tc>
        <w:tc>
          <w:tcPr>
            <w:tcW w:type="dxa" w:w="2592"/>
          </w:tcPr>
          <w:p>
            <w:pPr>
              <w:jc w:val="left"/>
            </w:pPr>
            <w:r/>
            <w:r>
              <w:rPr>
                <w:rFonts w:ascii="Calibri" w:hAnsi="Calibri"/>
                <w:b w:val="0"/>
                <w:color w:val="282728"/>
                <w:sz w:val="19"/>
              </w:rPr>
              <w:t>Yes</w:t>
            </w:r>
          </w:p>
        </w:tc>
        <w:tc>
          <w:tcPr>
            <w:tcW w:type="dxa" w:w="2880"/>
          </w:tcPr>
          <w:p>
            <w:pPr>
              <w:jc w:val="left"/>
            </w:pPr>
            <w:r/>
            <w:r>
              <w:rPr>
                <w:rFonts w:ascii="Calibri" w:hAnsi="Calibri"/>
                <w:b w:val="0"/>
                <w:color w:val="282728"/>
                <w:sz w:val="19"/>
              </w:rPr>
              <w:t>Yes — remediation-fixer-unix</w:t>
            </w:r>
          </w:p>
        </w:tc>
      </w:tr>
      <w:tr>
        <w:tc>
          <w:tcPr>
            <w:tcW w:type="dxa" w:w="3888"/>
          </w:tcPr>
          <w:p>
            <w:pPr>
              <w:jc w:val="left"/>
            </w:pPr>
            <w:r/>
            <w:r>
              <w:rPr>
                <w:rFonts w:ascii="Calibri" w:hAnsi="Calibri"/>
                <w:b w:val="0"/>
                <w:color w:val="282728"/>
                <w:sz w:val="19"/>
              </w:rPr>
              <w:t>Network routing/switching</w:t>
            </w:r>
          </w:p>
        </w:tc>
        <w:tc>
          <w:tcPr>
            <w:tcW w:type="dxa" w:w="2592"/>
          </w:tcPr>
          <w:p>
            <w:pPr>
              <w:jc w:val="left"/>
            </w:pPr>
            <w:r/>
            <w:r>
              <w:rPr>
                <w:rFonts w:ascii="Calibri" w:hAnsi="Calibri"/>
                <w:b w:val="0"/>
                <w:color w:val="282728"/>
                <w:sz w:val="19"/>
              </w:rPr>
              <w:t>Yes</w:t>
            </w:r>
          </w:p>
        </w:tc>
        <w:tc>
          <w:tcPr>
            <w:tcW w:type="dxa" w:w="2880"/>
          </w:tcPr>
          <w:p>
            <w:pPr>
              <w:jc w:val="left"/>
            </w:pPr>
            <w:r/>
            <w:r>
              <w:rPr>
                <w:rFonts w:ascii="Calibri" w:hAnsi="Calibri"/>
                <w:b w:val="0"/>
                <w:color w:val="282728"/>
                <w:sz w:val="19"/>
              </w:rPr>
              <w:t>Not yet — planned, no fixer built</w:t>
            </w:r>
          </w:p>
        </w:tc>
      </w:tr>
      <w:tr>
        <w:tc>
          <w:tcPr>
            <w:tcW w:type="dxa" w:w="3888"/>
          </w:tcPr>
          <w:p>
            <w:pPr>
              <w:jc w:val="left"/>
            </w:pPr>
            <w:r/>
            <w:r>
              <w:rPr>
                <w:rFonts w:ascii="Calibri" w:hAnsi="Calibri"/>
                <w:b w:val="0"/>
                <w:color w:val="282728"/>
                <w:sz w:val="19"/>
              </w:rPr>
              <w:t>Network security devices (firewalls)</w:t>
            </w:r>
          </w:p>
        </w:tc>
        <w:tc>
          <w:tcPr>
            <w:tcW w:type="dxa" w:w="2592"/>
          </w:tcPr>
          <w:p>
            <w:pPr>
              <w:jc w:val="left"/>
            </w:pPr>
            <w:r/>
            <w:r>
              <w:rPr>
                <w:rFonts w:ascii="Calibri" w:hAnsi="Calibri"/>
                <w:b w:val="0"/>
                <w:color w:val="282728"/>
                <w:sz w:val="19"/>
              </w:rPr>
              <w:t>Yes</w:t>
            </w:r>
          </w:p>
        </w:tc>
        <w:tc>
          <w:tcPr>
            <w:tcW w:type="dxa" w:w="2880"/>
          </w:tcPr>
          <w:p>
            <w:pPr>
              <w:jc w:val="left"/>
            </w:pPr>
            <w:r/>
            <w:r>
              <w:rPr>
                <w:rFonts w:ascii="Calibri" w:hAnsi="Calibri"/>
                <w:b w:val="0"/>
                <w:color w:val="282728"/>
                <w:sz w:val="19"/>
              </w:rPr>
              <w:t>Not yet — planned, no fixer built</w:t>
            </w:r>
          </w:p>
        </w:tc>
      </w:tr>
      <w:tr>
        <w:tc>
          <w:tcPr>
            <w:tcW w:type="dxa" w:w="3888"/>
          </w:tcPr>
          <w:p>
            <w:pPr>
              <w:jc w:val="left"/>
            </w:pPr>
            <w:r/>
            <w:r>
              <w:rPr>
                <w:rFonts w:ascii="Calibri" w:hAnsi="Calibri"/>
                <w:b w:val="0"/>
                <w:color w:val="282728"/>
                <w:sz w:val="19"/>
              </w:rPr>
              <w:t>IoT/OT devices, mobile endpoints</w:t>
            </w:r>
          </w:p>
        </w:tc>
        <w:tc>
          <w:tcPr>
            <w:tcW w:type="dxa" w:w="2592"/>
          </w:tcPr>
          <w:p>
            <w:pPr>
              <w:jc w:val="left"/>
            </w:pPr>
            <w:r/>
            <w:r>
              <w:rPr>
                <w:rFonts w:ascii="Calibri" w:hAnsi="Calibri"/>
                <w:b w:val="0"/>
                <w:color w:val="282728"/>
                <w:sz w:val="19"/>
              </w:rPr>
              <w:t>Yes</w:t>
            </w:r>
          </w:p>
        </w:tc>
        <w:tc>
          <w:tcPr>
            <w:tcW w:type="dxa" w:w="2880"/>
          </w:tcPr>
          <w:p>
            <w:pPr>
              <w:jc w:val="left"/>
            </w:pPr>
            <w:r/>
            <w:r>
              <w:rPr>
                <w:rFonts w:ascii="Calibri" w:hAnsi="Calibri"/>
                <w:b w:val="0"/>
                <w:color w:val="282728"/>
                <w:sz w:val="19"/>
              </w:rPr>
              <w:t>Not yet — planned, no fixer built</w:t>
            </w:r>
          </w:p>
        </w:tc>
      </w:tr>
    </w:tbl>
    <w:p>
      <w:pPr>
        <w:pStyle w:val="Heading2"/>
      </w:pPr>
      <w:r>
        <w:rPr>
          <w:rFonts w:ascii="Calibri" w:hAnsi="Calibri"/>
          <w:color w:val="282728"/>
        </w:rPr>
        <w:t>2.3 Safety Model</w:t>
      </w:r>
    </w:p>
    <w:p>
      <w:pPr>
        <w:spacing w:after="120"/>
      </w:pPr>
      <w:r>
        <w:rPr>
          <w:b w:val="0"/>
          <w:i w:val="0"/>
          <w:color w:val="282728"/>
          <w:sz w:val="21"/>
        </w:rPr>
        <w:t>No AI component in this system can touch real infrastructure. This is enforced by tool scoping, not by instruction alone:</w:t>
      </w:r>
    </w:p>
    <w:p>
      <w:pPr>
        <w:pStyle w:val="ListBullet"/>
      </w:pPr>
      <w:r>
        <w:rPr>
          <w:color w:val="282728"/>
          <w:sz w:val="21"/>
        </w:rPr>
        <w:t>remediation-fixer-windows and remediation-fixer-unix have only Read/Write tools — no Bash, no network access, no credentials. They cannot connect to a real host even if instructed to.</w:t>
      </w:r>
    </w:p>
    <w:p>
      <w:pPr>
        <w:pStyle w:val="ListBullet"/>
      </w:pPr>
      <w:r>
        <w:rPr>
          <w:color w:val="282728"/>
          <w:sz w:val="21"/>
        </w:rPr>
        <w:t>Every generated Ansible playbook is an artifact for a human, or an org's existing approved automation platform (Ansible Tower/AWX, Intune, SCCM) with its own RBAC, to review and run.</w:t>
      </w:r>
    </w:p>
    <w:p>
      <w:pPr>
        <w:pStyle w:val="ListBullet"/>
      </w:pPr>
      <w:r>
        <w:rPr>
          <w:color w:val="282728"/>
          <w:sz w:val="21"/>
        </w:rPr>
        <w:t>remediation-planner defaults to the more conservative risk tier whenever uncertain — domain controllers, auth servers, and anything with plausible outage risk are flagged needs-change-approval, never auto-approved by default.</w:t>
      </w:r>
    </w:p>
    <w:p>
      <w:pPr>
        <w:pStyle w:val="ListBullet"/>
      </w:pPr>
      <w:r>
        <w:rPr>
          <w:color w:val="282728"/>
          <w:sz w:val="21"/>
        </w:rPr>
        <w:t>vuln-fixer (code pipeline) only ever commits to a new branch and pushes — it never modifies main directly, and stops with a clear manual-step message if the push fails.</w:t>
      </w:r>
    </w:p>
    <w:p>
      <w:r>
        <w:br w:type="page"/>
      </w:r>
    </w:p>
    <w:p>
      <w:pPr>
        <w:pStyle w:val="Heading1"/>
      </w:pPr>
      <w:r>
        <w:rPr>
          <w:rFonts w:ascii="Calibri" w:hAnsi="Calibri"/>
          <w:color w:val="046A38"/>
        </w:rPr>
        <w:t>3. Test Plan &amp; Methodology</w:t>
      </w:r>
    </w:p>
    <w:p>
      <w:pPr>
        <w:spacing w:after="120"/>
      </w:pPr>
      <w:r>
        <w:rPr>
          <w:b w:val="0"/>
          <w:i w:val="0"/>
          <w:color w:val="282728"/>
          <w:sz w:val="21"/>
        </w:rPr>
        <w:t>Testing does not invoke the Claude Code subagents directly — they only run inside an interactive Claude Code session. Instead, a 33-test suite (Python's built-in unittest, no external dependencies) validates the real artifacts those agents produced during the documented validation run: git history (the vulnerable baseline branch vs. the fix branch) for /vulnhunt, and the generated files under remediation/output/ plus REMEDIATION_PLAN.md for /remediate. This makes the suite both a regression check — re-run after any prompt/agent edit to catch drift — and the test evidence for this report.</w:t>
      </w:r>
    </w:p>
    <w:tbl>
      <w:tblPr>
        <w:tblW w:type="auto" w:w="0"/>
        <w:jc w:val="center"/>
        <w:tblLayout w:type="fixed"/>
        <w:tblLook w:firstColumn="1" w:firstRow="1" w:lastColumn="0" w:lastRow="0" w:noHBand="0" w:noVBand="1" w:val="04A0"/>
      </w:tblPr>
      <w:tblGrid>
        <w:gridCol w:w="3216"/>
        <w:gridCol w:w="3216"/>
        <w:gridCol w:w="3216"/>
      </w:tblGrid>
      <w:tr>
        <w:tc>
          <w:tcPr>
            <w:tcW w:type="dxa" w:w="3744"/>
            <w:shd w:val="clear" w:color="auto" w:fill="86BC25"/>
          </w:tcPr>
          <w:p>
            <w:pPr>
              <w:jc w:val="left"/>
            </w:pPr>
            <w:r/>
            <w:r>
              <w:rPr>
                <w:rFonts w:ascii="Calibri" w:hAnsi="Calibri"/>
                <w:b/>
                <w:color w:val="FFFFFF"/>
                <w:sz w:val="19"/>
              </w:rPr>
              <w:t>Test Class</w:t>
            </w:r>
          </w:p>
        </w:tc>
        <w:tc>
          <w:tcPr>
            <w:tcW w:type="dxa" w:w="5184"/>
            <w:shd w:val="clear" w:color="auto" w:fill="86BC25"/>
          </w:tcPr>
          <w:p>
            <w:pPr>
              <w:jc w:val="left"/>
            </w:pPr>
            <w:r/>
            <w:r>
              <w:rPr>
                <w:rFonts w:ascii="Calibri" w:hAnsi="Calibri"/>
                <w:b/>
                <w:color w:val="FFFFFF"/>
                <w:sz w:val="19"/>
              </w:rPr>
              <w:t>What It Verifies</w:t>
            </w:r>
          </w:p>
        </w:tc>
        <w:tc>
          <w:tcPr>
            <w:tcW w:type="dxa" w:w="864"/>
            <w:shd w:val="clear" w:color="auto" w:fill="86BC25"/>
          </w:tcPr>
          <w:p>
            <w:pPr>
              <w:jc w:val="left"/>
            </w:pPr>
            <w:r/>
            <w:r>
              <w:rPr>
                <w:rFonts w:ascii="Calibri" w:hAnsi="Calibri"/>
                <w:b/>
                <w:color w:val="FFFFFF"/>
                <w:sz w:val="19"/>
              </w:rPr>
              <w:t>Tests</w:t>
            </w:r>
          </w:p>
        </w:tc>
      </w:tr>
      <w:tr>
        <w:tc>
          <w:tcPr>
            <w:tcW w:type="dxa" w:w="3744"/>
          </w:tcPr>
          <w:p>
            <w:pPr>
              <w:jc w:val="left"/>
            </w:pPr>
            <w:r/>
            <w:r>
              <w:rPr>
                <w:rFonts w:ascii="Calibri" w:hAnsi="Calibri"/>
                <w:b w:val="0"/>
                <w:color w:val="282728"/>
                <w:sz w:val="19"/>
              </w:rPr>
              <w:t>VulnHuntScannerFindsRealVulnerabilities</w:t>
            </w:r>
          </w:p>
        </w:tc>
        <w:tc>
          <w:tcPr>
            <w:tcW w:type="dxa" w:w="5184"/>
          </w:tcPr>
          <w:p>
            <w:pPr>
              <w:jc w:val="left"/>
            </w:pPr>
            <w:r/>
            <w:r>
              <w:rPr>
                <w:rFonts w:ascii="Calibri" w:hAnsi="Calibri"/>
                <w:b w:val="0"/>
                <w:color w:val="282728"/>
                <w:sz w:val="19"/>
              </w:rPr>
              <w:t>The vulnerable baseline actually contains the 6 planted app-level vulnerabilities and 2 Dockerfile issues it claims to.</w:t>
            </w:r>
          </w:p>
        </w:tc>
        <w:tc>
          <w:tcPr>
            <w:tcW w:type="dxa" w:w="864"/>
          </w:tcPr>
          <w:p>
            <w:pPr>
              <w:jc w:val="left"/>
            </w:pPr>
            <w:r/>
            <w:r>
              <w:rPr>
                <w:rFonts w:ascii="Calibri" w:hAnsi="Calibri"/>
                <w:b w:val="0"/>
                <w:color w:val="282728"/>
                <w:sz w:val="19"/>
              </w:rPr>
              <w:t>7</w:t>
            </w:r>
          </w:p>
        </w:tc>
      </w:tr>
      <w:tr>
        <w:tc>
          <w:tcPr>
            <w:tcW w:type="dxa" w:w="3744"/>
          </w:tcPr>
          <w:p>
            <w:pPr>
              <w:jc w:val="left"/>
            </w:pPr>
            <w:r/>
            <w:r>
              <w:rPr>
                <w:rFonts w:ascii="Calibri" w:hAnsi="Calibri"/>
                <w:b w:val="0"/>
                <w:color w:val="282728"/>
                <w:sz w:val="19"/>
              </w:rPr>
              <w:t>VulnHuntFixerAppliesOnlyApprovedFixes</w:t>
            </w:r>
          </w:p>
        </w:tc>
        <w:tc>
          <w:tcPr>
            <w:tcW w:type="dxa" w:w="5184"/>
          </w:tcPr>
          <w:p>
            <w:pPr>
              <w:jc w:val="left"/>
            </w:pPr>
            <w:r/>
            <w:r>
              <w:rPr>
                <w:rFonts w:ascii="Calibri" w:hAnsi="Calibri"/>
                <w:b w:val="0"/>
                <w:color w:val="282728"/>
                <w:sz w:val="19"/>
              </w:rPr>
              <w:t>The fix branch fixes exactly the 6 auto-fixable findings (secret, SQLi, command injection, debug mode, Docker root/secret) and leaves eval() and plaintext passwords untouched.</w:t>
            </w:r>
          </w:p>
        </w:tc>
        <w:tc>
          <w:tcPr>
            <w:tcW w:type="dxa" w:w="864"/>
          </w:tcPr>
          <w:p>
            <w:pPr>
              <w:jc w:val="left"/>
            </w:pPr>
            <w:r/>
            <w:r>
              <w:rPr>
                <w:rFonts w:ascii="Calibri" w:hAnsi="Calibri"/>
                <w:b w:val="0"/>
                <w:color w:val="282728"/>
                <w:sz w:val="19"/>
              </w:rPr>
              <w:t>8</w:t>
            </w:r>
          </w:p>
        </w:tc>
      </w:tr>
      <w:tr>
        <w:tc>
          <w:tcPr>
            <w:tcW w:type="dxa" w:w="3744"/>
          </w:tcPr>
          <w:p>
            <w:pPr>
              <w:jc w:val="left"/>
            </w:pPr>
            <w:r/>
            <w:r>
              <w:rPr>
                <w:rFonts w:ascii="Calibri" w:hAnsi="Calibri"/>
                <w:b w:val="0"/>
                <w:color w:val="282728"/>
                <w:sz w:val="19"/>
              </w:rPr>
              <w:t>VulnHuntReportIsAccurate</w:t>
            </w:r>
          </w:p>
        </w:tc>
        <w:tc>
          <w:tcPr>
            <w:tcW w:type="dxa" w:w="5184"/>
          </w:tcPr>
          <w:p>
            <w:pPr>
              <w:jc w:val="left"/>
            </w:pPr>
            <w:r/>
            <w:r>
              <w:rPr>
                <w:rFonts w:ascii="Calibri" w:hAnsi="Calibri"/>
                <w:b w:val="0"/>
                <w:color w:val="282728"/>
                <w:sz w:val="19"/>
              </w:rPr>
              <w:t>SECURITY_REPORT.md's stated numbers (9 findings, 6 auto-fixed) and all 9 finding IDs match reality.</w:t>
            </w:r>
          </w:p>
        </w:tc>
        <w:tc>
          <w:tcPr>
            <w:tcW w:type="dxa" w:w="864"/>
          </w:tcPr>
          <w:p>
            <w:pPr>
              <w:jc w:val="left"/>
            </w:pPr>
            <w:r/>
            <w:r>
              <w:rPr>
                <w:rFonts w:ascii="Calibri" w:hAnsi="Calibri"/>
                <w:b w:val="0"/>
                <w:color w:val="282728"/>
                <w:sz w:val="19"/>
              </w:rPr>
              <w:t>3</w:t>
            </w:r>
          </w:p>
        </w:tc>
      </w:tr>
      <w:tr>
        <w:tc>
          <w:tcPr>
            <w:tcW w:type="dxa" w:w="3744"/>
          </w:tcPr>
          <w:p>
            <w:pPr>
              <w:jc w:val="left"/>
            </w:pPr>
            <w:r/>
            <w:r>
              <w:rPr>
                <w:rFonts w:ascii="Calibri" w:hAnsi="Calibri"/>
                <w:b w:val="0"/>
                <w:color w:val="282728"/>
                <w:sz w:val="19"/>
              </w:rPr>
              <w:t>RemediationNormalizedFindingsAreWellFormed</w:t>
            </w:r>
          </w:p>
        </w:tc>
        <w:tc>
          <w:tcPr>
            <w:tcW w:type="dxa" w:w="5184"/>
          </w:tcPr>
          <w:p>
            <w:pPr>
              <w:jc w:val="left"/>
            </w:pPr>
            <w:r/>
            <w:r>
              <w:rPr>
                <w:rFonts w:ascii="Calibri" w:hAnsi="Calibri"/>
                <w:b w:val="0"/>
                <w:color w:val="282728"/>
                <w:sz w:val="19"/>
              </w:rPr>
              <w:t>normalized-findings.json has exactly 11 well-formed findings, correct asset-type classification, correct remediation_domain routing, and no fabricated CVE IDs.</w:t>
            </w:r>
          </w:p>
        </w:tc>
        <w:tc>
          <w:tcPr>
            <w:tcW w:type="dxa" w:w="864"/>
          </w:tcPr>
          <w:p>
            <w:pPr>
              <w:jc w:val="left"/>
            </w:pPr>
            <w:r/>
            <w:r>
              <w:rPr>
                <w:rFonts w:ascii="Calibri" w:hAnsi="Calibri"/>
                <w:b w:val="0"/>
                <w:color w:val="282728"/>
                <w:sz w:val="19"/>
              </w:rPr>
              <w:t>7</w:t>
            </w:r>
          </w:p>
        </w:tc>
      </w:tr>
      <w:tr>
        <w:tc>
          <w:tcPr>
            <w:tcW w:type="dxa" w:w="3744"/>
          </w:tcPr>
          <w:p>
            <w:pPr>
              <w:jc w:val="left"/>
            </w:pPr>
            <w:r/>
            <w:r>
              <w:rPr>
                <w:rFonts w:ascii="Calibri" w:hAnsi="Calibri"/>
                <w:b w:val="0"/>
                <w:color w:val="282728"/>
                <w:sz w:val="19"/>
              </w:rPr>
              <w:t>RemediationPlanIsConsistentWithFindings</w:t>
            </w:r>
          </w:p>
        </w:tc>
        <w:tc>
          <w:tcPr>
            <w:tcW w:type="dxa" w:w="5184"/>
          </w:tcPr>
          <w:p>
            <w:pPr>
              <w:jc w:val="left"/>
            </w:pPr>
            <w:r/>
            <w:r>
              <w:rPr>
                <w:rFonts w:ascii="Calibri" w:hAnsi="Calibri"/>
                <w:b w:val="0"/>
                <w:color w:val="282728"/>
                <w:sz w:val="19"/>
              </w:rPr>
              <w:t>REMEDIATION_PLAN.md references every finding ID and explicitly calls out manual-only asset classes.</w:t>
            </w:r>
          </w:p>
        </w:tc>
        <w:tc>
          <w:tcPr>
            <w:tcW w:type="dxa" w:w="864"/>
          </w:tcPr>
          <w:p>
            <w:pPr>
              <w:jc w:val="left"/>
            </w:pPr>
            <w:r/>
            <w:r>
              <w:rPr>
                <w:rFonts w:ascii="Calibri" w:hAnsi="Calibri"/>
                <w:b w:val="0"/>
                <w:color w:val="282728"/>
                <w:sz w:val="19"/>
              </w:rPr>
              <w:t>2</w:t>
            </w:r>
          </w:p>
        </w:tc>
      </w:tr>
      <w:tr>
        <w:tc>
          <w:tcPr>
            <w:tcW w:type="dxa" w:w="3744"/>
          </w:tcPr>
          <w:p>
            <w:pPr>
              <w:jc w:val="left"/>
            </w:pPr>
            <w:r/>
            <w:r>
              <w:rPr>
                <w:rFonts w:ascii="Calibri" w:hAnsi="Calibri"/>
                <w:b w:val="0"/>
                <w:color w:val="282728"/>
                <w:sz w:val="19"/>
              </w:rPr>
              <w:t>RemediationPlaybooksMatchThePlan</w:t>
            </w:r>
          </w:p>
        </w:tc>
        <w:tc>
          <w:tcPr>
            <w:tcW w:type="dxa" w:w="5184"/>
          </w:tcPr>
          <w:p>
            <w:pPr>
              <w:jc w:val="left"/>
            </w:pPr>
            <w:r/>
            <w:r>
              <w:rPr>
                <w:rFonts w:ascii="Calibri" w:hAnsi="Calibri"/>
                <w:b w:val="0"/>
                <w:color w:val="282728"/>
                <w:sz w:val="19"/>
              </w:rPr>
              <w:t>Exactly 7 playbooks exist, one per automatable finding (no more, no fewer), each with its finding ID, rollback instructions, and the correct change-approval marker for its risk tier.</w:t>
            </w:r>
          </w:p>
        </w:tc>
        <w:tc>
          <w:tcPr>
            <w:tcW w:type="dxa" w:w="864"/>
          </w:tcPr>
          <w:p>
            <w:pPr>
              <w:jc w:val="left"/>
            </w:pPr>
            <w:r/>
            <w:r>
              <w:rPr>
                <w:rFonts w:ascii="Calibri" w:hAnsi="Calibri"/>
                <w:b w:val="0"/>
                <w:color w:val="282728"/>
                <w:sz w:val="19"/>
              </w:rPr>
              <w:t>5</w:t>
            </w:r>
          </w:p>
        </w:tc>
      </w:tr>
      <w:tr>
        <w:tc>
          <w:tcPr>
            <w:tcW w:type="dxa" w:w="3744"/>
          </w:tcPr>
          <w:p>
            <w:pPr>
              <w:jc w:val="left"/>
            </w:pPr>
            <w:r/>
            <w:r>
              <w:rPr>
                <w:rFonts w:ascii="Calibri" w:hAnsi="Calibri"/>
                <w:b w:val="0"/>
                <w:color w:val="282728"/>
                <w:sz w:val="19"/>
              </w:rPr>
              <w:t>NoRealSecretsLeakedAnywhere</w:t>
            </w:r>
          </w:p>
        </w:tc>
        <w:tc>
          <w:tcPr>
            <w:tcW w:type="dxa" w:w="5184"/>
          </w:tcPr>
          <w:p>
            <w:pPr>
              <w:jc w:val="left"/>
            </w:pPr>
            <w:r/>
            <w:r>
              <w:rPr>
                <w:rFonts w:ascii="Calibri" w:hAnsi="Calibri"/>
                <w:b w:val="0"/>
                <w:color w:val="282728"/>
                <w:sz w:val="19"/>
              </w:rPr>
              <w:t>No real-looking secret patterns (private keys, realistic API keys, AWS key IDs) exist anywhere in the tracked repository.</w:t>
            </w:r>
          </w:p>
        </w:tc>
        <w:tc>
          <w:tcPr>
            <w:tcW w:type="dxa" w:w="864"/>
          </w:tcPr>
          <w:p>
            <w:pPr>
              <w:jc w:val="left"/>
            </w:pPr>
            <w:r/>
            <w:r>
              <w:rPr>
                <w:rFonts w:ascii="Calibri" w:hAnsi="Calibri"/>
                <w:b w:val="0"/>
                <w:color w:val="282728"/>
                <w:sz w:val="19"/>
              </w:rPr>
              <w:t>1</w:t>
            </w:r>
          </w:p>
        </w:tc>
      </w:tr>
    </w:tbl>
    <w:p>
      <w:r>
        <w:br w:type="page"/>
      </w:r>
    </w:p>
    <w:p>
      <w:pPr>
        <w:pStyle w:val="Heading1"/>
      </w:pPr>
      <w:r>
        <w:rPr>
          <w:rFonts w:ascii="Calibri" w:hAnsi="Calibri"/>
          <w:color w:val="046A38"/>
        </w:rPr>
        <w:t>4. Test Results</w:t>
      </w:r>
    </w:p>
    <w:p>
      <w:pPr>
        <w:spacing w:after="120"/>
      </w:pPr>
      <w:r>
        <w:rPr>
          <w:b w:val="0"/>
          <w:i w:val="0"/>
          <w:color w:val="282728"/>
          <w:sz w:val="21"/>
        </w:rPr>
        <w:t>Full suite run, captured verbatim (tests/test_results.txt):</w:t>
      </w:r>
    </w:p>
    <w:tbl>
      <w:tblPr>
        <w:tblW w:type="auto" w:w="0"/>
        <w:tblLook w:firstColumn="1" w:firstRow="1" w:lastColumn="0" w:lastRow="0" w:noHBand="0" w:noVBand="1" w:val="04A0"/>
      </w:tblPr>
      <w:tblGrid>
        <w:gridCol w:w="9648"/>
      </w:tblGrid>
      <w:tr>
        <w:tc>
          <w:tcPr>
            <w:tcW w:type="dxa" w:w="9648"/>
            <w:shd w:val="clear" w:color="auto" w:fill="F2F2F2"/>
          </w:tcPr>
          <w:p>
            <w:pPr>
              <w:spacing w:after="0"/>
            </w:pPr>
            <w:r/>
            <w:r>
              <w:rPr>
                <w:rFonts w:ascii="Consolas" w:hAnsi="Consolas"/>
                <w:color w:val="282728"/>
                <w:sz w:val="18"/>
              </w:rPr>
              <w:t>Ran 33 tests in 1.140s</w:t>
            </w:r>
          </w:p>
          <w:p>
            <w:pPr>
              <w:spacing w:after="0"/>
            </w:pPr>
            <w:r>
              <w:rPr>
                <w:rFonts w:ascii="Consolas" w:hAnsi="Consolas"/>
                <w:color w:val="282728"/>
                <w:sz w:val="18"/>
              </w:rPr>
              <w:t xml:space="preserve"> </w:t>
            </w:r>
          </w:p>
          <w:p>
            <w:pPr>
              <w:spacing w:after="0"/>
            </w:pPr>
            <w:r>
              <w:rPr>
                <w:rFonts w:ascii="Consolas" w:hAnsi="Consolas"/>
                <w:color w:val="282728"/>
                <w:sz w:val="18"/>
              </w:rPr>
              <w:t>OK</w:t>
            </w:r>
          </w:p>
        </w:tc>
      </w:tr>
    </w:tbl>
    <w:p>
      <w:pPr>
        <w:spacing w:after="120"/>
      </w:pPr>
      <w:r>
        <w:rPr>
          <w:b w:val="0"/>
          <w:i w:val="0"/>
          <w:color w:val="282728"/>
          <w:sz w:val="21"/>
        </w:rPr>
        <w:t>All 33 tests pass. The suite itself caught 3 real issues before they shipped, worth noting as evidence of genuine (not rubber-stamped) testing:</w:t>
      </w:r>
    </w:p>
    <w:p>
      <w:pPr>
        <w:pStyle w:val="ListBullet"/>
      </w:pPr>
      <w:r>
        <w:rPr>
          <w:color w:val="282728"/>
          <w:sz w:val="21"/>
        </w:rPr>
        <w:t>Two false positives in the test assertions themselves — a substring match against comment text (e.g. a Dockerfile comment documenting "no USER instruction" tripped a check for an actual USER directive). Fixed by tightening the regexes to match real directives, not prose mentioning them.</w:t>
      </w:r>
    </w:p>
    <w:p>
      <w:pPr>
        <w:pStyle w:val="ListBullet"/>
      </w:pPr>
      <w:r>
        <w:rPr>
          <w:color w:val="282728"/>
          <w:sz w:val="21"/>
        </w:rPr>
        <w:t>GitHub's own secret-scanning push protection blocked the first push to the repository because the demo's fake Stripe API key (used to simulate a hardcoded-secret finding) was realistic enough to match Stripe's real key format. The fake key was reformatted to be unambiguously non-matching, and git history was rewritten (pre-push, local-only) to remove the flagged string everywhere it appeared — confirmed via a full history grep before re-pushing.</w:t>
      </w:r>
    </w:p>
    <w:p>
      <w:r>
        <w:br w:type="page"/>
      </w:r>
    </w:p>
    <w:p>
      <w:pPr>
        <w:pStyle w:val="Heading1"/>
      </w:pPr>
      <w:r>
        <w:rPr>
          <w:rFonts w:ascii="Calibri" w:hAnsi="Calibri"/>
          <w:color w:val="046A38"/>
        </w:rPr>
        <w:t>5. Sample Results</w:t>
      </w:r>
    </w:p>
    <w:p>
      <w:pPr>
        <w:pStyle w:val="Heading2"/>
      </w:pPr>
      <w:r>
        <w:rPr>
          <w:rFonts w:ascii="Calibri" w:hAnsi="Calibri"/>
          <w:color w:val="282728"/>
        </w:rPr>
        <w:t>5.1 /vulnhunt — SECURITY_REPORT.md Summary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86BC25"/>
          </w:tcPr>
          <w:p>
            <w:pPr>
              <w:jc w:val="left"/>
            </w:pPr>
            <w:r/>
            <w:r>
              <w:rPr>
                <w:rFonts w:ascii="Calibri" w:hAnsi="Calibri"/>
                <w:b/>
                <w:color w:val="FFFFFF"/>
                <w:sz w:val="19"/>
              </w:rPr>
              <w:t>ID</w:t>
            </w:r>
          </w:p>
        </w:tc>
        <w:tc>
          <w:tcPr>
            <w:tcW w:type="dxa" w:w="3744"/>
            <w:shd w:val="clear" w:color="auto" w:fill="86BC25"/>
          </w:tcPr>
          <w:p>
            <w:pPr>
              <w:jc w:val="left"/>
            </w:pPr>
            <w:r/>
            <w:r>
              <w:rPr>
                <w:rFonts w:ascii="Calibri" w:hAnsi="Calibri"/>
                <w:b/>
                <w:color w:val="FFFFFF"/>
                <w:sz w:val="19"/>
              </w:rPr>
              <w:t>Title</w:t>
            </w:r>
          </w:p>
        </w:tc>
        <w:tc>
          <w:tcPr>
            <w:tcW w:type="dxa" w:w="1296"/>
            <w:shd w:val="clear" w:color="auto" w:fill="86BC25"/>
          </w:tcPr>
          <w:p>
            <w:pPr>
              <w:jc w:val="left"/>
            </w:pPr>
            <w:r/>
            <w:r>
              <w:rPr>
                <w:rFonts w:ascii="Calibri" w:hAnsi="Calibri"/>
                <w:b/>
                <w:color w:val="FFFFFF"/>
                <w:sz w:val="19"/>
              </w:rPr>
              <w:t>Severity</w:t>
            </w:r>
          </w:p>
        </w:tc>
        <w:tc>
          <w:tcPr>
            <w:tcW w:type="dxa" w:w="1296"/>
            <w:shd w:val="clear" w:color="auto" w:fill="86BC25"/>
          </w:tcPr>
          <w:p>
            <w:pPr>
              <w:jc w:val="left"/>
            </w:pPr>
            <w:r/>
            <w:r>
              <w:rPr>
                <w:rFonts w:ascii="Calibri" w:hAnsi="Calibri"/>
                <w:b/>
                <w:color w:val="FFFFFF"/>
                <w:sz w:val="19"/>
              </w:rPr>
              <w:t>CWE</w:t>
            </w:r>
          </w:p>
        </w:tc>
        <w:tc>
          <w:tcPr>
            <w:tcW w:type="dxa" w:w="2448"/>
            <w:shd w:val="clear" w:color="auto" w:fill="86BC25"/>
          </w:tcPr>
          <w:p>
            <w:pPr>
              <w:jc w:val="left"/>
            </w:pPr>
            <w:r/>
            <w:r>
              <w:rPr>
                <w:rFonts w:ascii="Calibri" w:hAnsi="Calibri"/>
                <w:b/>
                <w:color w:val="FFFFFF"/>
                <w:sz w:val="19"/>
              </w:rPr>
              <w:t>Auto-fixable?</w:t>
            </w:r>
          </w:p>
        </w:tc>
      </w:tr>
      <w:tr>
        <w:tc>
          <w:tcPr>
            <w:tcW w:type="dxa" w:w="1152"/>
          </w:tcPr>
          <w:p>
            <w:pPr>
              <w:jc w:val="left"/>
            </w:pPr>
            <w:r/>
            <w:r>
              <w:rPr>
                <w:rFonts w:ascii="Calibri" w:hAnsi="Calibri"/>
                <w:b w:val="0"/>
                <w:color w:val="282728"/>
                <w:sz w:val="19"/>
              </w:rPr>
              <w:t>VULN-1</w:t>
            </w:r>
          </w:p>
        </w:tc>
        <w:tc>
          <w:tcPr>
            <w:tcW w:type="dxa" w:w="3744"/>
          </w:tcPr>
          <w:p>
            <w:pPr>
              <w:jc w:val="left"/>
            </w:pPr>
            <w:r/>
            <w:r>
              <w:rPr>
                <w:rFonts w:ascii="Calibri" w:hAnsi="Calibri"/>
                <w:b w:val="0"/>
                <w:color w:val="282728"/>
                <w:sz w:val="19"/>
              </w:rPr>
              <w:t>Hardcoded Stripe API key</w:t>
            </w:r>
          </w:p>
        </w:tc>
        <w:tc>
          <w:tcPr>
            <w:tcW w:type="dxa" w:w="1296"/>
          </w:tcPr>
          <w:p>
            <w:pPr>
              <w:jc w:val="left"/>
            </w:pPr>
            <w:r/>
            <w:r>
              <w:rPr>
                <w:rFonts w:ascii="Calibri" w:hAnsi="Calibri"/>
                <w:b w:val="0"/>
                <w:color w:val="282728"/>
                <w:sz w:val="19"/>
              </w:rPr>
              <w:t>Critical</w:t>
            </w:r>
          </w:p>
        </w:tc>
        <w:tc>
          <w:tcPr>
            <w:tcW w:type="dxa" w:w="1296"/>
          </w:tcPr>
          <w:p>
            <w:pPr>
              <w:jc w:val="left"/>
            </w:pPr>
            <w:r/>
            <w:r>
              <w:rPr>
                <w:rFonts w:ascii="Calibri" w:hAnsi="Calibri"/>
                <w:b w:val="0"/>
                <w:color w:val="282728"/>
                <w:sz w:val="19"/>
              </w:rPr>
              <w:t>CWE-798</w:t>
            </w:r>
          </w:p>
        </w:tc>
        <w:tc>
          <w:tcPr>
            <w:tcW w:type="dxa" w:w="2448"/>
          </w:tcPr>
          <w:p>
            <w:pPr>
              <w:jc w:val="left"/>
            </w:pPr>
            <w:r/>
            <w:r>
              <w:rPr>
                <w:rFonts w:ascii="Calibri" w:hAnsi="Calibri"/>
                <w:b w:val="0"/>
                <w:color w:val="282728"/>
                <w:sz w:val="19"/>
              </w:rPr>
              <w:t>Yes</w:t>
            </w:r>
          </w:p>
        </w:tc>
      </w:tr>
      <w:tr>
        <w:tc>
          <w:tcPr>
            <w:tcW w:type="dxa" w:w="1152"/>
          </w:tcPr>
          <w:p>
            <w:pPr>
              <w:jc w:val="left"/>
            </w:pPr>
            <w:r/>
            <w:r>
              <w:rPr>
                <w:rFonts w:ascii="Calibri" w:hAnsi="Calibri"/>
                <w:b w:val="0"/>
                <w:color w:val="282728"/>
                <w:sz w:val="19"/>
              </w:rPr>
              <w:t>VULN-2</w:t>
            </w:r>
          </w:p>
        </w:tc>
        <w:tc>
          <w:tcPr>
            <w:tcW w:type="dxa" w:w="3744"/>
          </w:tcPr>
          <w:p>
            <w:pPr>
              <w:jc w:val="left"/>
            </w:pPr>
            <w:r/>
            <w:r>
              <w:rPr>
                <w:rFonts w:ascii="Calibri" w:hAnsi="Calibri"/>
                <w:b w:val="0"/>
                <w:color w:val="282728"/>
                <w:sz w:val="19"/>
              </w:rPr>
              <w:t>SQL injection via string concatenation</w:t>
            </w:r>
          </w:p>
        </w:tc>
        <w:tc>
          <w:tcPr>
            <w:tcW w:type="dxa" w:w="1296"/>
          </w:tcPr>
          <w:p>
            <w:pPr>
              <w:jc w:val="left"/>
            </w:pPr>
            <w:r/>
            <w:r>
              <w:rPr>
                <w:rFonts w:ascii="Calibri" w:hAnsi="Calibri"/>
                <w:b w:val="0"/>
                <w:color w:val="282728"/>
                <w:sz w:val="19"/>
              </w:rPr>
              <w:t>Critical</w:t>
            </w:r>
          </w:p>
        </w:tc>
        <w:tc>
          <w:tcPr>
            <w:tcW w:type="dxa" w:w="1296"/>
          </w:tcPr>
          <w:p>
            <w:pPr>
              <w:jc w:val="left"/>
            </w:pPr>
            <w:r/>
            <w:r>
              <w:rPr>
                <w:rFonts w:ascii="Calibri" w:hAnsi="Calibri"/>
                <w:b w:val="0"/>
                <w:color w:val="282728"/>
                <w:sz w:val="19"/>
              </w:rPr>
              <w:t>CWE-89</w:t>
            </w:r>
          </w:p>
        </w:tc>
        <w:tc>
          <w:tcPr>
            <w:tcW w:type="dxa" w:w="2448"/>
          </w:tcPr>
          <w:p>
            <w:pPr>
              <w:jc w:val="left"/>
            </w:pPr>
            <w:r/>
            <w:r>
              <w:rPr>
                <w:rFonts w:ascii="Calibri" w:hAnsi="Calibri"/>
                <w:b w:val="0"/>
                <w:color w:val="282728"/>
                <w:sz w:val="19"/>
              </w:rPr>
              <w:t>Yes</w:t>
            </w:r>
          </w:p>
        </w:tc>
      </w:tr>
      <w:tr>
        <w:tc>
          <w:tcPr>
            <w:tcW w:type="dxa" w:w="1152"/>
          </w:tcPr>
          <w:p>
            <w:pPr>
              <w:jc w:val="left"/>
            </w:pPr>
            <w:r/>
            <w:r>
              <w:rPr>
                <w:rFonts w:ascii="Calibri" w:hAnsi="Calibri"/>
                <w:b w:val="0"/>
                <w:color w:val="282728"/>
                <w:sz w:val="19"/>
              </w:rPr>
              <w:t>VULN-4</w:t>
            </w:r>
          </w:p>
        </w:tc>
        <w:tc>
          <w:tcPr>
            <w:tcW w:type="dxa" w:w="3744"/>
          </w:tcPr>
          <w:p>
            <w:pPr>
              <w:jc w:val="left"/>
            </w:pPr>
            <w:r/>
            <w:r>
              <w:rPr>
                <w:rFonts w:ascii="Calibri" w:hAnsi="Calibri"/>
                <w:b w:val="0"/>
                <w:color w:val="282728"/>
                <w:sz w:val="19"/>
              </w:rPr>
              <w:t>Command injection via shell=True</w:t>
            </w:r>
          </w:p>
        </w:tc>
        <w:tc>
          <w:tcPr>
            <w:tcW w:type="dxa" w:w="1296"/>
          </w:tcPr>
          <w:p>
            <w:pPr>
              <w:jc w:val="left"/>
            </w:pPr>
            <w:r/>
            <w:r>
              <w:rPr>
                <w:rFonts w:ascii="Calibri" w:hAnsi="Calibri"/>
                <w:b w:val="0"/>
                <w:color w:val="282728"/>
                <w:sz w:val="19"/>
              </w:rPr>
              <w:t>Critical</w:t>
            </w:r>
          </w:p>
        </w:tc>
        <w:tc>
          <w:tcPr>
            <w:tcW w:type="dxa" w:w="1296"/>
          </w:tcPr>
          <w:p>
            <w:pPr>
              <w:jc w:val="left"/>
            </w:pPr>
            <w:r/>
            <w:r>
              <w:rPr>
                <w:rFonts w:ascii="Calibri" w:hAnsi="Calibri"/>
                <w:b w:val="0"/>
                <w:color w:val="282728"/>
                <w:sz w:val="19"/>
              </w:rPr>
              <w:t>CWE-78</w:t>
            </w:r>
          </w:p>
        </w:tc>
        <w:tc>
          <w:tcPr>
            <w:tcW w:type="dxa" w:w="2448"/>
          </w:tcPr>
          <w:p>
            <w:pPr>
              <w:jc w:val="left"/>
            </w:pPr>
            <w:r/>
            <w:r>
              <w:rPr>
                <w:rFonts w:ascii="Calibri" w:hAnsi="Calibri"/>
                <w:b w:val="0"/>
                <w:color w:val="282728"/>
                <w:sz w:val="19"/>
              </w:rPr>
              <w:t>Yes</w:t>
            </w:r>
          </w:p>
        </w:tc>
      </w:tr>
      <w:tr>
        <w:tc>
          <w:tcPr>
            <w:tcW w:type="dxa" w:w="1152"/>
          </w:tcPr>
          <w:p>
            <w:pPr>
              <w:jc w:val="left"/>
            </w:pPr>
            <w:r/>
            <w:r>
              <w:rPr>
                <w:rFonts w:ascii="Calibri" w:hAnsi="Calibri"/>
                <w:b w:val="0"/>
                <w:color w:val="282728"/>
                <w:sz w:val="19"/>
              </w:rPr>
              <w:t>VULN-8</w:t>
            </w:r>
          </w:p>
        </w:tc>
        <w:tc>
          <w:tcPr>
            <w:tcW w:type="dxa" w:w="3744"/>
          </w:tcPr>
          <w:p>
            <w:pPr>
              <w:jc w:val="left"/>
            </w:pPr>
            <w:r/>
            <w:r>
              <w:rPr>
                <w:rFonts w:ascii="Calibri" w:hAnsi="Calibri"/>
                <w:b w:val="0"/>
                <w:color w:val="282728"/>
                <w:sz w:val="19"/>
              </w:rPr>
              <w:t>Secret baked into Docker image layer</w:t>
            </w:r>
          </w:p>
        </w:tc>
        <w:tc>
          <w:tcPr>
            <w:tcW w:type="dxa" w:w="1296"/>
          </w:tcPr>
          <w:p>
            <w:pPr>
              <w:jc w:val="left"/>
            </w:pPr>
            <w:r/>
            <w:r>
              <w:rPr>
                <w:rFonts w:ascii="Calibri" w:hAnsi="Calibri"/>
                <w:b w:val="0"/>
                <w:color w:val="282728"/>
                <w:sz w:val="19"/>
              </w:rPr>
              <w:t>Critical</w:t>
            </w:r>
          </w:p>
        </w:tc>
        <w:tc>
          <w:tcPr>
            <w:tcW w:type="dxa" w:w="1296"/>
          </w:tcPr>
          <w:p>
            <w:pPr>
              <w:jc w:val="left"/>
            </w:pPr>
            <w:r/>
            <w:r>
              <w:rPr>
                <w:rFonts w:ascii="Calibri" w:hAnsi="Calibri"/>
                <w:b w:val="0"/>
                <w:color w:val="282728"/>
                <w:sz w:val="19"/>
              </w:rPr>
              <w:t>CWE-798</w:t>
            </w:r>
          </w:p>
        </w:tc>
        <w:tc>
          <w:tcPr>
            <w:tcW w:type="dxa" w:w="2448"/>
          </w:tcPr>
          <w:p>
            <w:pPr>
              <w:jc w:val="left"/>
            </w:pPr>
            <w:r/>
            <w:r>
              <w:rPr>
                <w:rFonts w:ascii="Calibri" w:hAnsi="Calibri"/>
                <w:b w:val="0"/>
                <w:color w:val="282728"/>
                <w:sz w:val="19"/>
              </w:rPr>
              <w:t>Yes</w:t>
            </w:r>
          </w:p>
        </w:tc>
      </w:tr>
      <w:tr>
        <w:tc>
          <w:tcPr>
            <w:tcW w:type="dxa" w:w="1152"/>
          </w:tcPr>
          <w:p>
            <w:pPr>
              <w:jc w:val="left"/>
            </w:pPr>
            <w:r/>
            <w:r>
              <w:rPr>
                <w:rFonts w:ascii="Calibri" w:hAnsi="Calibri"/>
                <w:b w:val="0"/>
                <w:color w:val="282728"/>
                <w:sz w:val="19"/>
              </w:rPr>
              <w:t>VULN-3</w:t>
            </w:r>
          </w:p>
        </w:tc>
        <w:tc>
          <w:tcPr>
            <w:tcW w:type="dxa" w:w="3744"/>
          </w:tcPr>
          <w:p>
            <w:pPr>
              <w:jc w:val="left"/>
            </w:pPr>
            <w:r/>
            <w:r>
              <w:rPr>
                <w:rFonts w:ascii="Calibri" w:hAnsi="Calibri"/>
                <w:b w:val="0"/>
                <w:color w:val="282728"/>
                <w:sz w:val="19"/>
              </w:rPr>
              <w:t>eval() on untrusted input</w:t>
            </w:r>
          </w:p>
        </w:tc>
        <w:tc>
          <w:tcPr>
            <w:tcW w:type="dxa" w:w="1296"/>
          </w:tcPr>
          <w:p>
            <w:pPr>
              <w:jc w:val="left"/>
            </w:pPr>
            <w:r/>
            <w:r>
              <w:rPr>
                <w:rFonts w:ascii="Calibri" w:hAnsi="Calibri"/>
                <w:b w:val="0"/>
                <w:color w:val="282728"/>
                <w:sz w:val="19"/>
              </w:rPr>
              <w:t>High</w:t>
            </w:r>
          </w:p>
        </w:tc>
        <w:tc>
          <w:tcPr>
            <w:tcW w:type="dxa" w:w="1296"/>
          </w:tcPr>
          <w:p>
            <w:pPr>
              <w:jc w:val="left"/>
            </w:pPr>
            <w:r/>
            <w:r>
              <w:rPr>
                <w:rFonts w:ascii="Calibri" w:hAnsi="Calibri"/>
                <w:b w:val="0"/>
                <w:color w:val="282728"/>
                <w:sz w:val="19"/>
              </w:rPr>
              <w:t>CWE-95</w:t>
            </w:r>
          </w:p>
        </w:tc>
        <w:tc>
          <w:tcPr>
            <w:tcW w:type="dxa" w:w="2448"/>
          </w:tcPr>
          <w:p>
            <w:pPr>
              <w:jc w:val="left"/>
            </w:pPr>
            <w:r/>
            <w:r>
              <w:rPr>
                <w:rFonts w:ascii="Calibri" w:hAnsi="Calibri"/>
                <w:b w:val="0"/>
                <w:color w:val="282728"/>
                <w:sz w:val="19"/>
              </w:rPr>
              <w:t>No — needs a real expression parser</w:t>
            </w:r>
          </w:p>
        </w:tc>
      </w:tr>
      <w:tr>
        <w:tc>
          <w:tcPr>
            <w:tcW w:type="dxa" w:w="1152"/>
          </w:tcPr>
          <w:p>
            <w:pPr>
              <w:jc w:val="left"/>
            </w:pPr>
            <w:r/>
            <w:r>
              <w:rPr>
                <w:rFonts w:ascii="Calibri" w:hAnsi="Calibri"/>
                <w:b w:val="0"/>
                <w:color w:val="282728"/>
                <w:sz w:val="19"/>
              </w:rPr>
              <w:t>VULN-6</w:t>
            </w:r>
          </w:p>
        </w:tc>
        <w:tc>
          <w:tcPr>
            <w:tcW w:type="dxa" w:w="3744"/>
          </w:tcPr>
          <w:p>
            <w:pPr>
              <w:jc w:val="left"/>
            </w:pPr>
            <w:r/>
            <w:r>
              <w:rPr>
                <w:rFonts w:ascii="Calibri" w:hAnsi="Calibri"/>
                <w:b w:val="0"/>
                <w:color w:val="282728"/>
                <w:sz w:val="19"/>
              </w:rPr>
              <w:t>Plaintext password storage</w:t>
            </w:r>
          </w:p>
        </w:tc>
        <w:tc>
          <w:tcPr>
            <w:tcW w:type="dxa" w:w="1296"/>
          </w:tcPr>
          <w:p>
            <w:pPr>
              <w:jc w:val="left"/>
            </w:pPr>
            <w:r/>
            <w:r>
              <w:rPr>
                <w:rFonts w:ascii="Calibri" w:hAnsi="Calibri"/>
                <w:b w:val="0"/>
                <w:color w:val="282728"/>
                <w:sz w:val="19"/>
              </w:rPr>
              <w:t>High</w:t>
            </w:r>
          </w:p>
        </w:tc>
        <w:tc>
          <w:tcPr>
            <w:tcW w:type="dxa" w:w="1296"/>
          </w:tcPr>
          <w:p>
            <w:pPr>
              <w:jc w:val="left"/>
            </w:pPr>
            <w:r/>
            <w:r>
              <w:rPr>
                <w:rFonts w:ascii="Calibri" w:hAnsi="Calibri"/>
                <w:b w:val="0"/>
                <w:color w:val="282728"/>
                <w:sz w:val="19"/>
              </w:rPr>
              <w:t>CWE-256</w:t>
            </w:r>
          </w:p>
        </w:tc>
        <w:tc>
          <w:tcPr>
            <w:tcW w:type="dxa" w:w="2448"/>
          </w:tcPr>
          <w:p>
            <w:pPr>
              <w:jc w:val="left"/>
            </w:pPr>
            <w:r/>
            <w:r>
              <w:rPr>
                <w:rFonts w:ascii="Calibri" w:hAnsi="Calibri"/>
                <w:b w:val="0"/>
                <w:color w:val="282728"/>
                <w:sz w:val="19"/>
              </w:rPr>
              <w:t>No — needs a migration plan</w:t>
            </w:r>
          </w:p>
        </w:tc>
      </w:tr>
      <w:tr>
        <w:tc>
          <w:tcPr>
            <w:tcW w:type="dxa" w:w="1152"/>
          </w:tcPr>
          <w:p>
            <w:pPr>
              <w:jc w:val="left"/>
            </w:pPr>
            <w:r/>
            <w:r>
              <w:rPr>
                <w:rFonts w:ascii="Calibri" w:hAnsi="Calibri"/>
                <w:b w:val="0"/>
                <w:color w:val="282728"/>
                <w:sz w:val="19"/>
              </w:rPr>
              <w:t>VULN-5</w:t>
            </w:r>
          </w:p>
        </w:tc>
        <w:tc>
          <w:tcPr>
            <w:tcW w:type="dxa" w:w="3744"/>
          </w:tcPr>
          <w:p>
            <w:pPr>
              <w:jc w:val="left"/>
            </w:pPr>
            <w:r/>
            <w:r>
              <w:rPr>
                <w:rFonts w:ascii="Calibri" w:hAnsi="Calibri"/>
                <w:b w:val="0"/>
                <w:color w:val="282728"/>
                <w:sz w:val="19"/>
              </w:rPr>
              <w:t>Debug mode enabled in entrypoint</w:t>
            </w:r>
          </w:p>
        </w:tc>
        <w:tc>
          <w:tcPr>
            <w:tcW w:type="dxa" w:w="1296"/>
          </w:tcPr>
          <w:p>
            <w:pPr>
              <w:jc w:val="left"/>
            </w:pPr>
            <w:r/>
            <w:r>
              <w:rPr>
                <w:rFonts w:ascii="Calibri" w:hAnsi="Calibri"/>
                <w:b w:val="0"/>
                <w:color w:val="282728"/>
                <w:sz w:val="19"/>
              </w:rPr>
              <w:t>Medium</w:t>
            </w:r>
          </w:p>
        </w:tc>
        <w:tc>
          <w:tcPr>
            <w:tcW w:type="dxa" w:w="1296"/>
          </w:tcPr>
          <w:p>
            <w:pPr>
              <w:jc w:val="left"/>
            </w:pPr>
            <w:r/>
            <w:r>
              <w:rPr>
                <w:rFonts w:ascii="Calibri" w:hAnsi="Calibri"/>
                <w:b w:val="0"/>
                <w:color w:val="282728"/>
                <w:sz w:val="19"/>
              </w:rPr>
              <w:t>CWE-489</w:t>
            </w:r>
          </w:p>
        </w:tc>
        <w:tc>
          <w:tcPr>
            <w:tcW w:type="dxa" w:w="2448"/>
          </w:tcPr>
          <w:p>
            <w:pPr>
              <w:jc w:val="left"/>
            </w:pPr>
            <w:r/>
            <w:r>
              <w:rPr>
                <w:rFonts w:ascii="Calibri" w:hAnsi="Calibri"/>
                <w:b w:val="0"/>
                <w:color w:val="282728"/>
                <w:sz w:val="19"/>
              </w:rPr>
              <w:t>Yes</w:t>
            </w:r>
          </w:p>
        </w:tc>
      </w:tr>
      <w:tr>
        <w:tc>
          <w:tcPr>
            <w:tcW w:type="dxa" w:w="1152"/>
          </w:tcPr>
          <w:p>
            <w:pPr>
              <w:jc w:val="left"/>
            </w:pPr>
            <w:r/>
            <w:r>
              <w:rPr>
                <w:rFonts w:ascii="Calibri" w:hAnsi="Calibri"/>
                <w:b w:val="0"/>
                <w:color w:val="282728"/>
                <w:sz w:val="19"/>
              </w:rPr>
              <w:t>VULN-7</w:t>
            </w:r>
          </w:p>
        </w:tc>
        <w:tc>
          <w:tcPr>
            <w:tcW w:type="dxa" w:w="3744"/>
          </w:tcPr>
          <w:p>
            <w:pPr>
              <w:jc w:val="left"/>
            </w:pPr>
            <w:r/>
            <w:r>
              <w:rPr>
                <w:rFonts w:ascii="Calibri" w:hAnsi="Calibri"/>
                <w:b w:val="0"/>
                <w:color w:val="282728"/>
                <w:sz w:val="19"/>
              </w:rPr>
              <w:t>Container runs as root</w:t>
            </w:r>
          </w:p>
        </w:tc>
        <w:tc>
          <w:tcPr>
            <w:tcW w:type="dxa" w:w="1296"/>
          </w:tcPr>
          <w:p>
            <w:pPr>
              <w:jc w:val="left"/>
            </w:pPr>
            <w:r/>
            <w:r>
              <w:rPr>
                <w:rFonts w:ascii="Calibri" w:hAnsi="Calibri"/>
                <w:b w:val="0"/>
                <w:color w:val="282728"/>
                <w:sz w:val="19"/>
              </w:rPr>
              <w:t>Medium</w:t>
            </w:r>
          </w:p>
        </w:tc>
        <w:tc>
          <w:tcPr>
            <w:tcW w:type="dxa" w:w="1296"/>
          </w:tcPr>
          <w:p>
            <w:pPr>
              <w:jc w:val="left"/>
            </w:pPr>
            <w:r/>
            <w:r>
              <w:rPr>
                <w:rFonts w:ascii="Calibri" w:hAnsi="Calibri"/>
                <w:b w:val="0"/>
                <w:color w:val="282728"/>
                <w:sz w:val="19"/>
              </w:rPr>
              <w:t>CWE-250</w:t>
            </w:r>
          </w:p>
        </w:tc>
        <w:tc>
          <w:tcPr>
            <w:tcW w:type="dxa" w:w="2448"/>
          </w:tcPr>
          <w:p>
            <w:pPr>
              <w:jc w:val="left"/>
            </w:pPr>
            <w:r/>
            <w:r>
              <w:rPr>
                <w:rFonts w:ascii="Calibri" w:hAnsi="Calibri"/>
                <w:b w:val="0"/>
                <w:color w:val="282728"/>
                <w:sz w:val="19"/>
              </w:rPr>
              <w:t>Yes</w:t>
            </w:r>
          </w:p>
        </w:tc>
      </w:tr>
      <w:tr>
        <w:tc>
          <w:tcPr>
            <w:tcW w:type="dxa" w:w="1152"/>
          </w:tcPr>
          <w:p>
            <w:pPr>
              <w:jc w:val="left"/>
            </w:pPr>
            <w:r/>
            <w:r>
              <w:rPr>
                <w:rFonts w:ascii="Calibri" w:hAnsi="Calibri"/>
                <w:b w:val="0"/>
                <w:color w:val="282728"/>
                <w:sz w:val="19"/>
              </w:rPr>
              <w:t>VULN-9</w:t>
            </w:r>
          </w:p>
        </w:tc>
        <w:tc>
          <w:tcPr>
            <w:tcW w:type="dxa" w:w="3744"/>
          </w:tcPr>
          <w:p>
            <w:pPr>
              <w:jc w:val="left"/>
            </w:pPr>
            <w:r/>
            <w:r>
              <w:rPr>
                <w:rFonts w:ascii="Calibri" w:hAnsi="Calibri"/>
                <w:b w:val="0"/>
                <w:color w:val="282728"/>
                <w:sz w:val="19"/>
              </w:rPr>
              <w:t>Unpinned/outdated base image</w:t>
            </w:r>
          </w:p>
        </w:tc>
        <w:tc>
          <w:tcPr>
            <w:tcW w:type="dxa" w:w="1296"/>
          </w:tcPr>
          <w:p>
            <w:pPr>
              <w:jc w:val="left"/>
            </w:pPr>
            <w:r/>
            <w:r>
              <w:rPr>
                <w:rFonts w:ascii="Calibri" w:hAnsi="Calibri"/>
                <w:b w:val="0"/>
                <w:color w:val="282728"/>
                <w:sz w:val="19"/>
              </w:rPr>
              <w:t>Low</w:t>
            </w:r>
          </w:p>
        </w:tc>
        <w:tc>
          <w:tcPr>
            <w:tcW w:type="dxa" w:w="1296"/>
          </w:tcPr>
          <w:p>
            <w:pPr>
              <w:jc w:val="left"/>
            </w:pPr>
            <w:r/>
            <w:r>
              <w:rPr>
                <w:rFonts w:ascii="Calibri" w:hAnsi="Calibri"/>
                <w:b w:val="0"/>
                <w:color w:val="282728"/>
                <w:sz w:val="19"/>
              </w:rPr>
              <w:t>—</w:t>
            </w:r>
          </w:p>
        </w:tc>
        <w:tc>
          <w:tcPr>
            <w:tcW w:type="dxa" w:w="2448"/>
          </w:tcPr>
          <w:p>
            <w:pPr>
              <w:jc w:val="left"/>
            </w:pPr>
            <w:r/>
            <w:r>
              <w:rPr>
                <w:rFonts w:ascii="Calibri" w:hAnsi="Calibri"/>
                <w:b w:val="0"/>
                <w:color w:val="282728"/>
                <w:sz w:val="19"/>
              </w:rPr>
              <w:t>No — needs compatibility check</w:t>
            </w:r>
          </w:p>
        </w:tc>
      </w:tr>
    </w:tbl>
    <w:p>
      <w:pPr>
        <w:spacing w:after="240"/>
      </w:pPr>
      <w:r>
        <w:rPr>
          <w:b w:val="0"/>
          <w:i w:val="0"/>
          <w:color w:val="282728"/>
          <w:sz w:val="21"/>
        </w:rPr>
        <w:t>Result: 6 of 9 findings auto-fixed on branch vulnhunter/auto-fixes-20260803 and pushed; the remaining 3 flagged for manual review with a specific reason each — not just "needs review."</w:t>
      </w:r>
    </w:p>
    <w:p>
      <w:pPr>
        <w:pStyle w:val="Heading2"/>
      </w:pPr>
      <w:r>
        <w:rPr>
          <w:rFonts w:ascii="Calibri" w:hAnsi="Calibri"/>
          <w:color w:val="282728"/>
        </w:rPr>
        <w:t>5.2 /remediate — REMEDIATION_PLAN.md Summary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152"/>
            <w:shd w:val="clear" w:color="auto" w:fill="86BC25"/>
          </w:tcPr>
          <w:p>
            <w:pPr>
              <w:jc w:val="left"/>
            </w:pPr>
            <w:r/>
            <w:r>
              <w:rPr>
                <w:rFonts w:ascii="Calibri" w:hAnsi="Calibri"/>
                <w:b/>
                <w:color w:val="FFFFFF"/>
                <w:sz w:val="19"/>
              </w:rPr>
              <w:t>ID</w:t>
            </w:r>
          </w:p>
        </w:tc>
        <w:tc>
          <w:tcPr>
            <w:tcW w:type="dxa" w:w="2880"/>
            <w:shd w:val="clear" w:color="auto" w:fill="86BC25"/>
          </w:tcPr>
          <w:p>
            <w:pPr>
              <w:jc w:val="left"/>
            </w:pPr>
            <w:r/>
            <w:r>
              <w:rPr>
                <w:rFonts w:ascii="Calibri" w:hAnsi="Calibri"/>
                <w:b/>
                <w:color w:val="FFFFFF"/>
                <w:sz w:val="19"/>
              </w:rPr>
              <w:t>Asset</w:t>
            </w:r>
          </w:p>
        </w:tc>
        <w:tc>
          <w:tcPr>
            <w:tcW w:type="dxa" w:w="4032"/>
            <w:shd w:val="clear" w:color="auto" w:fill="86BC25"/>
          </w:tcPr>
          <w:p>
            <w:pPr>
              <w:jc w:val="left"/>
            </w:pPr>
            <w:r/>
            <w:r>
              <w:rPr>
                <w:rFonts w:ascii="Calibri" w:hAnsi="Calibri"/>
                <w:b/>
                <w:color w:val="FFFFFF"/>
                <w:sz w:val="19"/>
              </w:rPr>
              <w:t>Finding</w:t>
            </w:r>
          </w:p>
        </w:tc>
        <w:tc>
          <w:tcPr>
            <w:tcW w:type="dxa" w:w="1872"/>
            <w:shd w:val="clear" w:color="auto" w:fill="86BC25"/>
          </w:tcPr>
          <w:p>
            <w:pPr>
              <w:jc w:val="left"/>
            </w:pPr>
            <w:r/>
            <w:r>
              <w:rPr>
                <w:rFonts w:ascii="Calibri" w:hAnsi="Calibri"/>
                <w:b/>
                <w:color w:val="FFFFFF"/>
                <w:sz w:val="19"/>
              </w:rPr>
              <w:t>Risk Tier</w:t>
            </w:r>
          </w:p>
        </w:tc>
      </w:tr>
      <w:tr>
        <w:tc>
          <w:tcPr>
            <w:tcW w:type="dxa" w:w="1152"/>
          </w:tcPr>
          <w:p>
            <w:pPr>
              <w:jc w:val="left"/>
            </w:pPr>
            <w:r/>
            <w:r>
              <w:rPr>
                <w:rFonts w:ascii="Calibri" w:hAnsi="Calibri"/>
                <w:b w:val="0"/>
                <w:color w:val="282728"/>
                <w:sz w:val="19"/>
              </w:rPr>
              <w:t>FIND-6</w:t>
            </w:r>
          </w:p>
        </w:tc>
        <w:tc>
          <w:tcPr>
            <w:tcW w:type="dxa" w:w="2880"/>
          </w:tcPr>
          <w:p>
            <w:pPr>
              <w:jc w:val="left"/>
            </w:pPr>
            <w:r/>
            <w:r>
              <w:rPr>
                <w:rFonts w:ascii="Calibri" w:hAnsi="Calibri"/>
                <w:b w:val="0"/>
                <w:color w:val="282728"/>
                <w:sz w:val="19"/>
              </w:rPr>
              <w:t>CSW-CORE01 (core switch)</w:t>
            </w:r>
          </w:p>
        </w:tc>
        <w:tc>
          <w:tcPr>
            <w:tcW w:type="dxa" w:w="4032"/>
          </w:tcPr>
          <w:p>
            <w:pPr>
              <w:jc w:val="left"/>
            </w:pPr>
            <w:r/>
            <w:r>
              <w:rPr>
                <w:rFonts w:ascii="Calibri" w:hAnsi="Calibri"/>
                <w:b w:val="0"/>
                <w:color w:val="282728"/>
                <w:sz w:val="19"/>
              </w:rPr>
              <w:t>Cisco IOS XE Web UI priv-esc (CVE-2023-20198)</w:t>
            </w:r>
          </w:p>
        </w:tc>
        <w:tc>
          <w:tcPr>
            <w:tcW w:type="dxa" w:w="1872"/>
          </w:tcPr>
          <w:p>
            <w:pPr>
              <w:jc w:val="left"/>
            </w:pPr>
            <w:r/>
            <w:r>
              <w:rPr>
                <w:rFonts w:ascii="Calibri" w:hAnsi="Calibri"/>
                <w:b w:val="0"/>
                <w:color w:val="282728"/>
                <w:sz w:val="19"/>
              </w:rPr>
              <w:t>Manual-only</w:t>
            </w:r>
          </w:p>
        </w:tc>
      </w:tr>
      <w:tr>
        <w:tc>
          <w:tcPr>
            <w:tcW w:type="dxa" w:w="1152"/>
          </w:tcPr>
          <w:p>
            <w:pPr>
              <w:jc w:val="left"/>
            </w:pPr>
            <w:r/>
            <w:r>
              <w:rPr>
                <w:rFonts w:ascii="Calibri" w:hAnsi="Calibri"/>
                <w:b w:val="0"/>
                <w:color w:val="282728"/>
                <w:sz w:val="19"/>
              </w:rPr>
              <w:t>FIND-1</w:t>
            </w:r>
          </w:p>
        </w:tc>
        <w:tc>
          <w:tcPr>
            <w:tcW w:type="dxa" w:w="2880"/>
          </w:tcPr>
          <w:p>
            <w:pPr>
              <w:jc w:val="left"/>
            </w:pPr>
            <w:r/>
            <w:r>
              <w:rPr>
                <w:rFonts w:ascii="Calibri" w:hAnsi="Calibri"/>
                <w:b w:val="0"/>
                <w:color w:val="282728"/>
                <w:sz w:val="19"/>
              </w:rPr>
              <w:t>WIN-DC01 (domain controller)</w:t>
            </w:r>
          </w:p>
        </w:tc>
        <w:tc>
          <w:tcPr>
            <w:tcW w:type="dxa" w:w="4032"/>
          </w:tcPr>
          <w:p>
            <w:pPr>
              <w:jc w:val="left"/>
            </w:pPr>
            <w:r/>
            <w:r>
              <w:rPr>
                <w:rFonts w:ascii="Calibri" w:hAnsi="Calibri"/>
                <w:b w:val="0"/>
                <w:color w:val="282728"/>
                <w:sz w:val="19"/>
              </w:rPr>
              <w:t>PrintNightmare (CVE-2021-34527)</w:t>
            </w:r>
          </w:p>
        </w:tc>
        <w:tc>
          <w:tcPr>
            <w:tcW w:type="dxa" w:w="1872"/>
          </w:tcPr>
          <w:p>
            <w:pPr>
              <w:jc w:val="left"/>
            </w:pPr>
            <w:r/>
            <w:r>
              <w:rPr>
                <w:rFonts w:ascii="Calibri" w:hAnsi="Calibri"/>
                <w:b w:val="0"/>
                <w:color w:val="282728"/>
                <w:sz w:val="19"/>
              </w:rPr>
              <w:t>Needs-change-approval</w:t>
            </w:r>
          </w:p>
        </w:tc>
      </w:tr>
      <w:tr>
        <w:tc>
          <w:tcPr>
            <w:tcW w:type="dxa" w:w="1152"/>
          </w:tcPr>
          <w:p>
            <w:pPr>
              <w:jc w:val="left"/>
            </w:pPr>
            <w:r/>
            <w:r>
              <w:rPr>
                <w:rFonts w:ascii="Calibri" w:hAnsi="Calibri"/>
                <w:b w:val="0"/>
                <w:color w:val="282728"/>
                <w:sz w:val="19"/>
              </w:rPr>
              <w:t>FIND-8</w:t>
            </w:r>
          </w:p>
        </w:tc>
        <w:tc>
          <w:tcPr>
            <w:tcW w:type="dxa" w:w="2880"/>
          </w:tcPr>
          <w:p>
            <w:pPr>
              <w:jc w:val="left"/>
            </w:pPr>
            <w:r/>
            <w:r>
              <w:rPr>
                <w:rFonts w:ascii="Calibri" w:hAnsi="Calibri"/>
                <w:b w:val="0"/>
                <w:color w:val="282728"/>
                <w:sz w:val="19"/>
              </w:rPr>
              <w:t>HVAC-CTRL-B2 (OT device)</w:t>
            </w:r>
          </w:p>
        </w:tc>
        <w:tc>
          <w:tcPr>
            <w:tcW w:type="dxa" w:w="4032"/>
          </w:tcPr>
          <w:p>
            <w:pPr>
              <w:jc w:val="left"/>
            </w:pPr>
            <w:r/>
            <w:r>
              <w:rPr>
                <w:rFonts w:ascii="Calibri" w:hAnsi="Calibri"/>
                <w:b w:val="0"/>
                <w:color w:val="282728"/>
                <w:sz w:val="19"/>
              </w:rPr>
              <w:t>Unauthenticated mgmt interface (CVE-2019-7592)</w:t>
            </w:r>
          </w:p>
        </w:tc>
        <w:tc>
          <w:tcPr>
            <w:tcW w:type="dxa" w:w="1872"/>
          </w:tcPr>
          <w:p>
            <w:pPr>
              <w:jc w:val="left"/>
            </w:pPr>
            <w:r/>
            <w:r>
              <w:rPr>
                <w:rFonts w:ascii="Calibri" w:hAnsi="Calibri"/>
                <w:b w:val="0"/>
                <w:color w:val="282728"/>
                <w:sz w:val="19"/>
              </w:rPr>
              <w:t>Manual-only</w:t>
            </w:r>
          </w:p>
        </w:tc>
      </w:tr>
      <w:tr>
        <w:tc>
          <w:tcPr>
            <w:tcW w:type="dxa" w:w="1152"/>
          </w:tcPr>
          <w:p>
            <w:pPr>
              <w:jc w:val="left"/>
            </w:pPr>
            <w:r/>
            <w:r>
              <w:rPr>
                <w:rFonts w:ascii="Calibri" w:hAnsi="Calibri"/>
                <w:b w:val="0"/>
                <w:color w:val="282728"/>
                <w:sz w:val="19"/>
              </w:rPr>
              <w:t>FIND-11</w:t>
            </w:r>
          </w:p>
        </w:tc>
        <w:tc>
          <w:tcPr>
            <w:tcW w:type="dxa" w:w="2880"/>
          </w:tcPr>
          <w:p>
            <w:pPr>
              <w:jc w:val="left"/>
            </w:pPr>
            <w:r/>
            <w:r>
              <w:rPr>
                <w:rFonts w:ascii="Calibri" w:hAnsi="Calibri"/>
                <w:b w:val="0"/>
                <w:color w:val="282728"/>
                <w:sz w:val="19"/>
              </w:rPr>
              <w:t>LNX-AUTH01 (auth server)</w:t>
            </w:r>
          </w:p>
        </w:tc>
        <w:tc>
          <w:tcPr>
            <w:tcW w:type="dxa" w:w="4032"/>
          </w:tcPr>
          <w:p>
            <w:pPr>
              <w:jc w:val="left"/>
            </w:pPr>
            <w:r/>
            <w:r>
              <w:rPr>
                <w:rFonts w:ascii="Calibri" w:hAnsi="Calibri"/>
                <w:b w:val="0"/>
                <w:color w:val="282728"/>
                <w:sz w:val="19"/>
              </w:rPr>
              <w:t>OpenSSH auth bypass regression (CVE-2024-6387)</w:t>
            </w:r>
          </w:p>
        </w:tc>
        <w:tc>
          <w:tcPr>
            <w:tcW w:type="dxa" w:w="1872"/>
          </w:tcPr>
          <w:p>
            <w:pPr>
              <w:jc w:val="left"/>
            </w:pPr>
            <w:r/>
            <w:r>
              <w:rPr>
                <w:rFonts w:ascii="Calibri" w:hAnsi="Calibri"/>
                <w:b w:val="0"/>
                <w:color w:val="282728"/>
                <w:sz w:val="19"/>
              </w:rPr>
              <w:t>Needs-change-approval</w:t>
            </w:r>
          </w:p>
        </w:tc>
      </w:tr>
      <w:tr>
        <w:tc>
          <w:tcPr>
            <w:tcW w:type="dxa" w:w="1152"/>
          </w:tcPr>
          <w:p>
            <w:pPr>
              <w:jc w:val="left"/>
            </w:pPr>
            <w:r/>
            <w:r>
              <w:rPr>
                <w:rFonts w:ascii="Calibri" w:hAnsi="Calibri"/>
                <w:b w:val="0"/>
                <w:color w:val="282728"/>
                <w:sz w:val="19"/>
              </w:rPr>
              <w:t>FIND-2</w:t>
            </w:r>
          </w:p>
        </w:tc>
        <w:tc>
          <w:tcPr>
            <w:tcW w:type="dxa" w:w="2880"/>
          </w:tcPr>
          <w:p>
            <w:pPr>
              <w:jc w:val="left"/>
            </w:pPr>
            <w:r/>
            <w:r>
              <w:rPr>
                <w:rFonts w:ascii="Calibri" w:hAnsi="Calibri"/>
                <w:b w:val="0"/>
                <w:color w:val="282728"/>
                <w:sz w:val="19"/>
              </w:rPr>
              <w:t>WIN-FS02 (file server)</w:t>
            </w:r>
          </w:p>
        </w:tc>
        <w:tc>
          <w:tcPr>
            <w:tcW w:type="dxa" w:w="4032"/>
          </w:tcPr>
          <w:p>
            <w:pPr>
              <w:jc w:val="left"/>
            </w:pPr>
            <w:r/>
            <w:r>
              <w:rPr>
                <w:rFonts w:ascii="Calibri" w:hAnsi="Calibri"/>
                <w:b w:val="0"/>
                <w:color w:val="282728"/>
                <w:sz w:val="19"/>
              </w:rPr>
              <w:t>EternalBlue / SMBv1 RCE (CVE-2017-0144)</w:t>
            </w:r>
          </w:p>
        </w:tc>
        <w:tc>
          <w:tcPr>
            <w:tcW w:type="dxa" w:w="1872"/>
          </w:tcPr>
          <w:p>
            <w:pPr>
              <w:jc w:val="left"/>
            </w:pPr>
            <w:r/>
            <w:r>
              <w:rPr>
                <w:rFonts w:ascii="Calibri" w:hAnsi="Calibri"/>
                <w:b w:val="0"/>
                <w:color w:val="282728"/>
                <w:sz w:val="19"/>
              </w:rPr>
              <w:t>Needs-change-approval</w:t>
            </w:r>
          </w:p>
        </w:tc>
      </w:tr>
      <w:tr>
        <w:tc>
          <w:tcPr>
            <w:tcW w:type="dxa" w:w="1152"/>
          </w:tcPr>
          <w:p>
            <w:pPr>
              <w:jc w:val="left"/>
            </w:pPr>
            <w:r/>
            <w:r>
              <w:rPr>
                <w:rFonts w:ascii="Calibri" w:hAnsi="Calibri"/>
                <w:b w:val="0"/>
                <w:color w:val="282728"/>
                <w:sz w:val="19"/>
              </w:rPr>
              <w:t>FIND-4</w:t>
            </w:r>
          </w:p>
        </w:tc>
        <w:tc>
          <w:tcPr>
            <w:tcW w:type="dxa" w:w="2880"/>
          </w:tcPr>
          <w:p>
            <w:pPr>
              <w:jc w:val="left"/>
            </w:pPr>
            <w:r/>
            <w:r>
              <w:rPr>
                <w:rFonts w:ascii="Calibri" w:hAnsi="Calibri"/>
                <w:b w:val="0"/>
                <w:color w:val="282728"/>
                <w:sz w:val="19"/>
              </w:rPr>
              <w:t>LNX-DB03 (DB server)</w:t>
            </w:r>
          </w:p>
        </w:tc>
        <w:tc>
          <w:tcPr>
            <w:tcW w:type="dxa" w:w="4032"/>
          </w:tcPr>
          <w:p>
            <w:pPr>
              <w:jc w:val="left"/>
            </w:pPr>
            <w:r/>
            <w:r>
              <w:rPr>
                <w:rFonts w:ascii="Calibri" w:hAnsi="Calibri"/>
                <w:b w:val="0"/>
                <w:color w:val="282728"/>
                <w:sz w:val="19"/>
              </w:rPr>
              <w:t>Sudo Baron Samedit (CVE-2021-3156)</w:t>
            </w:r>
          </w:p>
        </w:tc>
        <w:tc>
          <w:tcPr>
            <w:tcW w:type="dxa" w:w="1872"/>
          </w:tcPr>
          <w:p>
            <w:pPr>
              <w:jc w:val="left"/>
            </w:pPr>
            <w:r/>
            <w:r>
              <w:rPr>
                <w:rFonts w:ascii="Calibri" w:hAnsi="Calibri"/>
                <w:b w:val="0"/>
                <w:color w:val="282728"/>
                <w:sz w:val="19"/>
              </w:rPr>
              <w:t>Auto-approvable</w:t>
            </w:r>
          </w:p>
        </w:tc>
      </w:tr>
      <w:tr>
        <w:tc>
          <w:tcPr>
            <w:tcW w:type="dxa" w:w="1152"/>
          </w:tcPr>
          <w:p>
            <w:pPr>
              <w:jc w:val="left"/>
            </w:pPr>
            <w:r/>
            <w:r>
              <w:rPr>
                <w:rFonts w:ascii="Calibri" w:hAnsi="Calibri"/>
                <w:b w:val="0"/>
                <w:color w:val="282728"/>
                <w:sz w:val="19"/>
              </w:rPr>
              <w:t>FIND-10</w:t>
            </w:r>
          </w:p>
        </w:tc>
        <w:tc>
          <w:tcPr>
            <w:tcW w:type="dxa" w:w="2880"/>
          </w:tcPr>
          <w:p>
            <w:pPr>
              <w:jc w:val="left"/>
            </w:pPr>
            <w:r/>
            <w:r>
              <w:rPr>
                <w:rFonts w:ascii="Calibri" w:hAnsi="Calibri"/>
                <w:b w:val="0"/>
                <w:color w:val="282728"/>
                <w:sz w:val="19"/>
              </w:rPr>
              <w:t>WIN-BASTION02 (bastion host)</w:t>
            </w:r>
          </w:p>
        </w:tc>
        <w:tc>
          <w:tcPr>
            <w:tcW w:type="dxa" w:w="4032"/>
          </w:tcPr>
          <w:p>
            <w:pPr>
              <w:jc w:val="left"/>
            </w:pPr>
            <w:r/>
            <w:r>
              <w:rPr>
                <w:rFonts w:ascii="Calibri" w:hAnsi="Calibri"/>
                <w:b w:val="0"/>
                <w:color w:val="282728"/>
                <w:sz w:val="19"/>
              </w:rPr>
              <w:t>Internet-facing RDP (internal threat intel)</w:t>
            </w:r>
          </w:p>
        </w:tc>
        <w:tc>
          <w:tcPr>
            <w:tcW w:type="dxa" w:w="1872"/>
          </w:tcPr>
          <w:p>
            <w:pPr>
              <w:jc w:val="left"/>
            </w:pPr>
            <w:r/>
            <w:r>
              <w:rPr>
                <w:rFonts w:ascii="Calibri" w:hAnsi="Calibri"/>
                <w:b w:val="0"/>
                <w:color w:val="282728"/>
                <w:sz w:val="19"/>
              </w:rPr>
              <w:t>Needs-change-approval</w:t>
            </w:r>
          </w:p>
        </w:tc>
      </w:tr>
      <w:tr>
        <w:tc>
          <w:tcPr>
            <w:tcW w:type="dxa" w:w="1152"/>
          </w:tcPr>
          <w:p>
            <w:pPr>
              <w:jc w:val="left"/>
            </w:pPr>
            <w:r/>
            <w:r>
              <w:rPr>
                <w:rFonts w:ascii="Calibri" w:hAnsi="Calibri"/>
                <w:b w:val="0"/>
                <w:color w:val="282728"/>
                <w:sz w:val="19"/>
              </w:rPr>
              <w:t>FIND-3</w:t>
            </w:r>
          </w:p>
        </w:tc>
        <w:tc>
          <w:tcPr>
            <w:tcW w:type="dxa" w:w="2880"/>
          </w:tcPr>
          <w:p>
            <w:pPr>
              <w:jc w:val="left"/>
            </w:pPr>
            <w:r/>
            <w:r>
              <w:rPr>
                <w:rFonts w:ascii="Calibri" w:hAnsi="Calibri"/>
                <w:b w:val="0"/>
                <w:color w:val="282728"/>
                <w:sz w:val="19"/>
              </w:rPr>
              <w:t>WIN-APP07 (app server)</w:t>
            </w:r>
          </w:p>
        </w:tc>
        <w:tc>
          <w:tcPr>
            <w:tcW w:type="dxa" w:w="4032"/>
          </w:tcPr>
          <w:p>
            <w:pPr>
              <w:jc w:val="left"/>
            </w:pPr>
            <w:r/>
            <w:r>
              <w:rPr>
                <w:rFonts w:ascii="Calibri" w:hAnsi="Calibri"/>
                <w:b w:val="0"/>
                <w:color w:val="282728"/>
                <w:sz w:val="19"/>
              </w:rPr>
              <w:t>MSHTML security feature bypass (CVE-2024-30040)</w:t>
            </w:r>
          </w:p>
        </w:tc>
        <w:tc>
          <w:tcPr>
            <w:tcW w:type="dxa" w:w="1872"/>
          </w:tcPr>
          <w:p>
            <w:pPr>
              <w:jc w:val="left"/>
            </w:pPr>
            <w:r/>
            <w:r>
              <w:rPr>
                <w:rFonts w:ascii="Calibri" w:hAnsi="Calibri"/>
                <w:b w:val="0"/>
                <w:color w:val="282728"/>
                <w:sz w:val="19"/>
              </w:rPr>
              <w:t>Auto-approvable</w:t>
            </w:r>
          </w:p>
        </w:tc>
      </w:tr>
      <w:tr>
        <w:tc>
          <w:tcPr>
            <w:tcW w:type="dxa" w:w="1152"/>
          </w:tcPr>
          <w:p>
            <w:pPr>
              <w:jc w:val="left"/>
            </w:pPr>
            <w:r/>
            <w:r>
              <w:rPr>
                <w:rFonts w:ascii="Calibri" w:hAnsi="Calibri"/>
                <w:b w:val="0"/>
                <w:color w:val="282728"/>
                <w:sz w:val="19"/>
              </w:rPr>
              <w:t>FIND-5</w:t>
            </w:r>
          </w:p>
        </w:tc>
        <w:tc>
          <w:tcPr>
            <w:tcW w:type="dxa" w:w="2880"/>
          </w:tcPr>
          <w:p>
            <w:pPr>
              <w:jc w:val="left"/>
            </w:pPr>
            <w:r/>
            <w:r>
              <w:rPr>
                <w:rFonts w:ascii="Calibri" w:hAnsi="Calibri"/>
                <w:b w:val="0"/>
                <w:color w:val="282728"/>
                <w:sz w:val="19"/>
              </w:rPr>
              <w:t>LNX-WEB05 (web server)</w:t>
            </w:r>
          </w:p>
        </w:tc>
        <w:tc>
          <w:tcPr>
            <w:tcW w:type="dxa" w:w="4032"/>
          </w:tcPr>
          <w:p>
            <w:pPr>
              <w:jc w:val="left"/>
            </w:pPr>
            <w:r/>
            <w:r>
              <w:rPr>
                <w:rFonts w:ascii="Calibri" w:hAnsi="Calibri"/>
                <w:b w:val="0"/>
                <w:color w:val="282728"/>
                <w:sz w:val="19"/>
              </w:rPr>
              <w:t>OpenSSL infinite loop DoS (CVE-2022-0778)</w:t>
            </w:r>
          </w:p>
        </w:tc>
        <w:tc>
          <w:tcPr>
            <w:tcW w:type="dxa" w:w="1872"/>
          </w:tcPr>
          <w:p>
            <w:pPr>
              <w:jc w:val="left"/>
            </w:pPr>
            <w:r/>
            <w:r>
              <w:rPr>
                <w:rFonts w:ascii="Calibri" w:hAnsi="Calibri"/>
                <w:b w:val="0"/>
                <w:color w:val="282728"/>
                <w:sz w:val="19"/>
              </w:rPr>
              <w:t>Needs-change-approval</w:t>
            </w:r>
          </w:p>
        </w:tc>
      </w:tr>
      <w:tr>
        <w:tc>
          <w:tcPr>
            <w:tcW w:type="dxa" w:w="1152"/>
          </w:tcPr>
          <w:p>
            <w:pPr>
              <w:jc w:val="left"/>
            </w:pPr>
            <w:r/>
            <w:r>
              <w:rPr>
                <w:rFonts w:ascii="Calibri" w:hAnsi="Calibri"/>
                <w:b w:val="0"/>
                <w:color w:val="282728"/>
                <w:sz w:val="19"/>
              </w:rPr>
              <w:t>FIND-7</w:t>
            </w:r>
          </w:p>
        </w:tc>
        <w:tc>
          <w:tcPr>
            <w:tcW w:type="dxa" w:w="2880"/>
          </w:tcPr>
          <w:p>
            <w:pPr>
              <w:jc w:val="left"/>
            </w:pPr>
            <w:r/>
            <w:r>
              <w:rPr>
                <w:rFonts w:ascii="Calibri" w:hAnsi="Calibri"/>
                <w:b w:val="0"/>
                <w:color w:val="282728"/>
                <w:sz w:val="19"/>
              </w:rPr>
              <w:t>AXIS-CAM-LOBBY-03 (IP camera)</w:t>
            </w:r>
          </w:p>
        </w:tc>
        <w:tc>
          <w:tcPr>
            <w:tcW w:type="dxa" w:w="4032"/>
          </w:tcPr>
          <w:p>
            <w:pPr>
              <w:jc w:val="left"/>
            </w:pPr>
            <w:r/>
            <w:r>
              <w:rPr>
                <w:rFonts w:ascii="Calibri" w:hAnsi="Calibri"/>
                <w:b w:val="0"/>
                <w:color w:val="282728"/>
                <w:sz w:val="19"/>
              </w:rPr>
              <w:t>Telnet service exposed</w:t>
            </w:r>
          </w:p>
        </w:tc>
        <w:tc>
          <w:tcPr>
            <w:tcW w:type="dxa" w:w="1872"/>
          </w:tcPr>
          <w:p>
            <w:pPr>
              <w:jc w:val="left"/>
            </w:pPr>
            <w:r/>
            <w:r>
              <w:rPr>
                <w:rFonts w:ascii="Calibri" w:hAnsi="Calibri"/>
                <w:b w:val="0"/>
                <w:color w:val="282728"/>
                <w:sz w:val="19"/>
              </w:rPr>
              <w:t>Manual-only</w:t>
            </w:r>
          </w:p>
        </w:tc>
      </w:tr>
      <w:tr>
        <w:tc>
          <w:tcPr>
            <w:tcW w:type="dxa" w:w="1152"/>
          </w:tcPr>
          <w:p>
            <w:pPr>
              <w:jc w:val="left"/>
            </w:pPr>
            <w:r/>
            <w:r>
              <w:rPr>
                <w:rFonts w:ascii="Calibri" w:hAnsi="Calibri"/>
                <w:b w:val="0"/>
                <w:color w:val="282728"/>
                <w:sz w:val="19"/>
              </w:rPr>
              <w:t>FIND-9</w:t>
            </w:r>
          </w:p>
        </w:tc>
        <w:tc>
          <w:tcPr>
            <w:tcW w:type="dxa" w:w="2880"/>
          </w:tcPr>
          <w:p>
            <w:pPr>
              <w:jc w:val="left"/>
            </w:pPr>
            <w:r/>
            <w:r>
              <w:rPr>
                <w:rFonts w:ascii="Calibri" w:hAnsi="Calibri"/>
                <w:b w:val="0"/>
                <w:color w:val="282728"/>
                <w:sz w:val="19"/>
              </w:rPr>
              <w:t>MDM-IPHONE-J-SMITH (mobile)</w:t>
            </w:r>
          </w:p>
        </w:tc>
        <w:tc>
          <w:tcPr>
            <w:tcW w:type="dxa" w:w="4032"/>
          </w:tcPr>
          <w:p>
            <w:pPr>
              <w:jc w:val="left"/>
            </w:pPr>
            <w:r/>
            <w:r>
              <w:rPr>
                <w:rFonts w:ascii="Calibri" w:hAnsi="Calibri"/>
                <w:b w:val="0"/>
                <w:color w:val="282728"/>
                <w:sz w:val="19"/>
              </w:rPr>
              <w:t>Outdated iOS version</w:t>
            </w:r>
          </w:p>
        </w:tc>
        <w:tc>
          <w:tcPr>
            <w:tcW w:type="dxa" w:w="1872"/>
          </w:tcPr>
          <w:p>
            <w:pPr>
              <w:jc w:val="left"/>
            </w:pPr>
            <w:r/>
            <w:r>
              <w:rPr>
                <w:rFonts w:ascii="Calibri" w:hAnsi="Calibri"/>
                <w:b w:val="0"/>
                <w:color w:val="282728"/>
                <w:sz w:val="19"/>
              </w:rPr>
              <w:t>Manual-only</w:t>
            </w:r>
          </w:p>
        </w:tc>
      </w:tr>
    </w:tbl>
    <w:p>
      <w:pPr>
        <w:spacing w:after="240"/>
      </w:pPr>
      <w:r>
        <w:rPr>
          <w:b w:val="0"/>
          <w:i w:val="0"/>
          <w:color w:val="282728"/>
          <w:sz w:val="21"/>
        </w:rPr>
        <w:t>Result: 7 findings (4 Windows Server, 3 Unix Server) got a generated, reviewable Ansible playbook; 4 (1 core network device, 3 IoT/OT/mobile) are fully planned but correctly left manual-only, since no fixer subagent exists yet for those asset classes — an honest, documented gap rather than a silent one.</w:t>
      </w:r>
    </w:p>
    <w:p>
      <w:pPr>
        <w:pStyle w:val="Heading2"/>
      </w:pPr>
      <w:r>
        <w:rPr>
          <w:rFonts w:ascii="Calibri" w:hAnsi="Calibri"/>
          <w:color w:val="282728"/>
        </w:rPr>
        <w:t>5.3 Sample Generated Playbook (FIND-4, auto-approvable)</w:t>
      </w:r>
    </w:p>
    <w:tbl>
      <w:tblPr>
        <w:tblW w:type="auto" w:w="0"/>
        <w:tblLook w:firstColumn="1" w:firstRow="1" w:lastColumn="0" w:lastRow="0" w:noHBand="0" w:noVBand="1" w:val="04A0"/>
      </w:tblPr>
      <w:tblGrid>
        <w:gridCol w:w="9648"/>
      </w:tblGrid>
      <w:tr>
        <w:tc>
          <w:tcPr>
            <w:tcW w:type="dxa" w:w="9648"/>
            <w:shd w:val="clear" w:color="auto" w:fill="F2F2F2"/>
          </w:tcPr>
          <w:p>
            <w:pPr>
              <w:spacing w:after="0"/>
            </w:pPr>
            <w:r/>
            <w:r>
              <w:rPr>
                <w:rFonts w:ascii="Consolas" w:hAnsi="Consolas"/>
                <w:color w:val="282728"/>
                <w:sz w:val="18"/>
              </w:rPr>
              <w:t># Finding: FIND-4 - Sudo Heap-Based Buffer Overflow / Baron Samedit</w:t>
            </w:r>
          </w:p>
          <w:p>
            <w:pPr>
              <w:spacing w:after="0"/>
            </w:pPr>
            <w:r>
              <w:rPr>
                <w:rFonts w:ascii="Consolas" w:hAnsi="Consolas"/>
                <w:color w:val="282728"/>
                <w:sz w:val="18"/>
              </w:rPr>
              <w:t># (CVE-2021-3156) on LNX-DB03</w:t>
            </w:r>
          </w:p>
          <w:p>
            <w:pPr>
              <w:spacing w:after="0"/>
            </w:pPr>
            <w:r>
              <w:rPr>
                <w:rFonts w:ascii="Consolas" w:hAnsi="Consolas"/>
                <w:color w:val="282728"/>
                <w:sz w:val="18"/>
              </w:rPr>
              <w:t># Risk tier: auto-approvable - single-package upgrade, no service</w:t>
            </w:r>
          </w:p>
          <w:p>
            <w:pPr>
              <w:spacing w:after="0"/>
            </w:pPr>
            <w:r>
              <w:rPr>
                <w:rFonts w:ascii="Consolas" w:hAnsi="Consolas"/>
                <w:color w:val="282728"/>
                <w:sz w:val="18"/>
              </w:rPr>
              <w:t># restart required, widely-deployed and well-tested vendor fix.</w:t>
            </w:r>
          </w:p>
          <w:p>
            <w:pPr>
              <w:spacing w:after="0"/>
            </w:pPr>
            <w:r>
              <w:rPr>
                <w:rFonts w:ascii="Consolas" w:hAnsi="Consolas"/>
                <w:color w:val="282728"/>
                <w:sz w:val="18"/>
              </w:rPr>
              <w:t># Rollback: downgrade the `sudo` package via the distro's package</w:t>
            </w:r>
          </w:p>
          <w:p>
            <w:pPr>
              <w:spacing w:after="0"/>
            </w:pPr>
            <w:r>
              <w:rPr>
                <w:rFonts w:ascii="Consolas" w:hAnsi="Consolas"/>
                <w:color w:val="282728"/>
                <w:sz w:val="18"/>
              </w:rPr>
              <w:t># cache/repo if unexpected issues arise.</w:t>
            </w:r>
          </w:p>
          <w:p>
            <w:pPr>
              <w:spacing w:after="0"/>
            </w:pPr>
            <w:r>
              <w:rPr>
                <w:rFonts w:ascii="Consolas" w:hAnsi="Consolas"/>
                <w:color w:val="282728"/>
                <w:sz w:val="18"/>
              </w:rPr>
              <w:t>---</w:t>
            </w:r>
          </w:p>
          <w:p>
            <w:pPr>
              <w:spacing w:after="0"/>
            </w:pPr>
            <w:r>
              <w:rPr>
                <w:rFonts w:ascii="Consolas" w:hAnsi="Consolas"/>
                <w:color w:val="282728"/>
                <w:sz w:val="18"/>
              </w:rPr>
              <w:t>- name: "FIND-4: Patch sudo Baron Samedit vulnerability (CVE-2021-3156)"</w:t>
            </w:r>
          </w:p>
          <w:p>
            <w:pPr>
              <w:spacing w:after="0"/>
            </w:pPr>
            <w:r>
              <w:rPr>
                <w:rFonts w:ascii="Consolas" w:hAnsi="Consolas"/>
                <w:color w:val="282728"/>
                <w:sz w:val="18"/>
              </w:rPr>
              <w:t xml:space="preserve">  hosts: "{{ target_host | default('LNX-DB03') }}"</w:t>
            </w:r>
          </w:p>
          <w:p>
            <w:pPr>
              <w:spacing w:after="0"/>
            </w:pPr>
            <w:r>
              <w:rPr>
                <w:rFonts w:ascii="Consolas" w:hAnsi="Consolas"/>
                <w:color w:val="282728"/>
                <w:sz w:val="18"/>
              </w:rPr>
              <w:t xml:space="preserve">  become: true</w:t>
            </w:r>
          </w:p>
          <w:p>
            <w:pPr>
              <w:spacing w:after="0"/>
            </w:pPr>
            <w:r>
              <w:rPr>
                <w:rFonts w:ascii="Consolas" w:hAnsi="Consolas"/>
                <w:color w:val="282728"/>
                <w:sz w:val="18"/>
              </w:rPr>
              <w:t xml:space="preserve">  tasks:</w:t>
            </w:r>
          </w:p>
          <w:p>
            <w:pPr>
              <w:spacing w:after="0"/>
            </w:pPr>
            <w:r>
              <w:rPr>
                <w:rFonts w:ascii="Consolas" w:hAnsi="Consolas"/>
                <w:color w:val="282728"/>
                <w:sz w:val="18"/>
              </w:rPr>
              <w:t xml:space="preserve">    - name: Report currently installed sudo version (pre-change baseline)</w:t>
            </w:r>
          </w:p>
          <w:p>
            <w:pPr>
              <w:spacing w:after="0"/>
            </w:pPr>
            <w:r>
              <w:rPr>
                <w:rFonts w:ascii="Consolas" w:hAnsi="Consolas"/>
                <w:color w:val="282728"/>
                <w:sz w:val="18"/>
              </w:rPr>
              <w:t xml:space="preserve">      ansible.builtin.command: dpkg-query -W -f='${Version}' sudo</w:t>
            </w:r>
          </w:p>
          <w:p>
            <w:pPr>
              <w:spacing w:after="0"/>
            </w:pPr>
            <w:r>
              <w:rPr>
                <w:rFonts w:ascii="Consolas" w:hAnsi="Consolas"/>
                <w:color w:val="282728"/>
                <w:sz w:val="18"/>
              </w:rPr>
              <w:t xml:space="preserve">      changed_when: false</w:t>
            </w:r>
          </w:p>
          <w:p>
            <w:pPr>
              <w:spacing w:after="0"/>
            </w:pPr>
            <w:r>
              <w:rPr>
                <w:rFonts w:ascii="Consolas" w:hAnsi="Consolas"/>
                <w:color w:val="282728"/>
                <w:sz w:val="18"/>
              </w:rPr>
              <w:t xml:space="preserve">    - name: Upgrade sudo to the patched version (&gt;= 1.9.5p2) - Debian/Ubuntu</w:t>
            </w:r>
          </w:p>
          <w:p>
            <w:pPr>
              <w:spacing w:after="0"/>
            </w:pPr>
            <w:r>
              <w:rPr>
                <w:rFonts w:ascii="Consolas" w:hAnsi="Consolas"/>
                <w:color w:val="282728"/>
                <w:sz w:val="18"/>
              </w:rPr>
              <w:t xml:space="preserve">      ansible.builtin.apt:</w:t>
            </w:r>
          </w:p>
          <w:p>
            <w:pPr>
              <w:spacing w:after="0"/>
            </w:pPr>
            <w:r>
              <w:rPr>
                <w:rFonts w:ascii="Consolas" w:hAnsi="Consolas"/>
                <w:color w:val="282728"/>
                <w:sz w:val="18"/>
              </w:rPr>
              <w:t xml:space="preserve">        name: sudo</w:t>
            </w:r>
          </w:p>
          <w:p>
            <w:pPr>
              <w:spacing w:after="0"/>
            </w:pPr>
            <w:r>
              <w:rPr>
                <w:rFonts w:ascii="Consolas" w:hAnsi="Consolas"/>
                <w:color w:val="282728"/>
                <w:sz w:val="18"/>
              </w:rPr>
              <w:t xml:space="preserve">        state: latest</w:t>
            </w:r>
          </w:p>
          <w:p>
            <w:pPr>
              <w:spacing w:after="0"/>
            </w:pPr>
            <w:r>
              <w:rPr>
                <w:rFonts w:ascii="Consolas" w:hAnsi="Consolas"/>
                <w:color w:val="282728"/>
                <w:sz w:val="18"/>
              </w:rPr>
              <w:t xml:space="preserve">      when: ansible_facts['os_family'] == "Debian"</w:t>
            </w:r>
          </w:p>
        </w:tc>
      </w:tr>
    </w:tbl>
    <w:p>
      <w:r>
        <w:br w:type="page"/>
      </w:r>
    </w:p>
    <w:p>
      <w:pPr>
        <w:pStyle w:val="Heading1"/>
      </w:pPr>
      <w:r>
        <w:rPr>
          <w:rFonts w:ascii="Calibri" w:hAnsi="Calibri"/>
          <w:color w:val="046A38"/>
        </w:rPr>
        <w:t>6. Repository &amp; Deliverables</w:t>
      </w:r>
    </w:p>
    <w:p>
      <w:pPr>
        <w:spacing w:after="80"/>
      </w:pPr>
      <w:r>
        <w:rPr>
          <w:b/>
          <w:i w:val="0"/>
          <w:color w:val="282728"/>
          <w:sz w:val="21"/>
        </w:rPr>
        <w:t>Repository: github.com/Deloitte-US-Consulting/VulnHunter</w:t>
      </w:r>
    </w:p>
    <w:tbl>
      <w:tblPr>
        <w:tblW w:type="auto" w:w="0"/>
        <w:jc w:val="center"/>
        <w:tblLayout w:type="fixed"/>
        <w:tblLook w:firstColumn="1" w:firstRow="1" w:lastColumn="0" w:lastRow="0" w:noHBand="0" w:noVBand="1" w:val="04A0"/>
      </w:tblPr>
      <w:tblGrid>
        <w:gridCol w:w="4824"/>
        <w:gridCol w:w="4824"/>
      </w:tblGrid>
      <w:tr>
        <w:tc>
          <w:tcPr>
            <w:tcW w:type="dxa" w:w="3888"/>
            <w:shd w:val="clear" w:color="auto" w:fill="86BC25"/>
          </w:tcPr>
          <w:p>
            <w:pPr>
              <w:jc w:val="left"/>
            </w:pPr>
            <w:r/>
            <w:r>
              <w:rPr>
                <w:rFonts w:ascii="Calibri" w:hAnsi="Calibri"/>
                <w:b/>
                <w:color w:val="FFFFFF"/>
                <w:sz w:val="19"/>
              </w:rPr>
              <w:t>Branch</w:t>
            </w:r>
          </w:p>
        </w:tc>
        <w:tc>
          <w:tcPr>
            <w:tcW w:type="dxa" w:w="5472"/>
            <w:shd w:val="clear" w:color="auto" w:fill="86BC25"/>
          </w:tcPr>
          <w:p>
            <w:pPr>
              <w:jc w:val="left"/>
            </w:pPr>
            <w:r/>
            <w:r>
              <w:rPr>
                <w:rFonts w:ascii="Calibri" w:hAnsi="Calibri"/>
                <w:b/>
                <w:color w:val="FFFFFF"/>
                <w:sz w:val="19"/>
              </w:rPr>
              <w:t>Contents</w:t>
            </w:r>
          </w:p>
        </w:tc>
      </w:tr>
      <w:tr>
        <w:tc>
          <w:tcPr>
            <w:tcW w:type="dxa" w:w="3888"/>
          </w:tcPr>
          <w:p>
            <w:pPr>
              <w:jc w:val="left"/>
            </w:pPr>
            <w:r/>
            <w:r>
              <w:rPr>
                <w:rFonts w:ascii="Calibri" w:hAnsi="Calibri"/>
                <w:b w:val="0"/>
                <w:color w:val="282728"/>
                <w:sz w:val="19"/>
              </w:rPr>
              <w:t>master</w:t>
            </w:r>
          </w:p>
        </w:tc>
        <w:tc>
          <w:tcPr>
            <w:tcW w:type="dxa" w:w="5472"/>
          </w:tcPr>
          <w:p>
            <w:pPr>
              <w:jc w:val="left"/>
            </w:pPr>
            <w:r/>
            <w:r>
              <w:rPr>
                <w:rFonts w:ascii="Calibri" w:hAnsi="Calibri"/>
                <w:b w:val="0"/>
                <w:color w:val="282728"/>
                <w:sz w:val="19"/>
              </w:rPr>
              <w:t>Full scaffold: /vulnhunt pipeline, vulnerable-demo-app, README, CLAUDE.md</w:t>
            </w:r>
          </w:p>
        </w:tc>
      </w:tr>
      <w:tr>
        <w:tc>
          <w:tcPr>
            <w:tcW w:type="dxa" w:w="3888"/>
          </w:tcPr>
          <w:p>
            <w:pPr>
              <w:jc w:val="left"/>
            </w:pPr>
            <w:r/>
            <w:r>
              <w:rPr>
                <w:rFonts w:ascii="Calibri" w:hAnsi="Calibri"/>
                <w:b w:val="0"/>
                <w:color w:val="282728"/>
                <w:sz w:val="19"/>
              </w:rPr>
              <w:t>vulnhunter/auto-fixes-20260803</w:t>
            </w:r>
          </w:p>
        </w:tc>
        <w:tc>
          <w:tcPr>
            <w:tcW w:type="dxa" w:w="5472"/>
          </w:tcPr>
          <w:p>
            <w:pPr>
              <w:jc w:val="left"/>
            </w:pPr>
            <w:r/>
            <w:r>
              <w:rPr>
                <w:rFonts w:ascii="Calibri" w:hAnsi="Calibri"/>
                <w:b w:val="0"/>
                <w:color w:val="282728"/>
                <w:sz w:val="19"/>
              </w:rPr>
              <w:t>Validated /vulnhunt fix output — 6 auto-fixed vulnerabilities, ready for PR</w:t>
            </w:r>
          </w:p>
        </w:tc>
      </w:tr>
      <w:tr>
        <w:tc>
          <w:tcPr>
            <w:tcW w:type="dxa" w:w="3888"/>
          </w:tcPr>
          <w:p>
            <w:pPr>
              <w:jc w:val="left"/>
            </w:pPr>
            <w:r/>
            <w:r>
              <w:rPr>
                <w:rFonts w:ascii="Calibri" w:hAnsi="Calibri"/>
                <w:b w:val="0"/>
                <w:color w:val="282728"/>
                <w:sz w:val="19"/>
              </w:rPr>
              <w:t>feature/remediation-engine</w:t>
            </w:r>
          </w:p>
        </w:tc>
        <w:tc>
          <w:tcPr>
            <w:tcW w:type="dxa" w:w="5472"/>
          </w:tcPr>
          <w:p>
            <w:pPr>
              <w:jc w:val="left"/>
            </w:pPr>
            <w:r/>
            <w:r>
              <w:rPr>
                <w:rFonts w:ascii="Calibri" w:hAnsi="Calibri"/>
                <w:b w:val="0"/>
                <w:color w:val="282728"/>
                <w:sz w:val="19"/>
              </w:rPr>
              <w:t>/remediate pipeline, mock Tenable/Armis/threat-intel data, generated playbooks, 33-test suite</w:t>
            </w:r>
          </w:p>
        </w:tc>
      </w:tr>
    </w:tbl>
    <w:p>
      <w:pPr>
        <w:spacing w:after="200"/>
      </w:pPr>
      <w:r>
        <w:rPr>
          <w:b w:val="0"/>
          <w:i w:val="0"/>
          <w:color w:val="282728"/>
          <w:sz w:val="21"/>
        </w:rPr>
      </w:r>
    </w:p>
    <w:p>
      <w:pPr>
        <w:pStyle w:val="Heading1"/>
      </w:pPr>
      <w:r>
        <w:rPr>
          <w:rFonts w:ascii="Calibri" w:hAnsi="Calibri"/>
          <w:color w:val="046A38"/>
        </w:rPr>
        <w:t>7. Roadmap</w:t>
      </w:r>
    </w:p>
    <w:p>
      <w:pPr>
        <w:pStyle w:val="ListBullet"/>
      </w:pPr>
      <w:r>
        <w:rPr>
          <w:color w:val="282728"/>
          <w:sz w:val="21"/>
        </w:rPr>
        <w:t>remediation-fixer-network — vendor CLI config diffs (Cisco IOS/IOS XE, Junos) via Ansible's network collections, same Read/Write-only tool scoping.</w:t>
      </w:r>
    </w:p>
    <w:p>
      <w:pPr>
        <w:pStyle w:val="ListBullet"/>
      </w:pPr>
      <w:r>
        <w:rPr>
          <w:color w:val="282728"/>
          <w:sz w:val="21"/>
        </w:rPr>
        <w:t>remediation-fixer-iot — per-vendor integration, starting with the highest-volume device types in the fleet (Armis-visible cameras, building-automation controllers).</w:t>
      </w:r>
    </w:p>
    <w:p>
      <w:pPr>
        <w:pStyle w:val="ListBullet"/>
      </w:pPr>
      <w:r>
        <w:rPr>
          <w:color w:val="282728"/>
          <w:sz w:val="21"/>
        </w:rPr>
        <w:t>Live source connectors — swap the mock Tenable/Armis/threat-intel exports for live API pulls; the normalizer's common schema does not change.</w:t>
      </w:r>
    </w:p>
    <w:p>
      <w:pPr>
        <w:spacing w:after="120"/>
      </w:pPr>
      <w:r>
        <w:rPr>
          <w:b/>
          <w:i w:val="0"/>
          <w:color w:val="046A38"/>
          <w:sz w:val="21"/>
        </w:rPr>
        <w:br/>
        <w:t>Two working pipelines exist today, live on GitHub with real branches and pull-request links — not a slide-only concept.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7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