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5"/>
      </w:pPr>
      <w:r>
        <w:rPr>
          <w:rFonts w:ascii="Calibri" w:cs="Calibri" w:eastAsia="Calibri" w:hAnsi="Calibri"/>
          <w:b/>
          <w:bCs/>
          <w:i w:val="false"/>
          <w:iCs w:val="false"/>
          <w:color w:val="4D5656"/>
          <w:sz w:val="16"/>
          <w:szCs w:val="16"/>
        </w:rPr>
        <w:t xml:space="preserve">ENGINEER OS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6"/>
          <w:szCs w:val="16"/>
        </w:rPr>
        <w:t xml:space="preserve">   ·   Computer Organization &amp; Architecture</w:t>
      </w:r>
    </w:p>
    <w:p>
      <w:pPr>
        <w:spacing w:after="110"/>
      </w:pPr>
      <w:r>
        <w:rPr>
          <w:rFonts w:ascii="Calibri" w:cs="Calibri" w:eastAsia="Calibri" w:hAnsi="Calibri"/>
          <w:b/>
          <w:bCs/>
          <w:i w:val="false"/>
          <w:iCs w:val="false"/>
          <w:color w:val="B9770E"/>
          <w:sz w:val="28"/>
          <w:szCs w:val="28"/>
        </w:rPr>
        <w:t xml:space="preserve">03.  </w:t>
      </w:r>
      <w:r>
        <w:rPr>
          <w:rFonts w:ascii="Calibri" w:cs="Calibri" w:eastAsia="Calibri" w:hAnsi="Calibri"/>
          <w:b/>
          <w:bCs/>
          <w:i w:val="false"/>
          <w:iCs w:val="false"/>
          <w:color w:val="1B2631"/>
          <w:sz w:val="28"/>
          <w:szCs w:val="28"/>
        </w:rPr>
        <w:t xml:space="preserve">Stack &amp; Heap Deep Dive</w:t>
      </w:r>
    </w:p>
    <w:tbl>
      <w:tblPr>
        <w:tblW w:type="dxa" w:w="10000"/>
        <w:tblBorders>
          <w:top w:val="single" w:color="CBD3D8" w:sz="3"/>
          <w:left w:val="single" w:color="CBD3D8" w:sz="3"/>
          <w:bottom w:val="single" w:color="CBD3D8" w:sz="3"/>
          <w:right w:val="single" w:color="CBD3D8" w:sz="3"/>
          <w:insideH w:val="single" w:color="E2E6E8" w:sz="3"/>
          <w:insideV w:val="single" w:color="E2E6E8" w:sz="3"/>
        </w:tblBorders>
      </w:tblPr>
      <w:tblGrid>
        <w:gridCol w:w="1900"/>
        <w:gridCol w:w="1700"/>
        <w:gridCol w:w="1700"/>
        <w:gridCol w:w="4700"/>
      </w:tblGrid>
      <w:tr>
        <w:trPr>
          <w:tblHeader/>
        </w:trPr>
        <w:tc>
          <w:tcPr>
            <w:tcW w:type="dxa" w:w="1900"/>
            <w:shd w:fill="E8F1FC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5FAF"/>
                <w:sz w:val="14"/>
                <w:szCs w:val="14"/>
              </w:rPr>
              <w:t xml:space="preserve">Difficulty</w:t>
            </w:r>
          </w:p>
        </w:tc>
        <w:tc>
          <w:tcPr>
            <w:tcW w:type="dxa" w:w="1700"/>
            <w:shd w:fill="E8F1FC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5FAF"/>
                <w:sz w:val="14"/>
                <w:szCs w:val="14"/>
              </w:rPr>
              <w:t xml:space="preserve">Reading Time</w:t>
            </w:r>
          </w:p>
        </w:tc>
        <w:tc>
          <w:tcPr>
            <w:tcW w:type="dxa" w:w="1700"/>
            <w:shd w:fill="E8F1FC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5FAF"/>
                <w:sz w:val="14"/>
                <w:szCs w:val="14"/>
              </w:rPr>
              <w:t xml:space="preserve">Prerequisites</w:t>
            </w:r>
          </w:p>
        </w:tc>
        <w:tc>
          <w:tcPr>
            <w:tcW w:type="dxa" w:w="4700"/>
            <w:shd w:fill="E8F1FC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5FAF"/>
                <w:sz w:val="14"/>
                <w:szCs w:val="14"/>
              </w:rPr>
              <w:t xml:space="preserve">Outcome</w:t>
            </w:r>
          </w:p>
        </w:tc>
      </w:tr>
      <w:tr>
        <w:tc>
          <w:tcPr>
            <w:tcW w:type="dxa" w:w="1900"/>
            <w:shd w:fill="FFFFFF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⭐⭐ Intermediate</w:t>
            </w:r>
          </w:p>
        </w:tc>
        <w:tc>
          <w:tcPr>
            <w:tcW w:type="dxa" w:w="1700"/>
            <w:shd w:fill="FFFFFF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10–12 min</w:t>
            </w:r>
          </w:p>
        </w:tc>
        <w:tc>
          <w:tcPr>
            <w:tcW w:type="dxa" w:w="1700"/>
            <w:shd w:fill="FFFFFF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Chapters 01–02</w:t>
            </w:r>
          </w:p>
        </w:tc>
        <w:tc>
          <w:tcPr>
            <w:tcW w:type="dxa" w:w="4700"/>
            <w:shd w:fill="FFFFFF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Explain push/pop, stack frames, heap allocation &amp; GC — with confidence</w:t>
            </w:r>
          </w:p>
        </w:tc>
      </w:tr>
    </w:tbl>
    <w:p>
      <w:pPr>
        <w:spacing w:after="120"/>
      </w:pPr>
    </w:p>
    <w:p>
      <w:pPr>
        <w:pBdr>
          <w:left w:val="single" w:color="1E5FAF" w:sz="24" w:space="8"/>
        </w:pBdr>
        <w:spacing w:after="85" w:before="150"/>
        <w:ind w:left="20"/>
      </w:pPr>
      <w:r>
        <w:rPr>
          <w:rFonts w:ascii="Calibri" w:cs="Calibri" w:eastAsia="Calibri" w:hAnsi="Calibri"/>
          <w:b/>
          <w:bCs/>
          <w:color w:val="1E5FAF"/>
          <w:sz w:val="22"/>
          <w:szCs w:val="22"/>
        </w:rPr>
        <w:t xml:space="preserve">Story</w:t>
      </w:r>
    </w:p>
    <w:tbl>
      <w:tblPr>
        <w:tblW w:type="dxa" w:w="9900"/>
        <w:tblBorders>
          <w:top w:val="single" w:color="E8F1FC" w:sz="2"/>
          <w:left w:val="single" w:color="1E5FAF" w:sz="30"/>
          <w:bottom w:val="single" w:color="E8F1FC" w:sz="2"/>
          <w:right w:val="single" w:color="E8F1FC" w:sz="2"/>
          <w:insideH w:val="single" w:color="auto" w:sz="4"/>
          <w:insideV w:val="single" w:color="auto" w:sz="4"/>
        </w:tblBorders>
      </w:tblPr>
      <w:tblGrid>
        <w:gridCol w:w="9900"/>
      </w:tblGrid>
      <w:tr>
        <w:tc>
          <w:tcPr>
            <w:tcW w:type="dxa" w:w="9900"/>
            <w:shd w:fill="E8F1FC" w:val="clear"/>
            <w:tcMar>
              <w:top w:type="dxa" w:w="85"/>
              <w:left w:type="dxa" w:w="150"/>
              <w:bottom w:type="dxa" w:w="85"/>
              <w:right w:type="dxa" w:w="150"/>
            </w:tcMar>
          </w:tcPr>
          <w:p>
            <w:pPr>
              <w:spacing w:after="25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5FAF"/>
                <w:sz w:val="16"/>
                <w:szCs w:val="16"/>
              </w:rPr>
              <w:t xml:space="preserve">Waiter's Notepad vs Storage Warehouse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16"/>
                <w:szCs w:val="16"/>
              </w:rPr>
              <w:t xml:space="preserve">The Stack is a waiter's order spike — notes clipped on top, always removed from the top first (LIFO). The Heap is a self-storage warehouse — rent any size unit, keep it as long as you want, but you must remember to check out.</w:t>
            </w:r>
          </w:p>
        </w:tc>
      </w:tr>
    </w:tbl>
    <w:p>
      <w:pPr>
        <w:spacing w:after="90"/>
      </w:pPr>
    </w:p>
    <w:p>
      <w:pPr>
        <w:pBdr>
          <w:left w:val="single" w:color="1E8449" w:sz="24" w:space="8"/>
        </w:pBdr>
        <w:spacing w:after="85" w:before="150"/>
        <w:ind w:left="20"/>
      </w:pPr>
      <w:r>
        <w:rPr>
          <w:rFonts w:ascii="Calibri" w:cs="Calibri" w:eastAsia="Calibri" w:hAnsi="Calibri"/>
          <w:b/>
          <w:bCs/>
          <w:color w:val="1E8449"/>
          <w:sz w:val="22"/>
          <w:szCs w:val="22"/>
        </w:rPr>
        <w:t xml:space="preserve">Visual Imagination</w:t>
      </w:r>
    </w:p>
    <w:tbl>
      <w:tblPr>
        <w:tblW w:type="dxa" w:w="99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50"/>
        <w:gridCol w:w="4950"/>
      </w:tblGrid>
      <w:tr>
        <w:tc>
          <w:tcPr>
            <w:tcW w:type="dxa" w:w="4950"/>
            <w:tcMar>
              <w:right w:type="dxa" w:w="120"/>
            </w:tcMar>
          </w:tcPr>
          <w:p>
            <w:pPr>
              <w:spacing w:after="90" w:before="55"/>
              <w:jc w:val="center"/>
            </w:pPr>
            <w:r>
              <w:drawing>
                <wp:inline distT="0" distB="0" distL="0" distR="0">
                  <wp:extent cx="2381250" cy="1343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1343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50"/>
            <w:tcMar>
              <w:left w:type="dxa" w:w="120"/>
            </w:tcMar>
          </w:tcPr>
          <w:p>
            <w:pPr>
              <w:spacing w:after="90" w:before="55"/>
              <w:jc w:val="center"/>
            </w:pPr>
            <w:r>
              <w:drawing>
                <wp:inline distT="0" distB="0" distL="0" distR="0">
                  <wp:extent cx="2381250" cy="1238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left w:val="single" w:color="B9770E" w:sz="24" w:space="8"/>
        </w:pBdr>
        <w:spacing w:after="85" w:before="150"/>
        <w:ind w:left="20"/>
      </w:pPr>
      <w:r>
        <w:rPr>
          <w:rFonts w:ascii="Calibri" w:cs="Calibri" w:eastAsia="Calibri" w:hAnsi="Calibri"/>
          <w:b/>
          <w:bCs/>
          <w:color w:val="B9770E"/>
          <w:sz w:val="22"/>
          <w:szCs w:val="22"/>
        </w:rPr>
        <w:t xml:space="preserve">ELI5 + First Principles</w:t>
      </w:r>
    </w:p>
    <w:tbl>
      <w:tblPr>
        <w:tblW w:type="dxa" w:w="9900"/>
        <w:tblBorders>
          <w:top w:val="single" w:color="FEF5E7" w:sz="2"/>
          <w:left w:val="single" w:color="B9770E" w:sz="30"/>
          <w:bottom w:val="single" w:color="FEF5E7" w:sz="2"/>
          <w:right w:val="single" w:color="FEF5E7" w:sz="2"/>
          <w:insideH w:val="single" w:color="auto" w:sz="4"/>
          <w:insideV w:val="single" w:color="auto" w:sz="4"/>
        </w:tblBorders>
      </w:tblPr>
      <w:tblGrid>
        <w:gridCol w:w="9900"/>
      </w:tblGrid>
      <w:tr>
        <w:tc>
          <w:tcPr>
            <w:tcW w:type="dxa" w:w="9900"/>
            <w:shd w:fill="FEF5E7" w:val="clear"/>
            <w:tcMar>
              <w:top w:type="dxa" w:w="85"/>
              <w:left w:type="dxa" w:w="150"/>
              <w:bottom w:type="dxa" w:w="85"/>
              <w:right w:type="dxa" w:w="150"/>
            </w:tcMar>
          </w:tcPr>
          <w:p>
            <w:pPr>
              <w:spacing w:after="25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9770E"/>
                <w:sz w:val="16"/>
                <w:szCs w:val="16"/>
              </w:rPr>
              <w:t xml:space="preserve">Toy Box vs Building Blocks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16"/>
                <w:szCs w:val="16"/>
              </w:rPr>
              <w:t xml:space="preserve">Stack = toys you use for one game, put away automatically when done. Heap = building blocks you keep out as long as you like — but YOU have to put them away. The stack exists because the CPU needs an ultra-fast, disciplined place for short-lived data; the heap exists because some data must be flexible in size and outlive a single function call.</w:t>
            </w:r>
          </w:p>
        </w:tc>
      </w:tr>
    </w:tbl>
    <w:p>
      <w:r>
        <w:br w:type="page"/>
      </w:r>
    </w:p>
    <w:p>
      <w:pPr>
        <w:pBdr>
          <w:left w:val="single" w:color="943126" w:sz="24" w:space="8"/>
        </w:pBdr>
        <w:spacing w:after="85" w:before="150"/>
        <w:ind w:left="20"/>
      </w:pPr>
      <w:r>
        <w:rPr>
          <w:rFonts w:ascii="Calibri" w:cs="Calibri" w:eastAsia="Calibri" w:hAnsi="Calibri"/>
          <w:b/>
          <w:bCs/>
          <w:color w:val="943126"/>
          <w:sz w:val="22"/>
          <w:szCs w:val="22"/>
        </w:rPr>
        <w:t xml:space="preserve">Inside a Stack Frame</w:t>
      </w:r>
    </w:p>
    <w:tbl>
      <w:tblPr>
        <w:tblW w:type="dxa" w:w="99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300"/>
        <w:gridCol w:w="5600"/>
      </w:tblGrid>
      <w:tr>
        <w:tc>
          <w:tcPr>
            <w:tcW w:type="dxa" w:w="4300"/>
            <w:tcMar>
              <w:right w:type="dxa" w:w="120"/>
            </w:tcMar>
          </w:tcPr>
          <w:p>
            <w:pPr>
              <w:spacing w:after="90" w:before="55"/>
              <w:jc w:val="center"/>
            </w:pPr>
            <w:r>
              <w:drawing>
                <wp:inline distT="0" distB="0" distL="0" distR="0">
                  <wp:extent cx="2476500" cy="18954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1895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00"/>
            <w:tcMar>
              <w:left w:type="dxa" w:w="120"/>
            </w:tcMar>
          </w:tcPr>
          <w:p>
            <w:pPr>
              <w:spacing w:after="45" w:line="2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5FAF"/>
                <w:sz w:val="15"/>
                <w:szCs w:val="15"/>
              </w:rPr>
              <w:t xml:space="preserve">Return Address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  — where to resume in the caller.</w:t>
            </w:r>
          </w:p>
          <w:p>
            <w:pPr>
              <w:spacing w:after="45" w:line="2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C3483"/>
                <w:sz w:val="15"/>
                <w:szCs w:val="15"/>
              </w:rPr>
              <w:t xml:space="preserve">Saved Frame Pointer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  — restores caller's context.</w:t>
            </w:r>
          </w:p>
          <w:p>
            <w:pPr>
              <w:spacing w:after="45" w:line="2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8449"/>
                <w:sz w:val="15"/>
                <w:szCs w:val="15"/>
              </w:rPr>
              <w:t xml:space="preserve">Parameters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  — values passed into the call.</w:t>
            </w:r>
          </w:p>
          <w:p>
            <w:pPr>
              <w:spacing w:after="0" w:line="2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9770E"/>
                <w:sz w:val="15"/>
                <w:szCs w:val="15"/>
              </w:rPr>
              <w:t xml:space="preserve">Local Variables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  — exist only for this call.</w:t>
            </w:r>
          </w:p>
        </w:tc>
      </w:tr>
    </w:tbl>
    <w:p>
      <w:pPr>
        <w:spacing w:after="50"/>
      </w:pPr>
    </w:p>
    <w:p>
      <w:pPr>
        <w:pBdr>
          <w:left w:val="single" w:color="6C3483" w:sz="24" w:space="8"/>
        </w:pBdr>
        <w:spacing w:after="85" w:before="150"/>
        <w:ind w:left="20"/>
      </w:pPr>
      <w:r>
        <w:rPr>
          <w:rFonts w:ascii="Calibri" w:cs="Calibri" w:eastAsia="Calibri" w:hAnsi="Calibri"/>
          <w:b/>
          <w:bCs/>
          <w:color w:val="6C3483"/>
          <w:sz w:val="22"/>
          <w:szCs w:val="22"/>
        </w:rPr>
        <w:t xml:space="preserve">Recursion &amp; Stack Overflow</w:t>
      </w:r>
    </w:p>
    <w:tbl>
      <w:tblPr>
        <w:tblW w:type="dxa" w:w="99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300"/>
        <w:gridCol w:w="4600"/>
      </w:tblGrid>
      <w:tr>
        <w:tc>
          <w:tcPr>
            <w:tcW w:type="dxa" w:w="5300"/>
            <w:tcMar>
              <w:right w:type="dxa" w:w="120"/>
            </w:tcMar>
          </w:tcPr>
          <w:p>
            <w:pPr>
              <w:spacing w:after="90" w:before="55"/>
              <w:jc w:val="center"/>
            </w:pPr>
            <w:r>
              <w:drawing>
                <wp:inline distT="0" distB="0" distL="0" distR="0">
                  <wp:extent cx="2476500" cy="1409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00"/>
            <w:tcMar>
              <w:left w:type="dxa" w:w="120"/>
            </w:tcMar>
          </w:tcPr>
          <w:p>
            <w:pPr>
              <w:spacing w:after="90" w:before="55"/>
              <w:jc w:val="center"/>
            </w:pPr>
            <w:r>
              <w:drawing>
                <wp:inline distT="0" distB="0" distL="0" distR="0">
                  <wp:extent cx="1857375" cy="1857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 w:line="2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5"/>
          <w:szCs w:val="15"/>
        </w:rPr>
        <w:t xml:space="preserve">Each recursive call PUSHES a frame; unwinding POPS them. Infinite/too-deep recursion exceeds the stack's fixed size → crash.</w:t>
      </w:r>
    </w:p>
    <w:p>
      <w:pPr>
        <w:pBdr>
          <w:left w:val="single" w:color="B9770E" w:sz="24" w:space="8"/>
        </w:pBdr>
        <w:spacing w:after="85" w:before="150"/>
        <w:ind w:left="20"/>
      </w:pPr>
      <w:r>
        <w:rPr>
          <w:rFonts w:ascii="Calibri" w:cs="Calibri" w:eastAsia="Calibri" w:hAnsi="Calibri"/>
          <w:b/>
          <w:bCs/>
          <w:color w:val="B9770E"/>
          <w:sz w:val="22"/>
          <w:szCs w:val="22"/>
        </w:rPr>
        <w:t xml:space="preserve">Heap: Allocation, Fragmentation &amp; GC</w:t>
      </w:r>
    </w:p>
    <w:tbl>
      <w:tblPr>
        <w:tblW w:type="dxa" w:w="99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50"/>
        <w:gridCol w:w="4950"/>
      </w:tblGrid>
      <w:tr>
        <w:tc>
          <w:tcPr>
            <w:tcW w:type="dxa" w:w="4950"/>
            <w:tcMar>
              <w:right w:type="dxa" w:w="120"/>
            </w:tcMar>
          </w:tcPr>
          <w:p>
            <w:pPr>
              <w:spacing w:after="90" w:before="55"/>
              <w:jc w:val="center"/>
            </w:pPr>
            <w:r>
              <w:drawing>
                <wp:inline distT="0" distB="0" distL="0" distR="0">
                  <wp:extent cx="2476500" cy="1162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116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50"/>
            <w:tcMar>
              <w:left w:type="dxa" w:w="120"/>
            </w:tcMar>
          </w:tcPr>
          <w:p>
            <w:pPr>
              <w:spacing w:after="90" w:before="55"/>
              <w:jc w:val="center"/>
            </w:pPr>
            <w:r>
              <w:drawing>
                <wp:inline distT="0" distB="0" distL="0" distR="0">
                  <wp:extent cx="2476500" cy="1333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line="22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5"/>
          <w:szCs w:val="15"/>
        </w:rPr>
        <w:t xml:space="preserve">Allocation searches a free list (slower than the stack); freed gaps can fragment. Garbage collectors mark reachable objects and sweep the rest — removing manual free() bugs at the cost of possible pauses.</w:t>
      </w:r>
    </w:p>
    <w:p>
      <w:r>
        <w:br w:type="page"/>
      </w:r>
    </w:p>
    <w:p>
      <w:pPr>
        <w:pBdr>
          <w:left w:val="single" w:color="1E5FAF" w:sz="24" w:space="8"/>
        </w:pBdr>
        <w:spacing w:after="85" w:before="150"/>
        <w:ind w:left="20"/>
      </w:pPr>
      <w:r>
        <w:rPr>
          <w:rFonts w:ascii="Calibri" w:cs="Calibri" w:eastAsia="Calibri" w:hAnsi="Calibri"/>
          <w:b/>
          <w:bCs/>
          <w:color w:val="1E5FAF"/>
          <w:sz w:val="22"/>
          <w:szCs w:val="22"/>
        </w:rPr>
        <w:t xml:space="preserve">The Full Execution Flow</w:t>
      </w:r>
    </w:p>
    <w:p>
      <w:pPr>
        <w:spacing w:after="70" w:line="22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5"/>
          <w:szCs w:val="15"/>
        </w:rPr>
        <w:t xml:space="preserve">This single flow connects everything in the chapter — every PUSH going down is a call; every POP coming back up is a return.</w:t>
      </w:r>
    </w:p>
    <w:p>
      <w:pPr>
        <w:spacing w:after="90" w:before="55"/>
        <w:jc w:val="center"/>
      </w:pPr>
      <w:r>
        <w:drawing>
          <wp:inline distT="0" distB="0" distL="0" distR="0">
            <wp:extent cx="5334000" cy="6753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75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Bdr>
          <w:left w:val="single" w:color="943126" w:sz="24" w:space="8"/>
        </w:pBdr>
        <w:spacing w:after="85" w:before="150"/>
        <w:ind w:left="20"/>
      </w:pPr>
      <w:r>
        <w:rPr>
          <w:rFonts w:ascii="Calibri" w:cs="Calibri" w:eastAsia="Calibri" w:hAnsi="Calibri"/>
          <w:b/>
          <w:bCs/>
          <w:color w:val="943126"/>
          <w:sz w:val="22"/>
          <w:szCs w:val="22"/>
        </w:rPr>
        <w:t xml:space="preserve">Stack Evolution — Watching It Grow</w:t>
      </w:r>
    </w:p>
    <w:p>
      <w:pPr>
        <w:spacing w:after="60" w:line="22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5"/>
          <w:szCs w:val="15"/>
        </w:rPr>
        <w:t xml:space="preserve">The same login() call from the previous page, frame by frame — then unwinding.</w:t>
      </w:r>
    </w:p>
    <w:p>
      <w:pPr>
        <w:spacing w:after="90" w:before="55"/>
        <w:jc w:val="center"/>
      </w:pPr>
      <w:r>
        <w:drawing>
          <wp:inline distT="0" distB="0" distL="0" distR="0">
            <wp:extent cx="5429250" cy="2390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pPr>
        <w:pBdr>
          <w:left w:val="single" w:color="1E8449" w:sz="24" w:space="8"/>
        </w:pBdr>
        <w:spacing w:after="85" w:before="150"/>
        <w:ind w:left="20"/>
      </w:pPr>
      <w:r>
        <w:rPr>
          <w:rFonts w:ascii="Calibri" w:cs="Calibri" w:eastAsia="Calibri" w:hAnsi="Calibri"/>
          <w:b/>
          <w:bCs/>
          <w:color w:val="1E8449"/>
          <w:sz w:val="22"/>
          <w:szCs w:val="22"/>
        </w:rPr>
        <w:t xml:space="preserve">Memory Layout — Back to Chapter 02</w:t>
      </w:r>
    </w:p>
    <w:tbl>
      <w:tblPr>
        <w:tblW w:type="dxa" w:w="99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300"/>
        <w:gridCol w:w="5600"/>
      </w:tblGrid>
      <w:tr>
        <w:tc>
          <w:tcPr>
            <w:tcW w:type="dxa" w:w="4300"/>
            <w:tcMar>
              <w:right w:type="dxa" w:w="120"/>
            </w:tcMar>
          </w:tcPr>
          <w:p>
            <w:pPr>
              <w:spacing w:after="90" w:before="55"/>
              <w:jc w:val="center"/>
            </w:pPr>
            <w:r>
              <w:drawing>
                <wp:inline distT="0" distB="0" distL="0" distR="0">
                  <wp:extent cx="2286000" cy="2552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2552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00"/>
            <w:tcMar>
              <w:left w:type="dxa" w:w="120"/>
            </w:tcMar>
          </w:tcPr>
          <w:p>
            <w:pPr>
              <w:spacing w:after="60" w:line="2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This chapter's Stack and Heap are the same two regions from Chapter 02's memory layout — now you've seen exactly what moves through them, call by call.</w:t>
            </w:r>
          </w:p>
          <w:p>
            <w:pPr>
              <w:spacing w:after="0" w:line="2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Stack grows downward from high addresses; Heap grows upward from low addresses — toward each other, in the same shared space.</w:t>
            </w:r>
          </w:p>
        </w:tc>
      </w:tr>
    </w:tbl>
    <w:p>
      <w:r>
        <w:br w:type="page"/>
      </w:r>
    </w:p>
    <w:p>
      <w:pPr>
        <w:pBdr>
          <w:left w:val="single" w:color="6C3483" w:sz="24" w:space="8"/>
        </w:pBdr>
        <w:spacing w:after="85" w:before="150"/>
        <w:ind w:left="20"/>
      </w:pPr>
      <w:r>
        <w:rPr>
          <w:rFonts w:ascii="Calibri" w:cs="Calibri" w:eastAsia="Calibri" w:hAnsi="Calibri"/>
          <w:b/>
          <w:bCs/>
          <w:color w:val="6C3483"/>
          <w:sz w:val="22"/>
          <w:szCs w:val="22"/>
        </w:rPr>
        <w:t xml:space="preserve">Where Is This Used?</w:t>
      </w:r>
    </w:p>
    <w:p>
      <w:pPr>
        <w:spacing w:after="70" w:line="22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5"/>
          <w:szCs w:val="15"/>
        </w:rPr>
        <w:t xml:space="preserve">The exact Stack/Heap mechanics from this chapter run inside systems you already use every day.</w:t>
      </w:r>
    </w:p>
    <w:tbl>
      <w:tblPr>
        <w:tblW w:type="dxa" w:w="9900"/>
        <w:tblBorders>
          <w:top w:val="single" w:color="CBD3D8" w:sz="3"/>
          <w:left w:val="single" w:color="CBD3D8" w:sz="3"/>
          <w:bottom w:val="single" w:color="CBD3D8" w:sz="3"/>
          <w:right w:val="single" w:color="CBD3D8" w:sz="3"/>
          <w:insideH w:val="single" w:color="E2E6E8" w:sz="3"/>
          <w:insideV w:val="single" w:color="E2E6E8" w:sz="3"/>
        </w:tblBorders>
      </w:tblPr>
      <w:tblGrid>
        <w:gridCol w:w="2200"/>
        <w:gridCol w:w="7700"/>
      </w:tblGrid>
      <w:tr>
        <w:trPr>
          <w:tblHeader/>
        </w:trPr>
        <w:tc>
          <w:tcPr>
            <w:tcW w:type="dxa" w:w="2200"/>
            <w:shd w:fill="F4ECF7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C3483"/>
                <w:sz w:val="14"/>
                <w:szCs w:val="14"/>
              </w:rPr>
              <w:t xml:space="preserve">System</w:t>
            </w:r>
          </w:p>
        </w:tc>
        <w:tc>
          <w:tcPr>
            <w:tcW w:type="dxa" w:w="7700"/>
            <w:shd w:fill="F4ECF7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C3483"/>
                <w:sz w:val="14"/>
                <w:szCs w:val="14"/>
              </w:rPr>
              <w:t xml:space="preserve">How Stack / Heap Shows Up</w:t>
            </w:r>
          </w:p>
        </w:tc>
      </w:tr>
      <w:tr>
        <w:tc>
          <w:tcPr>
            <w:tcW w:type="dxa" w:w="2200"/>
            <w:shd w:fill="FFFFFF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Chrome</w:t>
            </w:r>
          </w:p>
        </w:tc>
        <w:tc>
          <w:tcPr>
            <w:tcW w:type="dxa" w:w="7700"/>
            <w:shd w:fill="FFFFFF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Every nested JS function call uses the stack; every JS object you create lives on the heap.</w:t>
            </w:r>
          </w:p>
        </w:tc>
      </w:tr>
      <w:tr>
        <w:tc>
          <w:tcPr>
            <w:tcW w:type="dxa" w:w="2200"/>
            <w:shd w:fill="F7F9FA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ChatGPT</w:t>
            </w:r>
          </w:p>
        </w:tc>
        <w:tc>
          <w:tcPr>
            <w:tcW w:type="dxa" w:w="7700"/>
            <w:shd w:fill="F7F9FA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Model weights and tensors — far too large and long-lived for the stack — live on the heap (GPU memory).</w:t>
            </w:r>
          </w:p>
        </w:tc>
      </w:tr>
      <w:tr>
        <w:tc>
          <w:tcPr>
            <w:tcW w:type="dxa" w:w="2200"/>
            <w:shd w:fill="FFFFFF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Linux / Windows</w:t>
            </w:r>
          </w:p>
        </w:tc>
        <w:tc>
          <w:tcPr>
            <w:tcW w:type="dxa" w:w="7700"/>
            <w:shd w:fill="FFFFFF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Each thread gets its own fixed-size stack; the kernel's own allocators manage heap-like memory.</w:t>
            </w:r>
          </w:p>
        </w:tc>
      </w:tr>
      <w:tr>
        <w:tc>
          <w:tcPr>
            <w:tcW w:type="dxa" w:w="2200"/>
            <w:shd w:fill="F7F9FA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Games</w:t>
            </w:r>
          </w:p>
        </w:tc>
        <w:tc>
          <w:tcPr>
            <w:tcW w:type="dxa" w:w="7700"/>
            <w:shd w:fill="F7F9FA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Engines avoid heap allocation mid-frame — tight time budgets favor the stack or pre-allocated pools.</w:t>
            </w:r>
          </w:p>
        </w:tc>
      </w:tr>
      <w:tr>
        <w:tc>
          <w:tcPr>
            <w:tcW w:type="dxa" w:w="2200"/>
            <w:shd w:fill="FFFFFF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Databases</w:t>
            </w:r>
          </w:p>
        </w:tc>
        <w:tc>
          <w:tcPr>
            <w:tcW w:type="dxa" w:w="7700"/>
            <w:shd w:fill="FFFFFF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Query execution uses the stack for nested operations; row/index data is heap-allocated at scale.</w:t>
            </w:r>
          </w:p>
        </w:tc>
      </w:tr>
      <w:tr>
        <w:tc>
          <w:tcPr>
            <w:tcW w:type="dxa" w:w="2200"/>
            <w:shd w:fill="F7F9FA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AI Systems</w:t>
            </w:r>
          </w:p>
        </w:tc>
        <w:tc>
          <w:tcPr>
            <w:tcW w:type="dxa" w:w="7700"/>
            <w:shd w:fill="F7F9FA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Training and inference allocate huge heap buffers for activations, gradients, and weights.</w:t>
            </w:r>
          </w:p>
        </w:tc>
      </w:tr>
      <w:tr>
        <w:tc>
          <w:tcPr>
            <w:tcW w:type="dxa" w:w="2200"/>
            <w:shd w:fill="FFFFFF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Cloud Computing</w:t>
            </w:r>
          </w:p>
        </w:tc>
        <w:tc>
          <w:tcPr>
            <w:tcW w:type="dxa" w:w="7700"/>
            <w:shd w:fill="FFFFFF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Every request handler's local state lives on a stack frame inside its container or VM.</w:t>
            </w:r>
          </w:p>
        </w:tc>
      </w:tr>
      <w:tr>
        <w:tc>
          <w:tcPr>
            <w:tcW w:type="dxa" w:w="2200"/>
            <w:shd w:fill="F7F9FA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Compilers</w:t>
            </w:r>
          </w:p>
        </w:tc>
        <w:tc>
          <w:tcPr>
            <w:tcW w:type="dxa" w:w="7700"/>
            <w:shd w:fill="F7F9FA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Generate the very push/pop instructions that build each stack frame you saw on the previous pages.</w:t>
            </w:r>
          </w:p>
        </w:tc>
      </w:tr>
    </w:tbl>
    <w:p>
      <w:pPr>
        <w:spacing w:after="200"/>
      </w:pPr>
    </w:p>
    <w:p>
      <w:pPr>
        <w:pBdr>
          <w:left w:val="single" w:color="1E5FAF" w:sz="24" w:space="8"/>
        </w:pBdr>
        <w:spacing w:after="85" w:before="150"/>
        <w:ind w:left="20"/>
      </w:pPr>
      <w:r>
        <w:rPr>
          <w:rFonts w:ascii="Calibri" w:cs="Calibri" w:eastAsia="Calibri" w:hAnsi="Calibri"/>
          <w:b/>
          <w:bCs/>
          <w:color w:val="1E5FAF"/>
          <w:sz w:val="22"/>
          <w:szCs w:val="22"/>
        </w:rPr>
        <w:t xml:space="preserve">Stack vs Heap</w:t>
      </w:r>
    </w:p>
    <w:tbl>
      <w:tblPr>
        <w:tblW w:type="dxa" w:w="9900"/>
        <w:tblBorders>
          <w:top w:val="single" w:color="CBD3D8" w:sz="3"/>
          <w:left w:val="single" w:color="CBD3D8" w:sz="3"/>
          <w:bottom w:val="single" w:color="CBD3D8" w:sz="3"/>
          <w:right w:val="single" w:color="CBD3D8" w:sz="3"/>
          <w:insideH w:val="single" w:color="E2E6E8" w:sz="3"/>
          <w:insideV w:val="single" w:color="E2E6E8" w:sz="3"/>
        </w:tblBorders>
      </w:tblPr>
      <w:tblGrid>
        <w:gridCol w:w="2100"/>
        <w:gridCol w:w="3900"/>
        <w:gridCol w:w="3900"/>
      </w:tblGrid>
      <w:tr>
        <w:trPr>
          <w:tblHeader/>
        </w:trPr>
        <w:tc>
          <w:tcPr>
            <w:tcW w:type="dxa" w:w="2100"/>
            <w:shd w:fill="E8F1FC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5FAF"/>
                <w:sz w:val="14"/>
                <w:szCs w:val="14"/>
              </w:rPr>
              <w:t xml:space="preserve">Aspect</w:t>
            </w:r>
          </w:p>
        </w:tc>
        <w:tc>
          <w:tcPr>
            <w:tcW w:type="dxa" w:w="3900"/>
            <w:shd w:fill="E8F1FC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5FAF"/>
                <w:sz w:val="14"/>
                <w:szCs w:val="14"/>
              </w:rPr>
              <w:t xml:space="preserve">Stack</w:t>
            </w:r>
          </w:p>
        </w:tc>
        <w:tc>
          <w:tcPr>
            <w:tcW w:type="dxa" w:w="3900"/>
            <w:shd w:fill="E8F1FC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5FAF"/>
                <w:sz w:val="14"/>
                <w:szCs w:val="14"/>
              </w:rPr>
              <w:t xml:space="preserve">Heap</w:t>
            </w:r>
          </w:p>
        </w:tc>
      </w:tr>
      <w:tr>
        <w:tc>
          <w:tcPr>
            <w:tcW w:type="dxa" w:w="2100"/>
            <w:shd w:fill="FFFFFF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Alloc cost</w:t>
            </w:r>
          </w:p>
        </w:tc>
        <w:tc>
          <w:tcPr>
            <w:tcW w:type="dxa" w:w="3900"/>
            <w:shd w:fill="FFFFFF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~1 instruction (pointer move)</w:t>
            </w:r>
          </w:p>
        </w:tc>
        <w:tc>
          <w:tcPr>
            <w:tcW w:type="dxa" w:w="3900"/>
            <w:shd w:fill="FFFFFF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Search + bookkeeping — slower</w:t>
            </w:r>
          </w:p>
        </w:tc>
      </w:tr>
      <w:tr>
        <w:tc>
          <w:tcPr>
            <w:tcW w:type="dxa" w:w="2100"/>
            <w:shd w:fill="F7F9FA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Size</w:t>
            </w:r>
          </w:p>
        </w:tc>
        <w:tc>
          <w:tcPr>
            <w:tcW w:type="dxa" w:w="3900"/>
            <w:shd w:fill="F7F9FA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Small, fixed per thread</w:t>
            </w:r>
          </w:p>
        </w:tc>
        <w:tc>
          <w:tcPr>
            <w:tcW w:type="dxa" w:w="3900"/>
            <w:shd w:fill="F7F9FA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Large, flexible</w:t>
            </w:r>
          </w:p>
        </w:tc>
      </w:tr>
      <w:tr>
        <w:tc>
          <w:tcPr>
            <w:tcW w:type="dxa" w:w="2100"/>
            <w:shd w:fill="FFFFFF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Lifetime</w:t>
            </w:r>
          </w:p>
        </w:tc>
        <w:tc>
          <w:tcPr>
            <w:tcW w:type="dxa" w:w="3900"/>
            <w:shd w:fill="FFFFFF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Ends when function returns</w:t>
            </w:r>
          </w:p>
        </w:tc>
        <w:tc>
          <w:tcPr>
            <w:tcW w:type="dxa" w:w="3900"/>
            <w:shd w:fill="FFFFFF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Until freed / collected</w:t>
            </w:r>
          </w:p>
        </w:tc>
      </w:tr>
      <w:tr>
        <w:tc>
          <w:tcPr>
            <w:tcW w:type="dxa" w:w="2100"/>
            <w:shd w:fill="F7F9FA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Managed by</w:t>
            </w:r>
          </w:p>
        </w:tc>
        <w:tc>
          <w:tcPr>
            <w:tcW w:type="dxa" w:w="3900"/>
            <w:shd w:fill="F7F9FA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CPU / compiler, automatic</w:t>
            </w:r>
          </w:p>
        </w:tc>
        <w:tc>
          <w:tcPr>
            <w:tcW w:type="dxa" w:w="3900"/>
            <w:shd w:fill="F7F9FA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Programmer or GC</w:t>
            </w:r>
          </w:p>
        </w:tc>
      </w:tr>
      <w:tr>
        <w:tc>
          <w:tcPr>
            <w:tcW w:type="dxa" w:w="2100"/>
            <w:shd w:fill="FFFFFF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Common failure</w:t>
            </w:r>
          </w:p>
        </w:tc>
        <w:tc>
          <w:tcPr>
            <w:tcW w:type="dxa" w:w="3900"/>
            <w:shd w:fill="FFFFFF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Stack Overflow</w:t>
            </w:r>
          </w:p>
        </w:tc>
        <w:tc>
          <w:tcPr>
            <w:tcW w:type="dxa" w:w="3900"/>
            <w:shd w:fill="FFFFFF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Memory Leak / fragmentation</w:t>
            </w:r>
          </w:p>
        </w:tc>
      </w:tr>
    </w:tbl>
    <w:p>
      <w:pPr>
        <w:spacing w:after="70"/>
      </w:pPr>
    </w:p>
    <w:p>
      <w:pPr>
        <w:pBdr>
          <w:left w:val="single" w:color="943126" w:sz="24" w:space="8"/>
        </w:pBdr>
        <w:spacing w:after="85" w:before="150"/>
        <w:ind w:left="20"/>
      </w:pPr>
      <w:r>
        <w:rPr>
          <w:rFonts w:ascii="Calibri" w:cs="Calibri" w:eastAsia="Calibri" w:hAnsi="Calibri"/>
          <w:b/>
          <w:bCs/>
          <w:color w:val="943126"/>
          <w:sz w:val="22"/>
          <w:szCs w:val="22"/>
        </w:rPr>
        <w:t xml:space="preserve">Common Mistakes</w:t>
      </w:r>
    </w:p>
    <w:tbl>
      <w:tblPr>
        <w:tblW w:type="dxa" w:w="9900"/>
        <w:tblBorders>
          <w:top w:val="single" w:color="CBD3D8" w:sz="3"/>
          <w:left w:val="single" w:color="CBD3D8" w:sz="3"/>
          <w:bottom w:val="single" w:color="CBD3D8" w:sz="3"/>
          <w:right w:val="single" w:color="CBD3D8" w:sz="3"/>
          <w:insideH w:val="single" w:color="E2E6E8" w:sz="3"/>
          <w:insideV w:val="single" w:color="E2E6E8" w:sz="3"/>
        </w:tblBorders>
      </w:tblPr>
      <w:tblGrid>
        <w:gridCol w:w="4950"/>
        <w:gridCol w:w="4950"/>
      </w:tblGrid>
      <w:tr>
        <w:trPr>
          <w:tblHeader/>
        </w:trPr>
        <w:tc>
          <w:tcPr>
            <w:tcW w:type="dxa" w:w="4950"/>
            <w:shd w:fill="FDEDEC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43126"/>
                <w:sz w:val="14"/>
                <w:szCs w:val="14"/>
              </w:rPr>
              <w:t xml:space="preserve">✗ Mistake</w:t>
            </w:r>
          </w:p>
        </w:tc>
        <w:tc>
          <w:tcPr>
            <w:tcW w:type="dxa" w:w="4950"/>
            <w:shd w:fill="FDEDEC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43126"/>
                <w:sz w:val="14"/>
                <w:szCs w:val="14"/>
              </w:rPr>
              <w:t xml:space="preserve">✓ Reality</w:t>
            </w:r>
          </w:p>
        </w:tc>
      </w:tr>
      <w:tr>
        <w:tc>
          <w:tcPr>
            <w:tcW w:type="dxa" w:w="4950"/>
            <w:shd w:fill="FFFFFF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Returning a pointer to a local variable is safe.</w:t>
            </w:r>
          </w:p>
        </w:tc>
        <w:tc>
          <w:tcPr>
            <w:tcW w:type="dxa" w:w="4950"/>
            <w:shd w:fill="FFFFFF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Its frame is popped on return — that memory is invalid.</w:t>
            </w:r>
          </w:p>
        </w:tc>
      </w:tr>
      <w:tr>
        <w:tc>
          <w:tcPr>
            <w:tcW w:type="dxa" w:w="4950"/>
            <w:shd w:fill="F7F9FA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Heap memory frees itself when I'm done.</w:t>
            </w:r>
          </w:p>
        </w:tc>
        <w:tc>
          <w:tcPr>
            <w:tcW w:type="dxa" w:w="4950"/>
            <w:shd w:fill="F7F9FA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It needs free() or a garbage collector, or it leaks.</w:t>
            </w:r>
          </w:p>
        </w:tc>
      </w:tr>
      <w:tr>
        <w:tc>
          <w:tcPr>
            <w:tcW w:type="dxa" w:w="4950"/>
            <w:shd w:fill="FFFFFF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Garbage collection makes leaks impossible.</w:t>
            </w:r>
          </w:p>
        </w:tc>
        <w:tc>
          <w:tcPr>
            <w:tcW w:type="dxa" w:w="4950"/>
            <w:shd w:fill="FFFFFF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4"/>
                <w:szCs w:val="14"/>
              </w:rPr>
              <w:t xml:space="preserve">An unintentionally-kept reference still prevents collection.</w:t>
            </w:r>
          </w:p>
        </w:tc>
      </w:tr>
    </w:tbl>
    <w:p>
      <w:pPr>
        <w:spacing w:after="90"/>
      </w:pPr>
    </w:p>
    <w:p>
      <w:pPr>
        <w:pBdr>
          <w:left w:val="single" w:color="6C3483" w:sz="24" w:space="8"/>
        </w:pBdr>
        <w:spacing w:after="85" w:before="150"/>
        <w:ind w:left="20"/>
      </w:pPr>
      <w:r>
        <w:rPr>
          <w:rFonts w:ascii="Calibri" w:cs="Calibri" w:eastAsia="Calibri" w:hAnsi="Calibri"/>
          <w:b/>
          <w:bCs/>
          <w:color w:val="6C3483"/>
          <w:sz w:val="22"/>
          <w:szCs w:val="22"/>
        </w:rPr>
        <w:t xml:space="preserve">Interview Corner — Top 5</w:t>
      </w:r>
    </w:p>
    <w:p>
      <w:pPr>
        <w:spacing w:after="10" w:line="225"/>
      </w:pPr>
      <w:r>
        <w:rPr>
          <w:rFonts w:ascii="Calibri" w:cs="Calibri" w:eastAsia="Calibri" w:hAnsi="Calibri"/>
          <w:b/>
          <w:bCs/>
          <w:i w:val="false"/>
          <w:iCs w:val="false"/>
          <w:color w:val="6C3483"/>
          <w:sz w:val="16"/>
          <w:szCs w:val="16"/>
        </w:rPr>
        <w:t xml:space="preserve">Q. Why is the stack faster than the heap?</w:t>
      </w:r>
    </w:p>
    <w:p>
      <w:pPr>
        <w:spacing w:after="65" w:line="22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5"/>
          <w:szCs w:val="15"/>
        </w:rPr>
        <w:t xml:space="preserve">A. Stack alloc is a pointer move; heap alloc requires searching a free list and bookkeeping.</w:t>
      </w:r>
    </w:p>
    <w:p>
      <w:pPr>
        <w:spacing w:after="10" w:line="225"/>
      </w:pPr>
      <w:r>
        <w:rPr>
          <w:rFonts w:ascii="Calibri" w:cs="Calibri" w:eastAsia="Calibri" w:hAnsi="Calibri"/>
          <w:b/>
          <w:bCs/>
          <w:i w:val="false"/>
          <w:iCs w:val="false"/>
          <w:color w:val="6C3483"/>
          <w:sz w:val="16"/>
          <w:szCs w:val="16"/>
        </w:rPr>
        <w:t xml:space="preserve">Q. What causes a Stack Overflow?</w:t>
      </w:r>
    </w:p>
    <w:p>
      <w:pPr>
        <w:spacing w:after="65" w:line="22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5"/>
          <w:szCs w:val="15"/>
        </w:rPr>
        <w:t xml:space="preserve">A. Too many nested calls (often unbounded recursion) exceeding the stack's fixed size.</w:t>
      </w:r>
    </w:p>
    <w:p>
      <w:pPr>
        <w:spacing w:after="10" w:line="225"/>
      </w:pPr>
      <w:r>
        <w:rPr>
          <w:rFonts w:ascii="Calibri" w:cs="Calibri" w:eastAsia="Calibri" w:hAnsi="Calibri"/>
          <w:b/>
          <w:bCs/>
          <w:i w:val="false"/>
          <w:iCs w:val="false"/>
          <w:color w:val="6C3483"/>
          <w:sz w:val="16"/>
          <w:szCs w:val="16"/>
        </w:rPr>
        <w:t xml:space="preserve">Q. What is a memory leak?</w:t>
      </w:r>
    </w:p>
    <w:p>
      <w:pPr>
        <w:spacing w:after="65" w:line="22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5"/>
          <w:szCs w:val="15"/>
        </w:rPr>
        <w:t xml:space="preserve">A. Heap memory that becomes unreachable but is never freed.</w:t>
      </w:r>
    </w:p>
    <w:p>
      <w:pPr>
        <w:spacing w:after="10" w:line="225"/>
      </w:pPr>
      <w:r>
        <w:rPr>
          <w:rFonts w:ascii="Calibri" w:cs="Calibri" w:eastAsia="Calibri" w:hAnsi="Calibri"/>
          <w:b/>
          <w:bCs/>
          <w:i w:val="false"/>
          <w:iCs w:val="false"/>
          <w:color w:val="6C3483"/>
          <w:sz w:val="16"/>
          <w:szCs w:val="16"/>
        </w:rPr>
        <w:t xml:space="preserve">Q. What is fragmentation?</w:t>
      </w:r>
    </w:p>
    <w:p>
      <w:pPr>
        <w:spacing w:after="65" w:line="22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5"/>
          <w:szCs w:val="15"/>
        </w:rPr>
        <w:t xml:space="preserve">A. Free memory scattered in pieces too small to satisfy new requests.</w:t>
      </w:r>
    </w:p>
    <w:p>
      <w:pPr>
        <w:spacing w:after="10" w:line="225"/>
      </w:pPr>
      <w:r>
        <w:rPr>
          <w:rFonts w:ascii="Calibri" w:cs="Calibri" w:eastAsia="Calibri" w:hAnsi="Calibri"/>
          <w:b/>
          <w:bCs/>
          <w:i w:val="false"/>
          <w:iCs w:val="false"/>
          <w:color w:val="6C3483"/>
          <w:sz w:val="16"/>
          <w:szCs w:val="16"/>
        </w:rPr>
        <w:t xml:space="preserve">Q. What does Mark &amp; Sweep do?</w:t>
      </w:r>
    </w:p>
    <w:p>
      <w:pPr>
        <w:spacing w:after="65" w:line="22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5"/>
          <w:szCs w:val="15"/>
        </w:rPr>
        <w:t xml:space="preserve">A. Marks all reachable objects from roots, then reclaims everything left unmarked.</w:t>
      </w:r>
    </w:p>
    <w:p>
      <w:pPr>
        <w:pBdr>
          <w:left w:val="single" w:color="B9770E" w:sz="24" w:space="8"/>
        </w:pBdr>
        <w:spacing w:after="85" w:before="150"/>
        <w:ind w:left="20"/>
      </w:pPr>
      <w:r>
        <w:rPr>
          <w:rFonts w:ascii="Calibri" w:cs="Calibri" w:eastAsia="Calibri" w:hAnsi="Calibri"/>
          <w:b/>
          <w:bCs/>
          <w:color w:val="B9770E"/>
          <w:sz w:val="22"/>
          <w:szCs w:val="22"/>
        </w:rPr>
        <w:t xml:space="preserve">Quick Revision &amp; Golden Rule</w:t>
      </w:r>
    </w:p>
    <w:tbl>
      <w:tblPr>
        <w:tblW w:type="dxa" w:w="9900"/>
        <w:tblBorders>
          <w:top w:val="single" w:color="FEF5E7" w:sz="2"/>
          <w:left w:val="single" w:color="B9770E" w:sz="30"/>
          <w:bottom w:val="single" w:color="FEF5E7" w:sz="2"/>
          <w:right w:val="single" w:color="FEF5E7" w:sz="2"/>
          <w:insideH w:val="single" w:color="auto" w:sz="4"/>
          <w:insideV w:val="single" w:color="auto" w:sz="4"/>
        </w:tblBorders>
      </w:tblPr>
      <w:tblGrid>
        <w:gridCol w:w="9900"/>
      </w:tblGrid>
      <w:tr>
        <w:tc>
          <w:tcPr>
            <w:tcW w:type="dxa" w:w="9900"/>
            <w:shd w:fill="FEF5E7" w:val="clear"/>
            <w:tcMar>
              <w:top w:type="dxa" w:w="85"/>
              <w:left w:type="dxa" w:w="150"/>
              <w:bottom w:type="dxa" w:w="85"/>
              <w:right w:type="dxa" w:w="150"/>
            </w:tcMar>
          </w:tcPr>
          <w:p>
            <w:pPr>
              <w:spacing w:after="25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9770E"/>
                <w:sz w:val="16"/>
                <w:szCs w:val="16"/>
              </w:rPr>
              <w:t xml:space="preserve">Remember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16"/>
                <w:szCs w:val="16"/>
              </w:rPr>
              <w:t xml:space="preserve">Stack = LIFO, fast, automatic, fixed-size, short-lived. Heap = flexible, slower, manual/GC-managed, long-lived.</w:t>
            </w:r>
          </w:p>
        </w:tc>
      </w:tr>
    </w:tbl>
    <w:p>
      <w:pPr>
        <w:spacing w:after="50"/>
      </w:pPr>
    </w:p>
    <w:tbl>
      <w:tblPr>
        <w:tblW w:type="dxa" w:w="9900"/>
        <w:tblBorders>
          <w:top w:val="single" w:color="F2F3F4" w:sz="2"/>
          <w:left w:val="single" w:color="4D5656" w:sz="30"/>
          <w:bottom w:val="single" w:color="F2F3F4" w:sz="2"/>
          <w:right w:val="single" w:color="F2F3F4" w:sz="2"/>
          <w:insideH w:val="single" w:color="auto" w:sz="4"/>
          <w:insideV w:val="single" w:color="auto" w:sz="4"/>
        </w:tblBorders>
      </w:tblPr>
      <w:tblGrid>
        <w:gridCol w:w="9900"/>
      </w:tblGrid>
      <w:tr>
        <w:tc>
          <w:tcPr>
            <w:tcW w:type="dxa" w:w="9900"/>
            <w:shd w:fill="F2F3F4" w:val="clear"/>
            <w:tcMar>
              <w:top w:type="dxa" w:w="85"/>
              <w:left w:type="dxa" w:w="150"/>
              <w:bottom w:type="dxa" w:w="85"/>
              <w:right w:type="dxa" w:w="150"/>
            </w:tcMar>
          </w:tcPr>
          <w:p>
            <w:pPr>
              <w:spacing w:after="25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D5656"/>
                <w:sz w:val="16"/>
                <w:szCs w:val="16"/>
              </w:rPr>
              <w:t xml:space="preserve">Golden Rule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16"/>
                <w:szCs w:val="16"/>
              </w:rPr>
              <w:t xml:space="preserve">The Stack trades flexibility for speed. The Heap trades speed for flexibility — and hands you the cleanup bill.</w:t>
            </w:r>
          </w:p>
        </w:tc>
      </w:tr>
    </w:tbl>
    <w:p>
      <w:pPr>
        <w:spacing w:after="90"/>
      </w:pPr>
    </w:p>
    <w:p>
      <w:pPr>
        <w:pBdr>
          <w:left w:val="single" w:color="6C3483" w:sz="24" w:space="8"/>
        </w:pBdr>
        <w:spacing w:after="85" w:before="150"/>
        <w:ind w:left="20"/>
      </w:pPr>
      <w:r>
        <w:rPr>
          <w:rFonts w:ascii="Calibri" w:cs="Calibri" w:eastAsia="Calibri" w:hAnsi="Calibri"/>
          <w:b/>
          <w:bCs/>
          <w:color w:val="6C3483"/>
          <w:sz w:val="22"/>
          <w:szCs w:val="22"/>
        </w:rPr>
        <w:t xml:space="preserve">Flashcards</w:t>
      </w:r>
    </w:p>
    <w:tbl>
      <w:tblPr>
        <w:tblW w:type="dxa" w:w="99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50"/>
        <w:gridCol w:w="4950"/>
      </w:tblGrid>
      <w:tr>
        <w:tc>
          <w:tcPr>
            <w:tcW w:type="dxa" w:w="4950"/>
            <w:tcMar>
              <w:right w:type="dxa" w:w="120"/>
            </w:tcMar>
          </w:tcPr>
          <w:tbl>
            <w:tblPr>
              <w:tblW w:type="dxa" w:w="4800"/>
              <w:tblBorders>
                <w:top w:val="single" w:color="6C3483" w:sz="4"/>
                <w:left w:val="single" w:color="6C3483" w:sz="4"/>
                <w:bottom w:val="single" w:color="6C3483" w:sz="4"/>
                <w:right w:val="single" w:color="6C3483" w:sz="4"/>
                <w:insideH w:val="single" w:color="auto" w:sz="4"/>
                <w:insideV w:val="single" w:color="auto" w:sz="4"/>
              </w:tblBorders>
            </w:tblPr>
            <w:tblGrid>
              <w:gridCol w:w="4800"/>
            </w:tblGrid>
            <w:tr>
              <w:tc>
                <w:tcPr>
                  <w:tcW w:type="dxa" w:w="4800"/>
                  <w:shd w:fill="F4ECF7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pPr>
                    <w:spacing w:after="20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6C3483"/>
                      <w:sz w:val="15"/>
                      <w:szCs w:val="15"/>
                    </w:rPr>
                    <w:t xml:space="preserve">Q: What does LIFO mean?</w:t>
                  </w:r>
                </w:p>
                <w:p>
                  <w:pPr>
                    <w:spacing w:after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222222"/>
                      <w:sz w:val="15"/>
                      <w:szCs w:val="15"/>
                    </w:rPr>
                    <w:t xml:space="preserve">A: Last In, First Out.</w:t>
                  </w:r>
                </w:p>
              </w:tc>
            </w:tr>
          </w:tbl>
          <w:p>
            <w:pPr>
              <w:spacing w:after="60"/>
            </w:pPr>
          </w:p>
          <w:tbl>
            <w:tblPr>
              <w:tblW w:type="dxa" w:w="4800"/>
              <w:tblBorders>
                <w:top w:val="single" w:color="6C3483" w:sz="4"/>
                <w:left w:val="single" w:color="6C3483" w:sz="4"/>
                <w:bottom w:val="single" w:color="6C3483" w:sz="4"/>
                <w:right w:val="single" w:color="6C3483" w:sz="4"/>
                <w:insideH w:val="single" w:color="auto" w:sz="4"/>
                <w:insideV w:val="single" w:color="auto" w:sz="4"/>
              </w:tblBorders>
            </w:tblPr>
            <w:tblGrid>
              <w:gridCol w:w="4800"/>
            </w:tblGrid>
            <w:tr>
              <w:tc>
                <w:tcPr>
                  <w:tcW w:type="dxa" w:w="4800"/>
                  <w:shd w:fill="F4ECF7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pPr>
                    <w:spacing w:after="20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6C3483"/>
                      <w:sz w:val="15"/>
                      <w:szCs w:val="15"/>
                    </w:rPr>
                    <w:t xml:space="preserve">Q: What triggers a stack POP?</w:t>
                  </w:r>
                </w:p>
                <w:p>
                  <w:pPr>
                    <w:spacing w:after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222222"/>
                      <w:sz w:val="15"/>
                      <w:szCs w:val="15"/>
                    </w:rPr>
                    <w:t xml:space="preserve">A: A function return.</w:t>
                  </w:r>
                </w:p>
              </w:tc>
            </w:tr>
          </w:tbl>
          <w:p/>
        </w:tc>
        <w:tc>
          <w:tcPr>
            <w:tcW w:type="dxa" w:w="4950"/>
            <w:tcMar>
              <w:left w:type="dxa" w:w="120"/>
            </w:tcMar>
          </w:tcPr>
          <w:tbl>
            <w:tblPr>
              <w:tblW w:type="dxa" w:w="4800"/>
              <w:tblBorders>
                <w:top w:val="single" w:color="6C3483" w:sz="4"/>
                <w:left w:val="single" w:color="6C3483" w:sz="4"/>
                <w:bottom w:val="single" w:color="6C3483" w:sz="4"/>
                <w:right w:val="single" w:color="6C3483" w:sz="4"/>
                <w:insideH w:val="single" w:color="auto" w:sz="4"/>
                <w:insideV w:val="single" w:color="auto" w:sz="4"/>
              </w:tblBorders>
            </w:tblPr>
            <w:tblGrid>
              <w:gridCol w:w="4800"/>
            </w:tblGrid>
            <w:tr>
              <w:tc>
                <w:tcPr>
                  <w:tcW w:type="dxa" w:w="4800"/>
                  <w:shd w:fill="F4ECF7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pPr>
                    <w:spacing w:after="20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6C3483"/>
                      <w:sz w:val="15"/>
                      <w:szCs w:val="15"/>
                    </w:rPr>
                    <w:t xml:space="preserve">Q: Who manages heap allocation?</w:t>
                  </w:r>
                </w:p>
                <w:p>
                  <w:pPr>
                    <w:spacing w:after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222222"/>
                      <w:sz w:val="15"/>
                      <w:szCs w:val="15"/>
                    </w:rPr>
                    <w:t xml:space="preserve">A: The Heap Manager (runtime/OS).</w:t>
                  </w:r>
                </w:p>
              </w:tc>
            </w:tr>
          </w:tbl>
          <w:p>
            <w:pPr>
              <w:spacing w:after="60"/>
            </w:pPr>
          </w:p>
          <w:tbl>
            <w:tblPr>
              <w:tblW w:type="dxa" w:w="4800"/>
              <w:tblBorders>
                <w:top w:val="single" w:color="6C3483" w:sz="4"/>
                <w:left w:val="single" w:color="6C3483" w:sz="4"/>
                <w:bottom w:val="single" w:color="6C3483" w:sz="4"/>
                <w:right w:val="single" w:color="6C3483" w:sz="4"/>
                <w:insideH w:val="single" w:color="auto" w:sz="4"/>
                <w:insideV w:val="single" w:color="auto" w:sz="4"/>
              </w:tblBorders>
            </w:tblPr>
            <w:tblGrid>
              <w:gridCol w:w="4800"/>
            </w:tblGrid>
            <w:tr>
              <w:tc>
                <w:tcPr>
                  <w:tcW w:type="dxa" w:w="4800"/>
                  <w:shd w:fill="F4ECF7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pPr>
                    <w:spacing w:after="20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6C3483"/>
                      <w:sz w:val="15"/>
                      <w:szCs w:val="15"/>
                    </w:rPr>
                    <w:t xml:space="preserve">Q: What usually causes a leak?</w:t>
                  </w:r>
                </w:p>
                <w:p>
                  <w:pPr>
                    <w:spacing w:after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222222"/>
                      <w:sz w:val="15"/>
                      <w:szCs w:val="15"/>
                    </w:rPr>
                    <w:t xml:space="preserve">A: A lost reference to still-allocated memory.</w:t>
                  </w:r>
                </w:p>
              </w:tc>
            </w:tr>
          </w:tbl>
          <w:p/>
        </w:tc>
      </w:tr>
    </w:tbl>
    <w:p>
      <w:pPr>
        <w:spacing w:after="90"/>
      </w:pPr>
    </w:p>
    <w:p>
      <w:pPr>
        <w:pBdr>
          <w:left w:val="single" w:color="1E8449" w:sz="24" w:space="8"/>
        </w:pBdr>
        <w:spacing w:after="85" w:before="150"/>
        <w:ind w:left="20"/>
      </w:pPr>
      <w:r>
        <w:rPr>
          <w:rFonts w:ascii="Calibri" w:cs="Calibri" w:eastAsia="Calibri" w:hAnsi="Calibri"/>
          <w:b/>
          <w:bCs/>
          <w:color w:val="1E8449"/>
          <w:sz w:val="22"/>
          <w:szCs w:val="22"/>
        </w:rPr>
        <w:t xml:space="preserve">Mini Quiz</w:t>
      </w:r>
    </w:p>
    <w:p>
      <w:pPr>
        <w:spacing w:after="3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5"/>
          <w:szCs w:val="15"/>
        </w:rPr>
        <w:t xml:space="preserve">1. The stack follows: (a) FIFO  (b) LIFO  (c) Random   </w:t>
      </w:r>
    </w:p>
    <w:p>
      <w:pPr>
        <w:spacing w:after="3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5"/>
          <w:szCs w:val="15"/>
        </w:rPr>
        <w:t xml:space="preserve">2. Heap allocation is generally: (a) Faster than stack  (b) Slower than stack  (c) Identical speed   </w:t>
      </w:r>
    </w:p>
    <w:p>
      <w:pPr>
        <w:spacing w:after="6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5"/>
          <w:szCs w:val="15"/>
        </w:rPr>
        <w:t xml:space="preserve">3. Garbage collection reclaims memory using: (a) Push/Pop  (b) Mark &amp; Sweep  (c) Fetch/Decode   </w:t>
      </w:r>
    </w:p>
    <w:p>
      <w:pPr>
        <w:pBdr>
          <w:left w:val="single" w:color="4D5656" w:sz="24" w:space="8"/>
        </w:pBdr>
        <w:spacing w:after="85" w:before="150"/>
        <w:ind w:left="20"/>
      </w:pPr>
      <w:r>
        <w:rPr>
          <w:rFonts w:ascii="Calibri" w:cs="Calibri" w:eastAsia="Calibri" w:hAnsi="Calibri"/>
          <w:b/>
          <w:bCs/>
          <w:color w:val="4D5656"/>
          <w:sz w:val="22"/>
          <w:szCs w:val="22"/>
        </w:rPr>
        <w:t xml:space="preserve">Next Chapter → What Is a CPU?</w:t>
      </w:r>
    </w:p>
    <w:tbl>
      <w:tblPr>
        <w:tblW w:type="dxa" w:w="9900"/>
        <w:tblBorders>
          <w:top w:val="single" w:color="F2F3F4" w:sz="2"/>
          <w:left w:val="single" w:color="4D5656" w:sz="30"/>
          <w:bottom w:val="single" w:color="F2F3F4" w:sz="2"/>
          <w:right w:val="single" w:color="F2F3F4" w:sz="2"/>
          <w:insideH w:val="single" w:color="auto" w:sz="4"/>
          <w:insideV w:val="single" w:color="auto" w:sz="4"/>
        </w:tblBorders>
      </w:tblPr>
      <w:tblGrid>
        <w:gridCol w:w="9900"/>
      </w:tblGrid>
      <w:tr>
        <w:tc>
          <w:tcPr>
            <w:tcW w:type="dxa" w:w="9900"/>
            <w:shd w:fill="F2F3F4" w:val="clear"/>
            <w:tcMar>
              <w:top w:type="dxa" w:w="85"/>
              <w:left w:type="dxa" w:w="150"/>
              <w:bottom w:type="dxa" w:w="85"/>
              <w:right w:type="dxa" w:w="150"/>
            </w:tcMar>
          </w:tcPr>
          <w:p>
            <w:pPr>
              <w:spacing w:after="25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D5656"/>
                <w:sz w:val="16"/>
                <w:szCs w:val="16"/>
              </w:rPr>
              <w:t xml:space="preserve">Coming Up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16"/>
                <w:szCs w:val="16"/>
              </w:rPr>
              <w:t xml:space="preserve">We've covered where data lives. Next: registers, the ALU, the control unit, and how Fetch-Decode-Execute cycles bring stack and heap to life.</w:t>
            </w:r>
          </w:p>
        </w:tc>
      </w:tr>
    </w:tbl>
    <w:p>
      <w:r>
        <w:br w:type="page"/>
      </w:r>
    </w:p>
    <w:p>
      <w:pPr>
        <w:spacing w:after="2400"/>
      </w:pP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E5FAF"/>
          <w:sz w:val="56"/>
          <w:szCs w:val="56"/>
        </w:rPr>
        <w:t xml:space="preserve">“</w:t>
      </w:r>
    </w:p>
    <w:p>
      <w:pPr>
        <w:spacing w:after="30"/>
        <w:jc w:val="center"/>
      </w:pPr>
      <w:r>
        <w:rPr>
          <w:rFonts w:ascii="Calibri" w:cs="Calibri" w:eastAsia="Calibri" w:hAnsi="Calibri"/>
          <w:b/>
          <w:bCs/>
          <w:i/>
          <w:iCs/>
          <w:color w:val="1B2631"/>
          <w:sz w:val="24"/>
          <w:szCs w:val="24"/>
        </w:rPr>
        <w:t xml:space="preserve">The Stack optimizes execution.</w:t>
      </w:r>
    </w:p>
    <w:p>
      <w:pPr>
        <w:spacing w:after="30"/>
        <w:jc w:val="center"/>
      </w:pPr>
      <w:r>
        <w:rPr>
          <w:rFonts w:ascii="Calibri" w:cs="Calibri" w:eastAsia="Calibri" w:hAnsi="Calibri"/>
          <w:b/>
          <w:bCs/>
          <w:i/>
          <w:iCs/>
          <w:color w:val="1B2631"/>
          <w:sz w:val="24"/>
          <w:szCs w:val="24"/>
        </w:rPr>
        <w:t xml:space="preserve">The Heap optimizes flexibility.</w:t>
      </w:r>
    </w:p>
    <w:p>
      <w:pPr>
        <w:spacing w:after="70"/>
        <w:jc w:val="center"/>
      </w:pPr>
      <w:r>
        <w:rPr>
          <w:rFonts w:ascii="Calibri" w:cs="Calibri" w:eastAsia="Calibri" w:hAnsi="Calibri"/>
          <w:b/>
          <w:bCs/>
          <w:i/>
          <w:iCs/>
          <w:color w:val="B9770E"/>
          <w:sz w:val="24"/>
          <w:szCs w:val="24"/>
        </w:rPr>
        <w:t xml:space="preserve">Modern software needs both.</w:t>
      </w:r>
    </w:p>
    <w:p>
      <w:pPr>
        <w:spacing w:after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6"/>
          <w:szCs w:val="16"/>
        </w:rPr>
        <w:t xml:space="preserve">— Engineer OS</w:t>
      </w:r>
    </w:p>
    <w:sectPr>
      <w:footerReference w:type="default" r:id="rId7"/>
      <w:pgSz w:w="12240" w:h="15840" w:orient="portrait"/>
      <w:pgMar w:top="620" w:right="620" w:bottom="62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99999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80" w:hanging="2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6ec2d5a6a72f5351187dd032a4f4941e6d3d5337.png"/><Relationship Id="rId9" Type="http://schemas.openxmlformats.org/officeDocument/2006/relationships/image" Target="media/e541c8433a707c2ffc14f4ebf842f85c460225d9.png"/><Relationship Id="rId10" Type="http://schemas.openxmlformats.org/officeDocument/2006/relationships/image" Target="media/8c5cbda5faed87beb1eec4395edf29c5a64a42b8.png"/><Relationship Id="rId11" Type="http://schemas.openxmlformats.org/officeDocument/2006/relationships/image" Target="media/39b3d73e258ee545a52eab96d1817cc2e8f9d832.png"/><Relationship Id="rId12" Type="http://schemas.openxmlformats.org/officeDocument/2006/relationships/image" Target="media/f78e7799ce3269c43872bdfd08372d7cd74bd368.png"/><Relationship Id="rId13" Type="http://schemas.openxmlformats.org/officeDocument/2006/relationships/image" Target="media/9f24c9e3fb9546774f2b1d5358c56d849c3b1f58.png"/><Relationship Id="rId14" Type="http://schemas.openxmlformats.org/officeDocument/2006/relationships/image" Target="media/b0daf8a581cf633c23602a2bf8b5b4ba007756b4.png"/><Relationship Id="rId15" Type="http://schemas.openxmlformats.org/officeDocument/2006/relationships/image" Target="media/f37ff206e25766ca8c76e7e81532a4542c968490.png"/><Relationship Id="rId16" Type="http://schemas.openxmlformats.org/officeDocument/2006/relationships/image" Target="media/955241aacd472cd8f54f46da856555c900d726ba.png"/><Relationship Id="rId17" Type="http://schemas.openxmlformats.org/officeDocument/2006/relationships/image" Target="media/e4bd81fb8768ee2eba95e53613d9c00b09283318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2026-08-07T06:46:10.227Z</dcterms:created>
  <dcterms:modified xsi:type="dcterms:W3CDTF">2026-08-07T06:46:10.228Z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