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BD data harmonization | product requirements</w:t>
      </w:r>
    </w:p>
    <w:p>
      <w:r>
        <w:t>Codex implementation brief  •  Revised executive walkthrough  •  8 October 2026</w:t>
      </w:r>
    </w:p>
    <w:p>
      <w:r>
        <w:t>Goal: take ten independent, imperfect operational extracts and tell a defensible story from source quality to mapping, review, trusted connected data and receivables exposure. The experience should be simple to present to a VP and detailed enough to inspect live.</w:t>
      </w:r>
    </w:p>
    <w:p>
      <w:pPr>
        <w:pStyle w:val="Heading1"/>
      </w:pPr>
      <w:r>
        <w:t>1. The walkthrough in one view</w:t>
      </w:r>
    </w:p>
    <w:tbl>
      <w:tblPr>
        <w:tblStyle w:val="LightShading-Accent1"/>
        <w:tblW w:type="auto" w:w="0"/>
        <w:jc w:val="center"/>
        <w:tblLook w:firstColumn="1" w:firstRow="1" w:lastColumn="0" w:lastRow="0" w:noHBand="0" w:noVBand="1" w:val="04A0"/>
      </w:tblPr>
      <w:tblGrid>
        <w:gridCol w:w="3264"/>
        <w:gridCol w:w="3264"/>
        <w:gridCol w:w="3264"/>
      </w:tblGrid>
      <w:tr>
        <w:tc>
          <w:tcPr>
            <w:tcW w:type="dxa" w:w="1584"/>
            <w:shd w:fill="E9EEF1"/>
            <w:vAlign w:val="center"/>
          </w:tcPr>
          <w:p>
            <w:pPr>
              <w:spacing w:after="40"/>
            </w:pPr>
            <w:r>
              <w:rPr>
                <w:sz w:val="16"/>
              </w:rPr>
              <w:t>Screen</w:t>
            </w:r>
          </w:p>
        </w:tc>
        <w:tc>
          <w:tcPr>
            <w:tcW w:type="dxa" w:w="3816"/>
            <w:shd w:fill="E9EEF1"/>
            <w:vAlign w:val="center"/>
          </w:tcPr>
          <w:p>
            <w:pPr>
              <w:spacing w:after="40"/>
            </w:pPr>
            <w:r>
              <w:rPr>
                <w:sz w:val="16"/>
              </w:rPr>
              <w:t>What the audience sees</w:t>
            </w:r>
          </w:p>
        </w:tc>
        <w:tc>
          <w:tcPr>
            <w:tcW w:type="dxa" w:w="4248"/>
            <w:shd w:fill="E9EEF1"/>
            <w:vAlign w:val="center"/>
          </w:tcPr>
          <w:p>
            <w:pPr>
              <w:spacing w:after="40"/>
            </w:pPr>
            <w:r>
              <w:rPr>
                <w:sz w:val="16"/>
              </w:rPr>
              <w:t>What happens</w:t>
            </w:r>
          </w:p>
        </w:tc>
      </w:tr>
      <w:tr>
        <w:tc>
          <w:tcPr>
            <w:tcW w:type="dxa" w:w="1584"/>
            <w:vAlign w:val="center"/>
          </w:tcPr>
          <w:p>
            <w:pPr>
              <w:spacing w:after="40"/>
            </w:pPr>
            <w:r>
              <w:rPr>
                <w:sz w:val="16"/>
              </w:rPr>
              <w:t>1 - Source health</w:t>
            </w:r>
          </w:p>
        </w:tc>
        <w:tc>
          <w:tcPr>
            <w:tcW w:type="dxa" w:w="3816"/>
            <w:vAlign w:val="center"/>
          </w:tcPr>
          <w:p>
            <w:pPr>
              <w:spacing w:after="40"/>
            </w:pPr>
            <w:r>
              <w:rPr>
                <w:sz w:val="16"/>
              </w:rPr>
              <w:t>Ten source files, red–amber–green quality indicators; click any file for columns, sample rows and all issues</w:t>
            </w:r>
          </w:p>
        </w:tc>
        <w:tc>
          <w:tcPr>
            <w:tcW w:type="dxa" w:w="4248"/>
            <w:vAlign w:val="center"/>
          </w:tcPr>
          <w:p>
            <w:pPr>
              <w:spacing w:after="40"/>
            </w:pPr>
            <w:r>
              <w:rPr>
                <w:sz w:val="16"/>
              </w:rPr>
              <w:t>Profile original extracts; show rates and examples, not invented ratings</w:t>
            </w:r>
          </w:p>
        </w:tc>
      </w:tr>
      <w:tr>
        <w:tc>
          <w:tcPr>
            <w:tcW w:type="dxa" w:w="1584"/>
            <w:vAlign w:val="center"/>
          </w:tcPr>
          <w:p>
            <w:pPr>
              <w:spacing w:after="40"/>
            </w:pPr>
            <w:r>
              <w:rPr>
                <w:sz w:val="16"/>
              </w:rPr>
              <w:t>2 - Map &amp; model</w:t>
            </w:r>
          </w:p>
        </w:tc>
        <w:tc>
          <w:tcPr>
            <w:tcW w:type="dxa" w:w="3816"/>
            <w:vAlign w:val="center"/>
          </w:tcPr>
          <w:p>
            <w:pPr>
              <w:spacing w:after="40"/>
            </w:pPr>
            <w:r>
              <w:rPr>
                <w:sz w:val="16"/>
              </w:rPr>
              <w:t>Canonical field map, proposed multi-column derivations, relationship diagram; SQL drawer</w:t>
            </w:r>
          </w:p>
        </w:tc>
        <w:tc>
          <w:tcPr>
            <w:tcW w:type="dxa" w:w="4248"/>
            <w:vAlign w:val="center"/>
          </w:tcPr>
          <w:p>
            <w:pPr>
              <w:spacing w:after="40"/>
            </w:pPr>
            <w:r>
              <w:rPr>
                <w:sz w:val="16"/>
              </w:rPr>
              <w:t>Propose mappings; show native keys, joins, confidence and query logic</w:t>
            </w:r>
          </w:p>
        </w:tc>
      </w:tr>
      <w:tr>
        <w:tc>
          <w:tcPr>
            <w:tcW w:type="dxa" w:w="1584"/>
            <w:vAlign w:val="center"/>
          </w:tcPr>
          <w:p>
            <w:pPr>
              <w:spacing w:after="40"/>
            </w:pPr>
            <w:r>
              <w:rPr>
                <w:sz w:val="16"/>
              </w:rPr>
              <w:t>3 - Apply &amp; review</w:t>
            </w:r>
          </w:p>
        </w:tc>
        <w:tc>
          <w:tcPr>
            <w:tcW w:type="dxa" w:w="3816"/>
            <w:vAlign w:val="center"/>
          </w:tcPr>
          <w:p>
            <w:pPr>
              <w:spacing w:after="40"/>
            </w:pPr>
            <w:r>
              <w:rPr>
                <w:sz w:val="16"/>
              </w:rPr>
              <w:t>Run transformations; grouped exceptions with compare, normalize, match, approve/reject</w:t>
            </w:r>
          </w:p>
        </w:tc>
        <w:tc>
          <w:tcPr>
            <w:tcW w:type="dxa" w:w="4248"/>
            <w:vAlign w:val="center"/>
          </w:tcPr>
          <w:p>
            <w:pPr>
              <w:spacing w:after="40"/>
            </w:pPr>
            <w:r>
              <w:rPr>
                <w:sz w:val="16"/>
              </w:rPr>
              <w:t>Create proposals and HITL decisions; never overwrite original CSVs</w:t>
            </w:r>
          </w:p>
        </w:tc>
      </w:tr>
      <w:tr>
        <w:tc>
          <w:tcPr>
            <w:tcW w:type="dxa" w:w="1584"/>
            <w:vAlign w:val="center"/>
          </w:tcPr>
          <w:p>
            <w:pPr>
              <w:spacing w:after="40"/>
            </w:pPr>
            <w:r>
              <w:rPr>
                <w:sz w:val="16"/>
              </w:rPr>
              <w:t>4 - Connected golden view</w:t>
            </w:r>
          </w:p>
        </w:tc>
        <w:tc>
          <w:tcPr>
            <w:tcW w:type="dxa" w:w="3816"/>
            <w:vAlign w:val="center"/>
          </w:tcPr>
          <w:p>
            <w:pPr>
              <w:spacing w:after="40"/>
            </w:pPr>
            <w:r>
              <w:rPr>
                <w:sz w:val="16"/>
              </w:rPr>
              <w:t>Customer–facility–asset–contract–order–invoice graph, lineage and unresolved gaps</w:t>
            </w:r>
          </w:p>
        </w:tc>
        <w:tc>
          <w:tcPr>
            <w:tcW w:type="dxa" w:w="4248"/>
            <w:vAlign w:val="center"/>
          </w:tcPr>
          <w:p>
            <w:pPr>
              <w:spacing w:after="40"/>
            </w:pPr>
            <w:r>
              <w:rPr>
                <w:sz w:val="16"/>
              </w:rPr>
              <w:t>Publish only approved/high-confidence relations, with traceable source IDs</w:t>
            </w:r>
          </w:p>
        </w:tc>
      </w:tr>
      <w:tr>
        <w:tc>
          <w:tcPr>
            <w:tcW w:type="dxa" w:w="1584"/>
            <w:vAlign w:val="center"/>
          </w:tcPr>
          <w:p>
            <w:pPr>
              <w:spacing w:after="40"/>
            </w:pPr>
            <w:r>
              <w:rPr>
                <w:sz w:val="16"/>
              </w:rPr>
              <w:t>5 - Business impact</w:t>
            </w:r>
          </w:p>
        </w:tc>
        <w:tc>
          <w:tcPr>
            <w:tcW w:type="dxa" w:w="3816"/>
            <w:vAlign w:val="center"/>
          </w:tcPr>
          <w:p>
            <w:pPr>
              <w:spacing w:after="40"/>
            </w:pPr>
            <w:r>
              <w:rPr>
                <w:sz w:val="16"/>
              </w:rPr>
              <w:t>Open AR potentially associated with problem relationships, drilldown and follow-up actions</w:t>
            </w:r>
          </w:p>
        </w:tc>
        <w:tc>
          <w:tcPr>
            <w:tcW w:type="dxa" w:w="4248"/>
            <w:vAlign w:val="center"/>
          </w:tcPr>
          <w:p>
            <w:pPr>
              <w:spacing w:after="40"/>
            </w:pPr>
            <w:r>
              <w:rPr>
                <w:sz w:val="16"/>
              </w:rPr>
              <w:t>Calculate exposure from real joins; never equate association with proven loss</w:t>
            </w:r>
          </w:p>
        </w:tc>
      </w:tr>
    </w:tbl>
    <w:p>
      <w:pPr>
        <w:spacing w:after="0"/>
      </w:pPr>
    </w:p>
    <w:p>
      <w:r>
        <w:t>Navigation: numbered horizontal steps (Sources -&gt; Map -&gt; Review -&gt; Golden -&gt; Impact). No decorative “AI agent” labels, excessive gradients, stacked cards or lengthy prose. Plain-language titles and a narrow evidence drawer keep the demo self-explanatory.</w:t>
      </w:r>
    </w:p>
    <w:p>
      <w:pPr>
        <w:pStyle w:val="Heading1"/>
      </w:pPr>
      <w:r>
        <w:t>2. Exact source files and the quality each screen should show</w:t>
      </w:r>
    </w:p>
    <w:p>
      <w:r>
        <w:t>Input package: BD_MMS_Rebuilt_Raw_Source_Data.zip. The numbers below are verified from the current CSVs; missingness is a profile observation, not automatically a defect. Display all field-level counts as numerator / eligible denominator, with configurable applicability rules.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2203"/>
            <w:shd w:fill="E9EEF1"/>
            <w:vAlign w:val="center"/>
          </w:tcPr>
          <w:p>
            <w:pPr>
              <w:spacing w:after="40"/>
            </w:pPr>
            <w:r>
              <w:rPr>
                <w:sz w:val="16"/>
              </w:rPr>
              <w:t>CSV / records</w:t>
            </w:r>
          </w:p>
        </w:tc>
        <w:tc>
          <w:tcPr>
            <w:tcW w:type="dxa" w:w="3571"/>
            <w:shd w:fill="E9EEF1"/>
            <w:vAlign w:val="center"/>
          </w:tcPr>
          <w:p>
            <w:pPr>
              <w:spacing w:after="40"/>
            </w:pPr>
            <w:r>
              <w:rPr>
                <w:sz w:val="16"/>
              </w:rPr>
              <w:t>What is stored</w:t>
            </w:r>
          </w:p>
        </w:tc>
        <w:tc>
          <w:tcPr>
            <w:tcW w:type="dxa" w:w="3874"/>
            <w:shd w:fill="E9EEF1"/>
            <w:vAlign w:val="center"/>
          </w:tcPr>
          <w:p>
            <w:pPr>
              <w:spacing w:after="40"/>
            </w:pPr>
            <w:r>
              <w:rPr>
                <w:sz w:val="16"/>
              </w:rPr>
              <w:t>Observed example to surface</w:t>
            </w:r>
          </w:p>
        </w:tc>
      </w:tr>
      <w:tr>
        <w:tc>
          <w:tcPr>
            <w:tcW w:type="dxa" w:w="2203"/>
            <w:vAlign w:val="center"/>
          </w:tcPr>
          <w:p>
            <w:pPr>
              <w:spacing w:after="40"/>
            </w:pPr>
            <w:r>
              <w:rPr>
                <w:sz w:val="16"/>
              </w:rPr>
              <w:t>01 Reltio customer profiles / 9</w:t>
            </w:r>
          </w:p>
        </w:tc>
        <w:tc>
          <w:tcPr>
            <w:tcW w:type="dxa" w:w="3571"/>
            <w:vAlign w:val="center"/>
          </w:tcPr>
          <w:p>
            <w:pPr>
              <w:spacing w:after="40"/>
            </w:pPr>
            <w:r>
              <w:rPr>
                <w:sz w:val="16"/>
              </w:rPr>
              <w:t>Master customer name, hierarchy, address, healthcare ID, billing policies</w:t>
            </w:r>
          </w:p>
        </w:tc>
        <w:tc>
          <w:tcPr>
            <w:tcW w:type="dxa" w:w="3874"/>
            <w:vAlign w:val="center"/>
          </w:tcPr>
          <w:p>
            <w:pPr>
              <w:spacing w:after="40"/>
            </w:pPr>
            <w:r>
              <w:rPr>
                <w:sz w:val="16"/>
              </w:rPr>
              <w:t>3 missing Definitive_Healthcare_ID; 2 blank parent IDs (some are valid top-level parents)</w:t>
            </w:r>
          </w:p>
        </w:tc>
      </w:tr>
      <w:tr>
        <w:tc>
          <w:tcPr>
            <w:tcW w:type="dxa" w:w="2203"/>
            <w:vAlign w:val="center"/>
          </w:tcPr>
          <w:p>
            <w:pPr>
              <w:spacing w:after="40"/>
            </w:pPr>
            <w:r>
              <w:rPr>
                <w:sz w:val="16"/>
              </w:rPr>
              <w:t>02 SAP customer accounts / 24</w:t>
            </w:r>
          </w:p>
        </w:tc>
        <w:tc>
          <w:tcPr>
            <w:tcW w:type="dxa" w:w="3571"/>
            <w:vAlign w:val="center"/>
          </w:tcPr>
          <w:p>
            <w:pPr>
              <w:spacing w:after="40"/>
            </w:pPr>
            <w:r>
              <w:rPr>
                <w:sz w:val="16"/>
              </w:rPr>
              <w:t>ERP-native customer IDs, sold/bill/pay roles, name, address</w:t>
            </w:r>
          </w:p>
        </w:tc>
        <w:tc>
          <w:tcPr>
            <w:tcW w:type="dxa" w:w="3874"/>
            <w:vAlign w:val="center"/>
          </w:tcPr>
          <w:p>
            <w:pPr>
              <w:spacing w:after="40"/>
            </w:pPr>
            <w:r>
              <w:rPr>
                <w:sz w:val="16"/>
              </w:rPr>
              <w:t>3 missing Address; 3 blank Parent_ERP_Customer_ID; parse Account_Role combinations</w:t>
            </w:r>
          </w:p>
        </w:tc>
      </w:tr>
      <w:tr>
        <w:tc>
          <w:tcPr>
            <w:tcW w:type="dxa" w:w="2203"/>
            <w:vAlign w:val="center"/>
          </w:tcPr>
          <w:p>
            <w:pPr>
              <w:spacing w:after="40"/>
            </w:pPr>
            <w:r>
              <w:rPr>
                <w:sz w:val="16"/>
              </w:rPr>
              <w:t>03 Salesforce contacts / 27</w:t>
            </w:r>
          </w:p>
        </w:tc>
        <w:tc>
          <w:tcPr>
            <w:tcW w:type="dxa" w:w="3571"/>
            <w:vAlign w:val="center"/>
          </w:tcPr>
          <w:p>
            <w:pPr>
              <w:spacing w:after="40"/>
            </w:pPr>
            <w:r>
              <w:rPr>
                <w:sz w:val="16"/>
              </w:rPr>
              <w:t>Contact identity, contact purpose, phone/email, local account ID</w:t>
            </w:r>
          </w:p>
        </w:tc>
        <w:tc>
          <w:tcPr>
            <w:tcW w:type="dxa" w:w="3874"/>
            <w:vAlign w:val="center"/>
          </w:tcPr>
          <w:p>
            <w:pPr>
              <w:spacing w:after="40"/>
            </w:pPr>
            <w:r>
              <w:rPr>
                <w:sz w:val="16"/>
              </w:rPr>
              <w:t>3 missing email, 3 missing phone, 2 missing Salesforce_Account_ID</w:t>
            </w:r>
          </w:p>
        </w:tc>
      </w:tr>
      <w:tr>
        <w:tc>
          <w:tcPr>
            <w:tcW w:type="dxa" w:w="2203"/>
            <w:vAlign w:val="center"/>
          </w:tcPr>
          <w:p>
            <w:pPr>
              <w:spacing w:after="40"/>
            </w:pPr>
            <w:r>
              <w:rPr>
                <w:sz w:val="16"/>
              </w:rPr>
              <w:t>04 Salesforce accounts / 7</w:t>
            </w:r>
          </w:p>
        </w:tc>
        <w:tc>
          <w:tcPr>
            <w:tcW w:type="dxa" w:w="3571"/>
            <w:vAlign w:val="center"/>
          </w:tcPr>
          <w:p>
            <w:pPr>
              <w:spacing w:after="40"/>
            </w:pPr>
            <w:r>
              <w:rPr>
                <w:sz w:val="16"/>
              </w:rPr>
              <w:t>CRM account, billing site, parent, status</w:t>
            </w:r>
          </w:p>
        </w:tc>
        <w:tc>
          <w:tcPr>
            <w:tcW w:type="dxa" w:w="3874"/>
            <w:vAlign w:val="center"/>
          </w:tcPr>
          <w:p>
            <w:pPr>
              <w:spacing w:after="40"/>
            </w:pPr>
            <w:r>
              <w:rPr>
                <w:sz w:val="16"/>
              </w:rPr>
              <w:t>1 missing Billing_Street; all 7 parent IDs blank (check account type before judging)</w:t>
            </w:r>
          </w:p>
        </w:tc>
      </w:tr>
      <w:tr>
        <w:tc>
          <w:tcPr>
            <w:tcW w:type="dxa" w:w="2203"/>
            <w:vAlign w:val="center"/>
          </w:tcPr>
          <w:p>
            <w:pPr>
              <w:spacing w:after="40"/>
            </w:pPr>
            <w:r>
              <w:rPr>
                <w:sz w:val="16"/>
              </w:rPr>
              <w:t>05 Salesforce contracts / 12</w:t>
            </w:r>
          </w:p>
        </w:tc>
        <w:tc>
          <w:tcPr>
            <w:tcW w:type="dxa" w:w="3571"/>
            <w:vAlign w:val="center"/>
          </w:tcPr>
          <w:p>
            <w:pPr>
              <w:spacing w:after="40"/>
            </w:pPr>
            <w:r>
              <w:rPr>
                <w:sz w:val="16"/>
              </w:rPr>
              <w:t>Agreement/amendment IDs, dates, terms, CRM account</w:t>
            </w:r>
          </w:p>
        </w:tc>
        <w:tc>
          <w:tcPr>
            <w:tcW w:type="dxa" w:w="3874"/>
            <w:vAlign w:val="center"/>
          </w:tcPr>
          <w:p>
            <w:pPr>
              <w:spacing w:after="40"/>
            </w:pPr>
            <w:r>
              <w:rPr>
                <w:sz w:val="16"/>
              </w:rPr>
              <w:t>2 missing Salesforce_Account_ID, 2 document links, 1 end date</w:t>
            </w:r>
          </w:p>
        </w:tc>
      </w:tr>
      <w:tr>
        <w:tc>
          <w:tcPr>
            <w:tcW w:type="dxa" w:w="2203"/>
            <w:vAlign w:val="center"/>
          </w:tcPr>
          <w:p>
            <w:pPr>
              <w:spacing w:after="40"/>
            </w:pPr>
            <w:r>
              <w:rPr>
                <w:sz w:val="16"/>
              </w:rPr>
              <w:t>06 Installed equipment / 60</w:t>
            </w:r>
          </w:p>
        </w:tc>
        <w:tc>
          <w:tcPr>
            <w:tcW w:type="dxa" w:w="3571"/>
            <w:vAlign w:val="center"/>
          </w:tcPr>
          <w:p>
            <w:pPr>
              <w:spacing w:after="40"/>
            </w:pPr>
            <w:r>
              <w:rPr>
                <w:sz w:val="16"/>
              </w:rPr>
              <w:t>Native asset/serial/UDI, product, observed site, owner ERP number</w:t>
            </w:r>
          </w:p>
        </w:tc>
        <w:tc>
          <w:tcPr>
            <w:tcW w:type="dxa" w:w="3874"/>
            <w:vAlign w:val="center"/>
          </w:tcPr>
          <w:p>
            <w:pPr>
              <w:spacing w:after="40"/>
            </w:pPr>
            <w:r>
              <w:rPr>
                <w:sz w:val="16"/>
              </w:rPr>
              <w:t>41 missing Owning_ERP_Customer_No; 9 missing Site_Address; 5 missing UDI</w:t>
            </w:r>
          </w:p>
        </w:tc>
      </w:tr>
      <w:tr>
        <w:tc>
          <w:tcPr>
            <w:tcW w:type="dxa" w:w="2203"/>
            <w:vAlign w:val="center"/>
          </w:tcPr>
          <w:p>
            <w:pPr>
              <w:spacing w:after="40"/>
            </w:pPr>
            <w:r>
              <w:rPr>
                <w:sz w:val="16"/>
              </w:rPr>
              <w:t>07 Equipment movements / 68</w:t>
            </w:r>
          </w:p>
        </w:tc>
        <w:tc>
          <w:tcPr>
            <w:tcW w:type="dxa" w:w="3571"/>
            <w:vAlign w:val="center"/>
          </w:tcPr>
          <w:p>
            <w:pPr>
              <w:spacing w:after="40"/>
            </w:pPr>
            <w:r>
              <w:rPr>
                <w:sz w:val="16"/>
              </w:rPr>
              <w:t>Move events, scanned serial/tag, destination, time</w:t>
            </w:r>
          </w:p>
        </w:tc>
        <w:tc>
          <w:tcPr>
            <w:tcW w:type="dxa" w:w="3874"/>
            <w:vAlign w:val="center"/>
          </w:tcPr>
          <w:p>
            <w:pPr>
              <w:spacing w:after="40"/>
            </w:pPr>
            <w:r>
              <w:rPr>
                <w:sz w:val="16"/>
              </w:rPr>
              <w:t>44 missing Scanned_Serial, 17 missing Asset_Tag; alternatives may be sufficient</w:t>
            </w:r>
          </w:p>
        </w:tc>
      </w:tr>
      <w:tr>
        <w:tc>
          <w:tcPr>
            <w:tcW w:type="dxa" w:w="2203"/>
            <w:vAlign w:val="center"/>
          </w:tcPr>
          <w:p>
            <w:pPr>
              <w:spacing w:after="40"/>
            </w:pPr>
            <w:r>
              <w:rPr>
                <w:sz w:val="16"/>
              </w:rPr>
              <w:t>08 Field service work orders / 41</w:t>
            </w:r>
          </w:p>
        </w:tc>
        <w:tc>
          <w:tcPr>
            <w:tcW w:type="dxa" w:w="3571"/>
            <w:vAlign w:val="center"/>
          </w:tcPr>
          <w:p>
            <w:pPr>
              <w:spacing w:after="40"/>
            </w:pPr>
            <w:r>
              <w:rPr>
                <w:sz w:val="16"/>
              </w:rPr>
              <w:t>Work order, observed device, service notes, entered site</w:t>
            </w:r>
          </w:p>
        </w:tc>
        <w:tc>
          <w:tcPr>
            <w:tcW w:type="dxa" w:w="3874"/>
            <w:vAlign w:val="center"/>
          </w:tcPr>
          <w:p>
            <w:pPr>
              <w:spacing w:after="40"/>
            </w:pPr>
            <w:r>
              <w:rPr>
                <w:sz w:val="16"/>
              </w:rPr>
              <w:t>27 missing Observed_Serial, 9 missing Equipment_Tag, 2 missing site</w:t>
            </w:r>
          </w:p>
        </w:tc>
      </w:tr>
      <w:tr>
        <w:tc>
          <w:tcPr>
            <w:tcW w:type="dxa" w:w="2203"/>
            <w:vAlign w:val="center"/>
          </w:tcPr>
          <w:p>
            <w:pPr>
              <w:spacing w:after="40"/>
            </w:pPr>
            <w:r>
              <w:rPr>
                <w:sz w:val="16"/>
              </w:rPr>
              <w:t>09 SAP sales orders / 120</w:t>
            </w:r>
          </w:p>
        </w:tc>
        <w:tc>
          <w:tcPr>
            <w:tcW w:type="dxa" w:w="3571"/>
            <w:vAlign w:val="center"/>
          </w:tcPr>
          <w:p>
            <w:pPr>
              <w:spacing w:after="40"/>
            </w:pPr>
            <w:r>
              <w:rPr>
                <w:sz w:val="16"/>
              </w:rPr>
              <w:t>SAP order, sold/ship/bill/payer, material, serial, value</w:t>
            </w:r>
          </w:p>
        </w:tc>
        <w:tc>
          <w:tcPr>
            <w:tcW w:type="dxa" w:w="3874"/>
            <w:vAlign w:val="center"/>
          </w:tcPr>
          <w:p>
            <w:pPr>
              <w:spacing w:after="40"/>
            </w:pPr>
            <w:r>
              <w:rPr>
                <w:sz w:val="16"/>
              </w:rPr>
              <w:t>30 blank Equipment_Serial; 24 blank PO; 4 blank Payer_No; check order type</w:t>
            </w:r>
          </w:p>
        </w:tc>
      </w:tr>
      <w:tr>
        <w:tc>
          <w:tcPr>
            <w:tcW w:type="dxa" w:w="2203"/>
            <w:vAlign w:val="center"/>
          </w:tcPr>
          <w:p>
            <w:pPr>
              <w:spacing w:after="40"/>
            </w:pPr>
            <w:r>
              <w:rPr>
                <w:sz w:val="16"/>
              </w:rPr>
              <w:t>10 SAP billing &amp; AR / 120</w:t>
            </w:r>
          </w:p>
        </w:tc>
        <w:tc>
          <w:tcPr>
            <w:tcW w:type="dxa" w:w="3571"/>
            <w:vAlign w:val="center"/>
          </w:tcPr>
          <w:p>
            <w:pPr>
              <w:spacing w:after="40"/>
            </w:pPr>
            <w:r>
              <w:rPr>
                <w:sz w:val="16"/>
              </w:rPr>
              <w:t>Invoice, order reference, payer, dates, billed/open amounts, notes</w:t>
            </w:r>
          </w:p>
        </w:tc>
        <w:tc>
          <w:tcPr>
            <w:tcW w:type="dxa" w:w="3874"/>
            <w:vAlign w:val="center"/>
          </w:tcPr>
          <w:p>
            <w:pPr>
              <w:spacing w:after="40"/>
            </w:pPr>
            <w:r>
              <w:rPr>
                <w:sz w:val="16"/>
              </w:rPr>
              <w:t>7 missing Payer_Account_No; 96 blank notes, which may be normal</w:t>
            </w:r>
          </w:p>
        </w:tc>
      </w:tr>
    </w:tbl>
    <w:p>
      <w:pPr>
        <w:spacing w:after="0"/>
      </w:pPr>
    </w:p>
    <w:p>
      <w:r>
        <w:t>Every source detail panel: overview (record count, refresh date if available, native key, likely grain), profile grid (field/type/populated/unique/top values), 15–25 raw rows, and issue register (rule, severity, affected count, example row IDs, interpretation). Add search/filter and a “see affected rows” action. No global “bad data %” without a defined rule set.</w:t>
      </w:r>
    </w:p>
    <w:p>
      <w:pPr>
        <w:pStyle w:val="Heading1"/>
      </w:pPr>
      <w:r>
        <w:t>3. Quality rules: what to detect, and what not to overclaim</w:t>
      </w:r>
    </w:p>
    <w:tbl>
      <w:tblPr>
        <w:tblStyle w:val="LightShading-Accent1"/>
        <w:tblW w:type="auto" w:w="0"/>
        <w:jc w:val="center"/>
        <w:tblLook w:firstColumn="1" w:firstRow="1" w:lastColumn="0" w:lastRow="0" w:noHBand="0" w:noVBand="1" w:val="04A0"/>
      </w:tblPr>
      <w:tblGrid>
        <w:gridCol w:w="3264"/>
        <w:gridCol w:w="3264"/>
        <w:gridCol w:w="3264"/>
      </w:tblGrid>
      <w:tr>
        <w:tc>
          <w:tcPr>
            <w:tcW w:type="dxa" w:w="1786"/>
            <w:shd w:fill="E9EEF1"/>
            <w:vAlign w:val="center"/>
          </w:tcPr>
          <w:p>
            <w:pPr>
              <w:spacing w:after="40"/>
            </w:pPr>
            <w:r>
              <w:rPr>
                <w:sz w:val="16"/>
              </w:rPr>
              <w:t>Class</w:t>
            </w:r>
          </w:p>
        </w:tc>
        <w:tc>
          <w:tcPr>
            <w:tcW w:type="dxa" w:w="4378"/>
            <w:shd w:fill="E9EEF1"/>
            <w:vAlign w:val="center"/>
          </w:tcPr>
          <w:p>
            <w:pPr>
              <w:spacing w:after="40"/>
            </w:pPr>
            <w:r>
              <w:rPr>
                <w:sz w:val="16"/>
              </w:rPr>
              <w:t>Example rule / evidence</w:t>
            </w:r>
          </w:p>
        </w:tc>
        <w:tc>
          <w:tcPr>
            <w:tcW w:type="dxa" w:w="3485"/>
            <w:shd w:fill="E9EEF1"/>
            <w:vAlign w:val="center"/>
          </w:tcPr>
          <w:p>
            <w:pPr>
              <w:spacing w:after="40"/>
            </w:pPr>
            <w:r>
              <w:rPr>
                <w:sz w:val="16"/>
              </w:rPr>
              <w:t>Handling</w:t>
            </w:r>
          </w:p>
        </w:tc>
      </w:tr>
      <w:tr>
        <w:tc>
          <w:tcPr>
            <w:tcW w:type="dxa" w:w="1786"/>
            <w:vAlign w:val="center"/>
          </w:tcPr>
          <w:p>
            <w:pPr>
              <w:spacing w:after="40"/>
            </w:pPr>
            <w:r>
              <w:rPr>
                <w:sz w:val="16"/>
              </w:rPr>
              <w:t>Completeness</w:t>
            </w:r>
          </w:p>
        </w:tc>
        <w:tc>
          <w:tcPr>
            <w:tcW w:type="dxa" w:w="4378"/>
            <w:vAlign w:val="center"/>
          </w:tcPr>
          <w:p>
            <w:pPr>
              <w:spacing w:after="40"/>
            </w:pPr>
            <w:r>
              <w:rPr>
                <w:sz w:val="16"/>
              </w:rPr>
              <w:t>Missing owner ERP number on asset; blank payer on invoice</w:t>
            </w:r>
          </w:p>
        </w:tc>
        <w:tc>
          <w:tcPr>
            <w:tcW w:type="dxa" w:w="3485"/>
            <w:vAlign w:val="center"/>
          </w:tcPr>
          <w:p>
            <w:pPr>
              <w:spacing w:after="40"/>
            </w:pPr>
            <w:r>
              <w:rPr>
                <w:sz w:val="16"/>
              </w:rPr>
              <w:t>Mark severity by workflow relevance; optional fields are not automatic defects</w:t>
            </w:r>
          </w:p>
        </w:tc>
      </w:tr>
      <w:tr>
        <w:tc>
          <w:tcPr>
            <w:tcW w:type="dxa" w:w="1786"/>
            <w:vAlign w:val="center"/>
          </w:tcPr>
          <w:p>
            <w:pPr>
              <w:spacing w:after="40"/>
            </w:pPr>
            <w:r>
              <w:rPr>
                <w:sz w:val="16"/>
              </w:rPr>
              <w:t>Validity</w:t>
            </w:r>
          </w:p>
        </w:tc>
        <w:tc>
          <w:tcPr>
            <w:tcW w:type="dxa" w:w="4378"/>
            <w:vAlign w:val="center"/>
          </w:tcPr>
          <w:p>
            <w:pPr>
              <w:spacing w:after="40"/>
            </w:pPr>
            <w:r>
              <w:rPr>
                <w:sz w:val="16"/>
              </w:rPr>
              <w:t>Malformed dates, serial/UDI format, negative values or impossible chronological sequence</w:t>
            </w:r>
          </w:p>
        </w:tc>
        <w:tc>
          <w:tcPr>
            <w:tcW w:type="dxa" w:w="3485"/>
            <w:vAlign w:val="center"/>
          </w:tcPr>
          <w:p>
            <w:pPr>
              <w:spacing w:after="40"/>
            </w:pPr>
            <w:r>
              <w:rPr>
                <w:sz w:val="16"/>
              </w:rPr>
              <w:t>Show original value, expected pattern and affected record</w:t>
            </w:r>
          </w:p>
        </w:tc>
      </w:tr>
      <w:tr>
        <w:tc>
          <w:tcPr>
            <w:tcW w:type="dxa" w:w="1786"/>
            <w:vAlign w:val="center"/>
          </w:tcPr>
          <w:p>
            <w:pPr>
              <w:spacing w:after="40"/>
            </w:pPr>
            <w:r>
              <w:rPr>
                <w:sz w:val="16"/>
              </w:rPr>
              <w:t>Consistency</w:t>
            </w:r>
          </w:p>
        </w:tc>
        <w:tc>
          <w:tcPr>
            <w:tcW w:type="dxa" w:w="4378"/>
            <w:vAlign w:val="center"/>
          </w:tcPr>
          <w:p>
            <w:pPr>
              <w:spacing w:after="40"/>
            </w:pPr>
            <w:r>
              <w:rPr>
                <w:sz w:val="16"/>
              </w:rPr>
              <w:t>Different variants of facility name across SAP, CRM, service notes</w:t>
            </w:r>
          </w:p>
        </w:tc>
        <w:tc>
          <w:tcPr>
            <w:tcW w:type="dxa" w:w="3485"/>
            <w:vAlign w:val="center"/>
          </w:tcPr>
          <w:p>
            <w:pPr>
              <w:spacing w:after="40"/>
            </w:pPr>
            <w:r>
              <w:rPr>
                <w:sz w:val="16"/>
              </w:rPr>
              <w:t>Standardize display and propose linkage; preserve original values</w:t>
            </w:r>
          </w:p>
        </w:tc>
      </w:tr>
      <w:tr>
        <w:tc>
          <w:tcPr>
            <w:tcW w:type="dxa" w:w="1786"/>
            <w:vAlign w:val="center"/>
          </w:tcPr>
          <w:p>
            <w:pPr>
              <w:spacing w:after="40"/>
            </w:pPr>
            <w:r>
              <w:rPr>
                <w:sz w:val="16"/>
              </w:rPr>
              <w:t>Uniqueness</w:t>
            </w:r>
          </w:p>
        </w:tc>
        <w:tc>
          <w:tcPr>
            <w:tcW w:type="dxa" w:w="4378"/>
            <w:vAlign w:val="center"/>
          </w:tcPr>
          <w:p>
            <w:pPr>
              <w:spacing w:after="40"/>
            </w:pPr>
            <w:r>
              <w:rPr>
                <w:sz w:val="16"/>
              </w:rPr>
              <w:t>Repeated native IDs within one file; duplicate candidate facilities across systems</w:t>
            </w:r>
          </w:p>
        </w:tc>
        <w:tc>
          <w:tcPr>
            <w:tcW w:type="dxa" w:w="3485"/>
            <w:vAlign w:val="center"/>
          </w:tcPr>
          <w:p>
            <w:pPr>
              <w:spacing w:after="40"/>
            </w:pPr>
            <w:r>
              <w:rPr>
                <w:sz w:val="16"/>
              </w:rPr>
              <w:t>Separate duplicate rows from candidate same-entity matches</w:t>
            </w:r>
          </w:p>
        </w:tc>
      </w:tr>
      <w:tr>
        <w:tc>
          <w:tcPr>
            <w:tcW w:type="dxa" w:w="1786"/>
            <w:vAlign w:val="center"/>
          </w:tcPr>
          <w:p>
            <w:pPr>
              <w:spacing w:after="40"/>
            </w:pPr>
            <w:r>
              <w:rPr>
                <w:sz w:val="16"/>
              </w:rPr>
              <w:t>Referential integrity</w:t>
            </w:r>
          </w:p>
        </w:tc>
        <w:tc>
          <w:tcPr>
            <w:tcW w:type="dxa" w:w="4378"/>
            <w:vAlign w:val="center"/>
          </w:tcPr>
          <w:p>
            <w:pPr>
              <w:spacing w:after="40"/>
            </w:pPr>
            <w:r>
              <w:rPr>
                <w:sz w:val="16"/>
              </w:rPr>
              <w:t>Billing invoice references an order not in delivered order extract</w:t>
            </w:r>
          </w:p>
        </w:tc>
        <w:tc>
          <w:tcPr>
            <w:tcW w:type="dxa" w:w="3485"/>
            <w:vAlign w:val="center"/>
          </w:tcPr>
          <w:p>
            <w:pPr>
              <w:spacing w:after="40"/>
            </w:pPr>
            <w:r>
              <w:rPr>
                <w:sz w:val="16"/>
              </w:rPr>
              <w:t>Flag unresolved in-scope reference; source extracts may be incomplete</w:t>
            </w:r>
          </w:p>
        </w:tc>
      </w:tr>
      <w:tr>
        <w:tc>
          <w:tcPr>
            <w:tcW w:type="dxa" w:w="1786"/>
            <w:vAlign w:val="center"/>
          </w:tcPr>
          <w:p>
            <w:pPr>
              <w:spacing w:after="40"/>
            </w:pPr>
            <w:r>
              <w:rPr>
                <w:sz w:val="16"/>
              </w:rPr>
              <w:t>Freshness / conflict</w:t>
            </w:r>
          </w:p>
        </w:tc>
        <w:tc>
          <w:tcPr>
            <w:tcW w:type="dxa" w:w="4378"/>
            <w:vAlign w:val="center"/>
          </w:tcPr>
          <w:p>
            <w:pPr>
              <w:spacing w:after="40"/>
            </w:pPr>
            <w:r>
              <w:rPr>
                <w:sz w:val="16"/>
              </w:rPr>
              <w:t>Movement/service dates contradict last confirmed asset location</w:t>
            </w:r>
          </w:p>
        </w:tc>
        <w:tc>
          <w:tcPr>
            <w:tcW w:type="dxa" w:w="3485"/>
            <w:vAlign w:val="center"/>
          </w:tcPr>
          <w:p>
            <w:pPr>
              <w:spacing w:after="40"/>
            </w:pPr>
            <w:r>
              <w:rPr>
                <w:sz w:val="16"/>
              </w:rPr>
              <w:t>Build evidence timeline; do not assume latest note is authoritative</w:t>
            </w:r>
          </w:p>
        </w:tc>
      </w:tr>
      <w:tr>
        <w:tc>
          <w:tcPr>
            <w:tcW w:type="dxa" w:w="1786"/>
            <w:vAlign w:val="center"/>
          </w:tcPr>
          <w:p>
            <w:pPr>
              <w:spacing w:after="40"/>
            </w:pPr>
            <w:r>
              <w:rPr>
                <w:sz w:val="16"/>
              </w:rPr>
              <w:t>Business rules</w:t>
            </w:r>
          </w:p>
        </w:tc>
        <w:tc>
          <w:tcPr>
            <w:tcW w:type="dxa" w:w="4378"/>
            <w:vAlign w:val="center"/>
          </w:tcPr>
          <w:p>
            <w:pPr>
              <w:spacing w:after="40"/>
            </w:pPr>
            <w:r>
              <w:rPr>
                <w:sz w:val="16"/>
              </w:rPr>
              <w:t>Expired contract with active service; payer vs SAP order disagreement</w:t>
            </w:r>
          </w:p>
        </w:tc>
        <w:tc>
          <w:tcPr>
            <w:tcW w:type="dxa" w:w="3485"/>
            <w:vAlign w:val="center"/>
          </w:tcPr>
          <w:p>
            <w:pPr>
              <w:spacing w:after="40"/>
            </w:pPr>
            <w:r>
              <w:rPr>
                <w:sz w:val="16"/>
              </w:rPr>
              <w:t>Review dates, entitlements and account roles before claiming error</w:t>
            </w:r>
          </w:p>
        </w:tc>
      </w:tr>
    </w:tbl>
    <w:p>
      <w:pPr>
        <w:spacing w:after="0"/>
      </w:pPr>
    </w:p>
    <w:p>
      <w:r>
        <w:t>RAG indicators: green = no material failures among applicable checks; amber = incomplete or needs review; red = materially inconsistent / invalid. For each file show separate bars for completeness, validity, consistency and linkability. Thresholds are demo-configurable and clearly labeled; do not assign an arbitrary “88% quality” as a fact.</w:t>
      </w:r>
    </w:p>
    <w:p>
      <w:pPr>
        <w:pStyle w:val="Heading1"/>
      </w:pPr>
      <w:r>
        <w:t>4. Canonical model and mapping screen</w:t>
      </w:r>
    </w:p>
    <w:p>
      <w:r>
        <w:t>The first version needs a compact canonical model at these grains: Party/Customer, Facility/Site, Contact, Contract, Equipment Asset, Movement, Service Event, Sales Order and Invoice/Receivable. Model account roles (sold-to, ship-to, bill-to, payer) as relationships, not interchangeable customer fields. Keep source-native keys and retain temporal validity.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1800"/>
            <w:shd w:fill="E9EEF1"/>
            <w:vAlign w:val="center"/>
          </w:tcPr>
          <w:p>
            <w:pPr>
              <w:spacing w:after="40"/>
            </w:pPr>
            <w:r>
              <w:rPr>
                <w:sz w:val="16"/>
              </w:rPr>
              <w:t>Canonical field</w:t>
            </w:r>
          </w:p>
        </w:tc>
        <w:tc>
          <w:tcPr>
            <w:tcW w:type="dxa" w:w="4320"/>
            <w:shd w:fill="E9EEF1"/>
            <w:vAlign w:val="center"/>
          </w:tcPr>
          <w:p>
            <w:pPr>
              <w:spacing w:after="40"/>
            </w:pPr>
            <w:r>
              <w:rPr>
                <w:sz w:val="16"/>
              </w:rPr>
              <w:t>Source columns and derivation</w:t>
            </w:r>
          </w:p>
        </w:tc>
        <w:tc>
          <w:tcPr>
            <w:tcW w:type="dxa" w:w="3528"/>
            <w:shd w:fill="E9EEF1"/>
            <w:vAlign w:val="center"/>
          </w:tcPr>
          <w:p>
            <w:pPr>
              <w:spacing w:after="40"/>
            </w:pPr>
            <w:r>
              <w:rPr>
                <w:sz w:val="16"/>
              </w:rPr>
              <w:t>Mapping rationale / ambiguity</w:t>
            </w:r>
          </w:p>
        </w:tc>
      </w:tr>
      <w:tr>
        <w:tc>
          <w:tcPr>
            <w:tcW w:type="dxa" w:w="1800"/>
            <w:vAlign w:val="center"/>
          </w:tcPr>
          <w:p>
            <w:pPr>
              <w:spacing w:after="40"/>
            </w:pPr>
            <w:r>
              <w:rPr>
                <w:sz w:val="16"/>
              </w:rPr>
              <w:t>facility.display_name</w:t>
            </w:r>
          </w:p>
        </w:tc>
        <w:tc>
          <w:tcPr>
            <w:tcW w:type="dxa" w:w="4320"/>
            <w:vAlign w:val="center"/>
          </w:tcPr>
          <w:p>
            <w:pPr>
              <w:spacing w:after="40"/>
            </w:pPr>
            <w:r>
              <w:rPr>
                <w:sz w:val="16"/>
              </w:rPr>
              <w:t>Reltio.Legal_Name / DBA_Name + Salesforce_Accounts.Account_Name + SAP.Legal_Name + service.Customer_Site_Entered</w:t>
            </w:r>
          </w:p>
        </w:tc>
        <w:tc>
          <w:tcPr>
            <w:tcW w:type="dxa" w:w="3528"/>
            <w:vAlign w:val="center"/>
          </w:tcPr>
          <w:p>
            <w:pPr>
              <w:spacing w:after="40"/>
            </w:pPr>
            <w:r>
              <w:rPr>
                <w:sz w:val="16"/>
              </w:rPr>
              <w:t>Normalize case/punctuation for candidates; name alone cannot create a confirmed join</w:t>
            </w:r>
          </w:p>
        </w:tc>
      </w:tr>
      <w:tr>
        <w:tc>
          <w:tcPr>
            <w:tcW w:type="dxa" w:w="1800"/>
            <w:vAlign w:val="center"/>
          </w:tcPr>
          <w:p>
            <w:pPr>
              <w:spacing w:after="40"/>
            </w:pPr>
            <w:r>
              <w:rPr>
                <w:sz w:val="16"/>
              </w:rPr>
              <w:t>facility.address</w:t>
            </w:r>
          </w:p>
        </w:tc>
        <w:tc>
          <w:tcPr>
            <w:tcW w:type="dxa" w:w="4320"/>
            <w:vAlign w:val="center"/>
          </w:tcPr>
          <w:p>
            <w:pPr>
              <w:spacing w:after="40"/>
            </w:pPr>
            <w:r>
              <w:rPr>
                <w:sz w:val="16"/>
              </w:rPr>
              <w:t>Reltio.Hierarchy_Account_Address + SAP.Address + Salesforce.Billing_Street / Billing_City + Installed_Equipment.Site_Address</w:t>
            </w:r>
          </w:p>
        </w:tc>
        <w:tc>
          <w:tcPr>
            <w:tcW w:type="dxa" w:w="3528"/>
            <w:vAlign w:val="center"/>
          </w:tcPr>
          <w:p>
            <w:pPr>
              <w:spacing w:after="40"/>
            </w:pPr>
            <w:r>
              <w:rPr>
                <w:sz w:val="16"/>
              </w:rPr>
              <w:t>Standardize address; allow evidence rank and competing values</w:t>
            </w:r>
          </w:p>
        </w:tc>
      </w:tr>
      <w:tr>
        <w:tc>
          <w:tcPr>
            <w:tcW w:type="dxa" w:w="1800"/>
            <w:vAlign w:val="center"/>
          </w:tcPr>
          <w:p>
            <w:pPr>
              <w:spacing w:after="40"/>
            </w:pPr>
            <w:r>
              <w:rPr>
                <w:sz w:val="16"/>
              </w:rPr>
              <w:t>customer.source_refs</w:t>
            </w:r>
          </w:p>
        </w:tc>
        <w:tc>
          <w:tcPr>
            <w:tcW w:type="dxa" w:w="4320"/>
            <w:vAlign w:val="center"/>
          </w:tcPr>
          <w:p>
            <w:pPr>
              <w:spacing w:after="40"/>
            </w:pPr>
            <w:r>
              <w:rPr>
                <w:sz w:val="16"/>
              </w:rPr>
              <w:t>Reltio_Record_ID; ERP_Customer_ID; Salesforce_Account_ID</w:t>
            </w:r>
          </w:p>
        </w:tc>
        <w:tc>
          <w:tcPr>
            <w:tcW w:type="dxa" w:w="3528"/>
            <w:vAlign w:val="center"/>
          </w:tcPr>
          <w:p>
            <w:pPr>
              <w:spacing w:after="40"/>
            </w:pPr>
            <w:r>
              <w:rPr>
                <w:sz w:val="16"/>
              </w:rPr>
              <w:t>Crosswalk is generated from matches, not assumed pre-existing</w:t>
            </w:r>
          </w:p>
        </w:tc>
      </w:tr>
      <w:tr>
        <w:tc>
          <w:tcPr>
            <w:tcW w:type="dxa" w:w="1800"/>
            <w:vAlign w:val="center"/>
          </w:tcPr>
          <w:p>
            <w:pPr>
              <w:spacing w:after="40"/>
            </w:pPr>
            <w:r>
              <w:rPr>
                <w:sz w:val="16"/>
              </w:rPr>
              <w:t>asset.identity</w:t>
            </w:r>
          </w:p>
        </w:tc>
        <w:tc>
          <w:tcPr>
            <w:tcW w:type="dxa" w:w="4320"/>
            <w:vAlign w:val="center"/>
          </w:tcPr>
          <w:p>
            <w:pPr>
              <w:spacing w:after="40"/>
            </w:pPr>
            <w:r>
              <w:rPr>
                <w:sz w:val="16"/>
              </w:rPr>
              <w:t>Electronic_Asset_ID + Serial_Number + Alternate_Asset_ID + Unique_Device_Identifier; movement.Asset_Tag / Scanned_Serial; service.Equipment_Tag / Observed_Serial</w:t>
            </w:r>
          </w:p>
        </w:tc>
        <w:tc>
          <w:tcPr>
            <w:tcW w:type="dxa" w:w="3528"/>
            <w:vAlign w:val="center"/>
          </w:tcPr>
          <w:p>
            <w:pPr>
              <w:spacing w:after="40"/>
            </w:pPr>
            <w:r>
              <w:rPr>
                <w:sz w:val="16"/>
              </w:rPr>
              <w:t>Match strong hardware IDs first; never join all null identifiers</w:t>
            </w:r>
          </w:p>
        </w:tc>
      </w:tr>
      <w:tr>
        <w:tc>
          <w:tcPr>
            <w:tcW w:type="dxa" w:w="1800"/>
            <w:vAlign w:val="center"/>
          </w:tcPr>
          <w:p>
            <w:pPr>
              <w:spacing w:after="40"/>
            </w:pPr>
            <w:r>
              <w:rPr>
                <w:sz w:val="16"/>
              </w:rPr>
              <w:t>asset.current_site</w:t>
            </w:r>
          </w:p>
        </w:tc>
        <w:tc>
          <w:tcPr>
            <w:tcW w:type="dxa" w:w="4320"/>
            <w:vAlign w:val="center"/>
          </w:tcPr>
          <w:p>
            <w:pPr>
              <w:spacing w:after="40"/>
            </w:pPr>
            <w:r>
              <w:rPr>
                <w:sz w:val="16"/>
              </w:rPr>
              <w:t>Installed_Equipment.Site_Name / Site_Address + Equipment_Movements.Destination_Location + Service.Customer_Site_Entered</w:t>
            </w:r>
          </w:p>
        </w:tc>
        <w:tc>
          <w:tcPr>
            <w:tcW w:type="dxa" w:w="3528"/>
            <w:vAlign w:val="center"/>
          </w:tcPr>
          <w:p>
            <w:pPr>
              <w:spacing w:after="40"/>
            </w:pPr>
            <w:r>
              <w:rPr>
                <w:sz w:val="16"/>
              </w:rPr>
              <w:t>Time-aware proposed location; latest service note is evidence, not truth</w:t>
            </w:r>
          </w:p>
        </w:tc>
      </w:tr>
      <w:tr>
        <w:tc>
          <w:tcPr>
            <w:tcW w:type="dxa" w:w="1800"/>
            <w:vAlign w:val="center"/>
          </w:tcPr>
          <w:p>
            <w:pPr>
              <w:spacing w:after="40"/>
            </w:pPr>
            <w:r>
              <w:rPr>
                <w:sz w:val="16"/>
              </w:rPr>
              <w:t>contract.account</w:t>
            </w:r>
          </w:p>
        </w:tc>
        <w:tc>
          <w:tcPr>
            <w:tcW w:type="dxa" w:w="4320"/>
            <w:vAlign w:val="center"/>
          </w:tcPr>
          <w:p>
            <w:pPr>
              <w:spacing w:after="40"/>
            </w:pPr>
            <w:r>
              <w:rPr>
                <w:sz w:val="16"/>
              </w:rPr>
              <w:t>Contracts.Salesforce_Account_ID -&gt; Salesforce_Accounts.Salesforce_Account_ID</w:t>
            </w:r>
          </w:p>
        </w:tc>
        <w:tc>
          <w:tcPr>
            <w:tcW w:type="dxa" w:w="3528"/>
            <w:vAlign w:val="center"/>
          </w:tcPr>
          <w:p>
            <w:pPr>
              <w:spacing w:after="40"/>
            </w:pPr>
            <w:r>
              <w:rPr>
                <w:sz w:val="16"/>
              </w:rPr>
              <w:t>Native exact join where present; missing account stays unresolved</w:t>
            </w:r>
          </w:p>
        </w:tc>
      </w:tr>
      <w:tr>
        <w:tc>
          <w:tcPr>
            <w:tcW w:type="dxa" w:w="1800"/>
            <w:vAlign w:val="center"/>
          </w:tcPr>
          <w:p>
            <w:pPr>
              <w:spacing w:after="40"/>
            </w:pPr>
            <w:r>
              <w:rPr>
                <w:sz w:val="16"/>
              </w:rPr>
              <w:t>invoice.order</w:t>
            </w:r>
          </w:p>
        </w:tc>
        <w:tc>
          <w:tcPr>
            <w:tcW w:type="dxa" w:w="4320"/>
            <w:vAlign w:val="center"/>
          </w:tcPr>
          <w:p>
            <w:pPr>
              <w:spacing w:after="40"/>
            </w:pPr>
            <w:r>
              <w:rPr>
                <w:sz w:val="16"/>
              </w:rPr>
              <w:t>Billing.Reference_Sales_Order -&gt; Orders.SAP_Sales_Order</w:t>
            </w:r>
          </w:p>
        </w:tc>
        <w:tc>
          <w:tcPr>
            <w:tcW w:type="dxa" w:w="3528"/>
            <w:vAlign w:val="center"/>
          </w:tcPr>
          <w:p>
            <w:pPr>
              <w:spacing w:after="40"/>
            </w:pPr>
            <w:r>
              <w:rPr>
                <w:sz w:val="16"/>
              </w:rPr>
              <w:t>High-confidence native transactional join; do not merge payer roles</w:t>
            </w:r>
          </w:p>
        </w:tc>
      </w:tr>
      <w:tr>
        <w:tc>
          <w:tcPr>
            <w:tcW w:type="dxa" w:w="1800"/>
            <w:vAlign w:val="center"/>
          </w:tcPr>
          <w:p>
            <w:pPr>
              <w:spacing w:after="40"/>
            </w:pPr>
            <w:r>
              <w:rPr>
                <w:sz w:val="16"/>
              </w:rPr>
              <w:t>invoice.payer</w:t>
            </w:r>
          </w:p>
        </w:tc>
        <w:tc>
          <w:tcPr>
            <w:tcW w:type="dxa" w:w="4320"/>
            <w:vAlign w:val="center"/>
          </w:tcPr>
          <w:p>
            <w:pPr>
              <w:spacing w:after="40"/>
            </w:pPr>
            <w:r>
              <w:rPr>
                <w:sz w:val="16"/>
              </w:rPr>
              <w:t>Billing.Payer_Account_No vs Orders.Payer_No -&gt; SAP.ERP_Customer_ID</w:t>
            </w:r>
          </w:p>
        </w:tc>
        <w:tc>
          <w:tcPr>
            <w:tcW w:type="dxa" w:w="3528"/>
            <w:vAlign w:val="center"/>
          </w:tcPr>
          <w:p>
            <w:pPr>
              <w:spacing w:after="40"/>
            </w:pPr>
            <w:r>
              <w:rPr>
                <w:sz w:val="16"/>
              </w:rPr>
              <w:t>Compare payer consistency then resolve to an enterprise party</w:t>
            </w:r>
          </w:p>
        </w:tc>
      </w:tr>
    </w:tbl>
    <w:p>
      <w:pPr>
        <w:spacing w:after="0"/>
      </w:pPr>
    </w:p>
    <w:p>
      <w:r>
        <w:t>Map table interactions: select a canonical field -&gt; see candidate source columns, transformation steps, exact/fuzzy join condition, confidence, sample before/after, rule exceptions and editable mapping proposal. “Explain mapping” opens evidence, not an untraceable AI explanation.</w:t>
      </w:r>
    </w:p>
    <w:p>
      <w:pPr>
        <w:pStyle w:val="Heading1"/>
      </w:pPr>
      <w:r>
        <w:t>5. ER diagram and SQL drawer</w:t>
      </w:r>
    </w:p>
    <w:p>
      <w:r>
        <w:t>Place “View relationship diagram” beside the canonical map. Open a large modal/panel that fits a readable ER diagram with nodes, grain, primary native keys and proposed edges: Reltio Customer &lt;-&gt; SAP Account &lt;-&gt; Salesforce Account -&gt; Contract/Contact; SAP Order -&gt; Invoice; Equipment &lt;-&gt; Movement/Service; Equipment &lt;-&gt; Site/Customer; Order &lt;-&gt; Equipment by serial where populated. Solid edges = native verified join; dashed = inferred candidate; red dotted = conflict; gray = unresolved. Edge click reveals join columns, evidence and affected row counts.</w:t>
      </w:r>
    </w:p>
    <w:p>
      <w:r>
        <w:t>An always-available “View transformation SQL” right drawer must show the proposed SQL per mapping, with input tables, expected output columns, dialect (DuckDB or SQLite/Databricks SQL), generated timestamp, rule IDs and sample results. SQL is illustrative until executed and tested; provide copy action and a “Show exceptions from this query” link.</w:t>
      </w:r>
    </w:p>
    <w:p>
      <w:r>
        <w:t>Example, native order-to-invoice join (use quoted identifiers in the chosen SQL dialect):</w:t>
      </w:r>
    </w:p>
    <w:p>
      <w:r>
        <w:t>SELECT b.SAP_Billing_Document, b.Reference_Sales_Order, o.Sold_To_No, o.Payer_No AS order_payer, b.Payer_Account_No AS invoice_payer, b.Open_Amount_USD</w:t>
        <w:br/>
        <w:t>FROM billing b LEFT JOIN orders o ON b.Reference_Sales_Order = o.SAP_Sales_Order;</w:t>
      </w:r>
    </w:p>
    <w:p>
      <w:r>
        <w:t>Example, asset identification requires a staged normalized identifier index, not OR-joining nullable serials. Build (source, source_row_id, id_type, normalized_value), exclude blank values, use unique strong IDs, and generate candidate conflicts where more than one asset is returned. Customer/site matching is a separate fuzzy workflow supported by address and hierarchy evidence.</w:t>
      </w:r>
    </w:p>
    <w:p>
      <w:pPr>
        <w:pStyle w:val="Heading1"/>
      </w:pPr>
      <w:r>
        <w:t>6. Apply mapping, exception review and human decisions</w:t>
      </w:r>
    </w:p>
    <w:p>
      <w:r>
        <w:t>“Apply mappings” runs an idempotent, versioned pipeline over the unchanged raw snapshot. It computes standardized fields, evaluates joins, produces match candidates, classifies DQ findings and creates proposed corrections. It must not imply that records have already been fixed in SAP, Salesforce or Reltio.</w:t>
      </w:r>
    </w:p>
    <w:tbl>
      <w:tblPr>
        <w:tblStyle w:val="LightShading-Accent1"/>
        <w:tblW w:type="auto" w:w="0"/>
        <w:jc w:val="center"/>
        <w:tblLook w:firstColumn="1" w:firstRow="1" w:lastColumn="0" w:lastRow="0" w:noHBand="0" w:noVBand="1" w:val="04A0"/>
      </w:tblPr>
      <w:tblGrid>
        <w:gridCol w:w="3264"/>
        <w:gridCol w:w="3264"/>
        <w:gridCol w:w="3264"/>
      </w:tblGrid>
      <w:tr>
        <w:tc>
          <w:tcPr>
            <w:tcW w:type="dxa" w:w="1872"/>
            <w:shd w:fill="E9EEF1"/>
            <w:vAlign w:val="center"/>
          </w:tcPr>
          <w:p>
            <w:pPr>
              <w:spacing w:after="40"/>
            </w:pPr>
            <w:r>
              <w:rPr>
                <w:sz w:val="16"/>
              </w:rPr>
              <w:t>Review queue</w:t>
            </w:r>
          </w:p>
        </w:tc>
        <w:tc>
          <w:tcPr>
            <w:tcW w:type="dxa" w:w="4608"/>
            <w:shd w:fill="E9EEF1"/>
            <w:vAlign w:val="center"/>
          </w:tcPr>
          <w:p>
            <w:pPr>
              <w:spacing w:after="40"/>
            </w:pPr>
            <w:r>
              <w:rPr>
                <w:sz w:val="16"/>
              </w:rPr>
              <w:t>What reviewer compares</w:t>
            </w:r>
          </w:p>
        </w:tc>
        <w:tc>
          <w:tcPr>
            <w:tcW w:type="dxa" w:w="3168"/>
            <w:shd w:fill="E9EEF1"/>
            <w:vAlign w:val="center"/>
          </w:tcPr>
          <w:p>
            <w:pPr>
              <w:spacing w:after="40"/>
            </w:pPr>
            <w:r>
              <w:rPr>
                <w:sz w:val="16"/>
              </w:rPr>
              <w:t>Available decision</w:t>
            </w:r>
          </w:p>
        </w:tc>
      </w:tr>
      <w:tr>
        <w:tc>
          <w:tcPr>
            <w:tcW w:type="dxa" w:w="1872"/>
            <w:vAlign w:val="center"/>
          </w:tcPr>
          <w:p>
            <w:pPr>
              <w:spacing w:after="40"/>
            </w:pPr>
            <w:r>
              <w:rPr>
                <w:sz w:val="16"/>
              </w:rPr>
              <w:t>Normalization</w:t>
            </w:r>
          </w:p>
        </w:tc>
        <w:tc>
          <w:tcPr>
            <w:tcW w:type="dxa" w:w="4608"/>
            <w:vAlign w:val="center"/>
          </w:tcPr>
          <w:p>
            <w:pPr>
              <w:spacing w:after="40"/>
            </w:pPr>
            <w:r>
              <w:rPr>
                <w:sz w:val="16"/>
              </w:rPr>
              <w:t>Raw vs standardized name, address, serial, dates; rule used</w:t>
            </w:r>
          </w:p>
        </w:tc>
        <w:tc>
          <w:tcPr>
            <w:tcW w:type="dxa" w:w="3168"/>
            <w:vAlign w:val="center"/>
          </w:tcPr>
          <w:p>
            <w:pPr>
              <w:spacing w:after="40"/>
            </w:pPr>
            <w:r>
              <w:rPr>
                <w:sz w:val="16"/>
              </w:rPr>
              <w:t>Accept standard form; edit; reject</w:t>
            </w:r>
          </w:p>
        </w:tc>
      </w:tr>
      <w:tr>
        <w:tc>
          <w:tcPr>
            <w:tcW w:type="dxa" w:w="1872"/>
            <w:vAlign w:val="center"/>
          </w:tcPr>
          <w:p>
            <w:pPr>
              <w:spacing w:after="40"/>
            </w:pPr>
            <w:r>
              <w:rPr>
                <w:sz w:val="16"/>
              </w:rPr>
              <w:t>Identity matching</w:t>
            </w:r>
          </w:p>
        </w:tc>
        <w:tc>
          <w:tcPr>
            <w:tcW w:type="dxa" w:w="4608"/>
            <w:vAlign w:val="center"/>
          </w:tcPr>
          <w:p>
            <w:pPr>
              <w:spacing w:after="40"/>
            </w:pPr>
            <w:r>
              <w:rPr>
                <w:sz w:val="16"/>
              </w:rPr>
              <w:t>Two records, matching attributes, contradictions, confidence, supporting source rows</w:t>
            </w:r>
          </w:p>
        </w:tc>
        <w:tc>
          <w:tcPr>
            <w:tcW w:type="dxa" w:w="3168"/>
            <w:vAlign w:val="center"/>
          </w:tcPr>
          <w:p>
            <w:pPr>
              <w:spacing w:after="40"/>
            </w:pPr>
            <w:r>
              <w:rPr>
                <w:sz w:val="16"/>
              </w:rPr>
              <w:t>Same entity; different entities; defer</w:t>
            </w:r>
          </w:p>
        </w:tc>
      </w:tr>
      <w:tr>
        <w:tc>
          <w:tcPr>
            <w:tcW w:type="dxa" w:w="1872"/>
            <w:vAlign w:val="center"/>
          </w:tcPr>
          <w:p>
            <w:pPr>
              <w:spacing w:after="40"/>
            </w:pPr>
            <w:r>
              <w:rPr>
                <w:sz w:val="16"/>
              </w:rPr>
              <w:t>Relationship reconciliation</w:t>
            </w:r>
          </w:p>
        </w:tc>
        <w:tc>
          <w:tcPr>
            <w:tcW w:type="dxa" w:w="4608"/>
            <w:vAlign w:val="center"/>
          </w:tcPr>
          <w:p>
            <w:pPr>
              <w:spacing w:after="40"/>
            </w:pPr>
            <w:r>
              <w:rPr>
                <w:sz w:val="16"/>
              </w:rPr>
              <w:t>Asset location timeline, contract/account/site alternatives, invoice payer conflict</w:t>
            </w:r>
          </w:p>
        </w:tc>
        <w:tc>
          <w:tcPr>
            <w:tcW w:type="dxa" w:w="3168"/>
            <w:vAlign w:val="center"/>
          </w:tcPr>
          <w:p>
            <w:pPr>
              <w:spacing w:after="40"/>
            </w:pPr>
            <w:r>
              <w:rPr>
                <w:sz w:val="16"/>
              </w:rPr>
              <w:t>Approve edge; pick alternative; request investigation</w:t>
            </w:r>
          </w:p>
        </w:tc>
      </w:tr>
      <w:tr>
        <w:tc>
          <w:tcPr>
            <w:tcW w:type="dxa" w:w="1872"/>
            <w:vAlign w:val="center"/>
          </w:tcPr>
          <w:p>
            <w:pPr>
              <w:spacing w:after="40"/>
            </w:pPr>
            <w:r>
              <w:rPr>
                <w:sz w:val="16"/>
              </w:rPr>
              <w:t>Unresolved fields</w:t>
            </w:r>
          </w:p>
        </w:tc>
        <w:tc>
          <w:tcPr>
            <w:tcW w:type="dxa" w:w="4608"/>
            <w:vAlign w:val="center"/>
          </w:tcPr>
          <w:p>
            <w:pPr>
              <w:spacing w:after="40"/>
            </w:pPr>
            <w:r>
              <w:rPr>
                <w:sz w:val="16"/>
              </w:rPr>
              <w:t>Missing owner ID or account reference with candidate inference</w:t>
            </w:r>
          </w:p>
        </w:tc>
        <w:tc>
          <w:tcPr>
            <w:tcW w:type="dxa" w:w="3168"/>
            <w:vAlign w:val="center"/>
          </w:tcPr>
          <w:p>
            <w:pPr>
              <w:spacing w:after="40"/>
            </w:pPr>
            <w:r>
              <w:rPr>
                <w:sz w:val="16"/>
              </w:rPr>
              <w:t>Confirm value; leave unknown; assign follow-up</w:t>
            </w:r>
          </w:p>
        </w:tc>
      </w:tr>
    </w:tbl>
    <w:p>
      <w:pPr>
        <w:spacing w:after="0"/>
      </w:pPr>
    </w:p>
    <w:p>
      <w:r>
        <w:t>Each review item requires stable ID, entity type, issue type, source row IDs, old/proposed values, evidence list, rule/model version, confidence, severity, owner, status and reviewer decision. Show a “why flagged” summary, original rows side by side and downstream records affected. Decisions must be recorded with timestamps and reversible.</w:t>
      </w:r>
    </w:p>
    <w:p>
      <w:pPr>
        <w:pStyle w:val="Heading1"/>
      </w:pPr>
      <w:r>
        <w:t>7. Golden view, lineage and receivables</w:t>
      </w:r>
    </w:p>
    <w:p>
      <w:r>
        <w:t>Publish a connected, review-aware golden layer: canonical entities, source crosswalk, approved relationships, unresolved candidates and lineage. Never collapse truly separate facilities or invent missing relationships to force a complete graph. Represent conflicts as explicit open issues. The user should click a customer/facility and trace through assets, movement/service evidence, contracts, orders, invoices and source values.</w:t>
      </w:r>
    </w:p>
    <w:p>
      <w:r>
        <w:t>AR impact must calculate invoice-level open amounts, aged buckets and invoice count from billing, connected through Reference_Sales_Order to SAP_Sales_Order; link to disputed entity/asset only where evidence supports it. Show “open AR associated with an identified issue,” not “amount recoverable.” Prevent duplicates when one invoice relates to multiple exception rows, distinguish missing links from validated wrong links, and expose a full invoice drilldown.</w:t>
      </w:r>
    </w:p>
    <w:p>
      <w:r>
        <w:t>VP view: (1) what changed after review: mapping coverage, confirmed duplicates, open issues; (2) where problems are concentrated: systems, fields and relationships; (3) what may matter: invoices/open AR touched by impacted joins; (4) what to do next: specific source owners and corrections. The data are synthetic; all screen labels and captions must say “Illustrative BD-style demo data.”</w:t>
      </w:r>
    </w:p>
    <w:p>
      <w:pPr>
        <w:pStyle w:val="Heading1"/>
      </w:pPr>
      <w:r>
        <w:t>8. Intermediate file contract for Codex</w:t>
      </w:r>
    </w:p>
    <w:tbl>
      <w:tblPr>
        <w:tblStyle w:val="LightShading-Accent1"/>
        <w:tblW w:type="auto" w:w="0"/>
        <w:jc w:val="center"/>
        <w:tblLook w:firstColumn="1" w:firstRow="1" w:lastColumn="0" w:lastRow="0" w:noHBand="0" w:noVBand="1" w:val="04A0"/>
      </w:tblPr>
      <w:tblGrid>
        <w:gridCol w:w="4896"/>
        <w:gridCol w:w="4896"/>
      </w:tblGrid>
      <w:tr>
        <w:tc>
          <w:tcPr>
            <w:tcW w:type="dxa" w:w="3240"/>
            <w:shd w:fill="E9EEF1"/>
            <w:vAlign w:val="center"/>
          </w:tcPr>
          <w:p>
            <w:pPr>
              <w:spacing w:after="40"/>
            </w:pPr>
            <w:r>
              <w:rPr>
                <w:sz w:val="16"/>
              </w:rPr>
              <w:t>Output</w:t>
            </w:r>
          </w:p>
        </w:tc>
        <w:tc>
          <w:tcPr>
            <w:tcW w:type="dxa" w:w="6408"/>
            <w:shd w:fill="E9EEF1"/>
            <w:vAlign w:val="center"/>
          </w:tcPr>
          <w:p>
            <w:pPr>
              <w:spacing w:after="40"/>
            </w:pPr>
            <w:r>
              <w:rPr>
                <w:sz w:val="16"/>
              </w:rPr>
              <w:t>Required contents / consumer</w:t>
            </w:r>
          </w:p>
        </w:tc>
      </w:tr>
      <w:tr>
        <w:tc>
          <w:tcPr>
            <w:tcW w:type="dxa" w:w="3240"/>
            <w:vAlign w:val="center"/>
          </w:tcPr>
          <w:p>
            <w:pPr>
              <w:spacing w:after="40"/>
            </w:pPr>
            <w:r>
              <w:rPr>
                <w:sz w:val="16"/>
              </w:rPr>
              <w:t>manifest.json / source_profiles.json</w:t>
            </w:r>
          </w:p>
        </w:tc>
        <w:tc>
          <w:tcPr>
            <w:tcW w:type="dxa" w:w="6408"/>
            <w:vAlign w:val="center"/>
          </w:tcPr>
          <w:p>
            <w:pPr>
              <w:spacing w:after="40"/>
            </w:pPr>
            <w:r>
              <w:rPr>
                <w:sz w:val="16"/>
              </w:rPr>
              <w:t>Input hash, source record counts, grains, field profiles, applicable check denominators; Source screen</w:t>
            </w:r>
          </w:p>
        </w:tc>
      </w:tr>
      <w:tr>
        <w:tc>
          <w:tcPr>
            <w:tcW w:type="dxa" w:w="3240"/>
            <w:vAlign w:val="center"/>
          </w:tcPr>
          <w:p>
            <w:pPr>
              <w:spacing w:after="40"/>
            </w:pPr>
            <w:r>
              <w:rPr>
                <w:sz w:val="16"/>
              </w:rPr>
              <w:t>dq_rules.json / dq_findings.json</w:t>
            </w:r>
          </w:p>
        </w:tc>
        <w:tc>
          <w:tcPr>
            <w:tcW w:type="dxa" w:w="6408"/>
            <w:vAlign w:val="center"/>
          </w:tcPr>
          <w:p>
            <w:pPr>
              <w:spacing w:after="40"/>
            </w:pPr>
            <w:r>
              <w:rPr>
                <w:sz w:val="16"/>
              </w:rPr>
              <w:t>Rule catalog + reproducible row-level issues, severity, evidence, source field; Source and Review</w:t>
            </w:r>
          </w:p>
        </w:tc>
      </w:tr>
      <w:tr>
        <w:tc>
          <w:tcPr>
            <w:tcW w:type="dxa" w:w="3240"/>
            <w:vAlign w:val="center"/>
          </w:tcPr>
          <w:p>
            <w:pPr>
              <w:spacing w:after="40"/>
            </w:pPr>
            <w:r>
              <w:rPr>
                <w:sz w:val="16"/>
              </w:rPr>
              <w:t>canonical_schema.json / mapping_proposals.json</w:t>
            </w:r>
          </w:p>
        </w:tc>
        <w:tc>
          <w:tcPr>
            <w:tcW w:type="dxa" w:w="6408"/>
            <w:vAlign w:val="center"/>
          </w:tcPr>
          <w:p>
            <w:pPr>
              <w:spacing w:after="40"/>
            </w:pPr>
            <w:r>
              <w:rPr>
                <w:sz w:val="16"/>
              </w:rPr>
              <w:t>Entities, fields, grain, candidate source columns, transforms, SQL and confidence; Map</w:t>
            </w:r>
          </w:p>
        </w:tc>
      </w:tr>
      <w:tr>
        <w:tc>
          <w:tcPr>
            <w:tcW w:type="dxa" w:w="3240"/>
            <w:vAlign w:val="center"/>
          </w:tcPr>
          <w:p>
            <w:pPr>
              <w:spacing w:after="40"/>
            </w:pPr>
            <w:r>
              <w:rPr>
                <w:sz w:val="16"/>
              </w:rPr>
              <w:t>identifier_index.csv / match_candidates.json</w:t>
            </w:r>
          </w:p>
        </w:tc>
        <w:tc>
          <w:tcPr>
            <w:tcW w:type="dxa" w:w="6408"/>
            <w:vAlign w:val="center"/>
          </w:tcPr>
          <w:p>
            <w:pPr>
              <w:spacing w:after="40"/>
            </w:pPr>
            <w:r>
              <w:rPr>
                <w:sz w:val="16"/>
              </w:rPr>
              <w:t>Normalized non-null identifiers, candidate pairs, features, score and match method; Map and Review</w:t>
            </w:r>
          </w:p>
        </w:tc>
      </w:tr>
      <w:tr>
        <w:tc>
          <w:tcPr>
            <w:tcW w:type="dxa" w:w="3240"/>
            <w:vAlign w:val="center"/>
          </w:tcPr>
          <w:p>
            <w:pPr>
              <w:spacing w:after="40"/>
            </w:pPr>
            <w:r>
              <w:rPr>
                <w:sz w:val="16"/>
              </w:rPr>
              <w:t>relationships.json / er_graph.json</w:t>
            </w:r>
          </w:p>
        </w:tc>
        <w:tc>
          <w:tcPr>
            <w:tcW w:type="dxa" w:w="6408"/>
            <w:vAlign w:val="center"/>
          </w:tcPr>
          <w:p>
            <w:pPr>
              <w:spacing w:after="40"/>
            </w:pPr>
            <w:r>
              <w:rPr>
                <w:sz w:val="16"/>
              </w:rPr>
              <w:t>Source/target native IDs, edge type, evidence, time range, proposed/accepted status; ER modal</w:t>
            </w:r>
          </w:p>
        </w:tc>
      </w:tr>
      <w:tr>
        <w:tc>
          <w:tcPr>
            <w:tcW w:type="dxa" w:w="3240"/>
            <w:vAlign w:val="center"/>
          </w:tcPr>
          <w:p>
            <w:pPr>
              <w:spacing w:after="40"/>
            </w:pPr>
            <w:r>
              <w:rPr>
                <w:sz w:val="16"/>
              </w:rPr>
              <w:t>transformation_sql/*.sql / execution_log.json</w:t>
            </w:r>
          </w:p>
        </w:tc>
        <w:tc>
          <w:tcPr>
            <w:tcW w:type="dxa" w:w="6408"/>
            <w:vAlign w:val="center"/>
          </w:tcPr>
          <w:p>
            <w:pPr>
              <w:spacing w:after="40"/>
            </w:pPr>
            <w:r>
              <w:rPr>
                <w:sz w:val="16"/>
              </w:rPr>
              <w:t>Executable statements, dialect, parameters, row counts, checksums and failures; SQL drawer</w:t>
            </w:r>
          </w:p>
        </w:tc>
      </w:tr>
      <w:tr>
        <w:tc>
          <w:tcPr>
            <w:tcW w:type="dxa" w:w="3240"/>
            <w:vAlign w:val="center"/>
          </w:tcPr>
          <w:p>
            <w:pPr>
              <w:spacing w:after="40"/>
            </w:pPr>
            <w:r>
              <w:rPr>
                <w:sz w:val="16"/>
              </w:rPr>
              <w:t>review_queue.json / review_decisions.json</w:t>
            </w:r>
          </w:p>
        </w:tc>
        <w:tc>
          <w:tcPr>
            <w:tcW w:type="dxa" w:w="6408"/>
            <w:vAlign w:val="center"/>
          </w:tcPr>
          <w:p>
            <w:pPr>
              <w:spacing w:after="40"/>
            </w:pPr>
            <w:r>
              <w:rPr>
                <w:sz w:val="16"/>
              </w:rPr>
              <w:t>Suggested actions plus replayable reviewer decisions, timestamps and version; Review</w:t>
            </w:r>
          </w:p>
        </w:tc>
      </w:tr>
      <w:tr>
        <w:tc>
          <w:tcPr>
            <w:tcW w:type="dxa" w:w="3240"/>
            <w:vAlign w:val="center"/>
          </w:tcPr>
          <w:p>
            <w:pPr>
              <w:spacing w:after="40"/>
            </w:pPr>
            <w:r>
              <w:rPr>
                <w:sz w:val="16"/>
              </w:rPr>
              <w:t>golden_entities.json / golden_lineage.json</w:t>
            </w:r>
          </w:p>
        </w:tc>
        <w:tc>
          <w:tcPr>
            <w:tcW w:type="dxa" w:w="6408"/>
            <w:vAlign w:val="center"/>
          </w:tcPr>
          <w:p>
            <w:pPr>
              <w:spacing w:after="40"/>
            </w:pPr>
            <w:r>
              <w:rPr>
                <w:sz w:val="16"/>
              </w:rPr>
              <w:t>Canonical entities, approved crosswalks, original values, evidence and unresolved state; Golden</w:t>
            </w:r>
          </w:p>
        </w:tc>
      </w:tr>
      <w:tr>
        <w:tc>
          <w:tcPr>
            <w:tcW w:type="dxa" w:w="3240"/>
            <w:vAlign w:val="center"/>
          </w:tcPr>
          <w:p>
            <w:pPr>
              <w:spacing w:after="40"/>
            </w:pPr>
            <w:r>
              <w:rPr>
                <w:sz w:val="16"/>
              </w:rPr>
              <w:t>ar_exposure.json / executive_summary.json</w:t>
            </w:r>
          </w:p>
        </w:tc>
        <w:tc>
          <w:tcPr>
            <w:tcW w:type="dxa" w:w="6408"/>
            <w:vAlign w:val="center"/>
          </w:tcPr>
          <w:p>
            <w:pPr>
              <w:spacing w:after="40"/>
            </w:pPr>
            <w:r>
              <w:rPr>
                <w:sz w:val="16"/>
              </w:rPr>
              <w:t>Distinct affected invoice IDs, measures, exclusions, count logic and narrative claims; Impact</w:t>
            </w:r>
          </w:p>
        </w:tc>
      </w:tr>
    </w:tbl>
    <w:p>
      <w:pPr>
        <w:spacing w:after="0"/>
      </w:pPr>
    </w:p>
    <w:p>
      <w:r>
        <w:t>All outputs share run_id, schema_version, input_hash, generated_at and stable source row IDs; keep source-file/row/column traceability. Generate from data and documented rules only. No hidden truth fixtures or front-end hardcoded totals. A manifest must block loading mismatched generations.</w:t>
      </w:r>
    </w:p>
    <w:p>
      <w:pPr>
        <w:pStyle w:val="Heading1"/>
      </w:pPr>
      <w:r>
        <w:t>9. Update the existing application without breaking other demos</w:t>
      </w:r>
    </w:p>
    <w:p>
      <w:r>
        <w:t>The current application is a static JavaScript experience with scenario content largely defined in data.js, swire_data.js and app.js. Add a BD scenario adapter that reads the generated JSON outputs; retain existing demos unchanged. Keep existing navigation and component structure where useful, but replace the BD visual hierarchy with plain source table -&gt; field map -&gt; reviewer queue -&gt; connected view -&gt; business impact. Do not introduce backend services for this static demo unless required for recomputation or reviewer persistence.</w:t>
      </w:r>
    </w:p>
    <w:p>
      <w:pPr>
        <w:pStyle w:val="ListBullet"/>
      </w:pPr>
      <w:r>
        <w:t>Build an offline Python/DuckDB pipeline and a simple CLI: generate --input &lt;raw_folder&gt; --output &lt;public/bd/run_id&gt;. Deterministic results, fresh run manifest and validation report.</w:t>
      </w:r>
    </w:p>
    <w:p>
      <w:pPr>
        <w:pStyle w:val="ListBullet"/>
      </w:pPr>
      <w:r>
        <w:t>Build a BD data adapter in JavaScript with schema validation, empty/loading/error states and consistent IDs. Serve via local HTTP for fetch; do not rely on file:// requests.</w:t>
      </w:r>
    </w:p>
    <w:p>
      <w:pPr>
        <w:pStyle w:val="ListBullet"/>
      </w:pPr>
      <w:r>
        <w:t>Keep UI decisions in local persisted state for a demo; allow export/import of review_decisions.json. Label results as simulation and ensure reload reproduces the chosen review state.</w:t>
      </w:r>
    </w:p>
    <w:p>
      <w:pPr>
        <w:pStyle w:val="ListBullet"/>
      </w:pPr>
      <w:r>
        <w:t>Use lightweight SVG ER rendering with pan/zoom, evidence drawer, link legend and keyboard-accessible controls; do not bake the graph as a static image.</w:t>
      </w:r>
    </w:p>
    <w:p>
      <w:pPr>
        <w:pStyle w:val="ListBullet"/>
      </w:pPr>
      <w:r>
        <w:t>Avoid generic auto-generated phrases. Titles should answer natural questions: “What did we receive?”, “What is wrong with each source?”, “How do the systems connect?”, “Which fixes need review?”, “What does the combined view tell us?”</w:t>
      </w:r>
    </w:p>
    <w:p>
      <w:pPr>
        <w:pStyle w:val="Heading1"/>
      </w:pPr>
      <w:r>
        <w:t>10. Codex build sequence and acceptance tests</w:t>
      </w:r>
    </w:p>
    <w:tbl>
      <w:tblPr>
        <w:tblStyle w:val="LightShading-Accent1"/>
        <w:tblW w:type="auto" w:w="0"/>
        <w:jc w:val="center"/>
        <w:tblLook w:firstColumn="1" w:firstRow="1" w:lastColumn="0" w:lastRow="0" w:noHBand="0" w:noVBand="1" w:val="04A0"/>
      </w:tblPr>
      <w:tblGrid>
        <w:gridCol w:w="4896"/>
        <w:gridCol w:w="4896"/>
      </w:tblGrid>
      <w:tr>
        <w:tc>
          <w:tcPr>
            <w:tcW w:type="dxa" w:w="1771"/>
            <w:shd w:fill="E9EEF1"/>
            <w:vAlign w:val="center"/>
          </w:tcPr>
          <w:p>
            <w:pPr>
              <w:spacing w:after="40"/>
            </w:pPr>
            <w:r>
              <w:rPr>
                <w:sz w:val="16"/>
              </w:rPr>
              <w:t>Phase</w:t>
            </w:r>
          </w:p>
        </w:tc>
        <w:tc>
          <w:tcPr>
            <w:tcW w:type="dxa" w:w="7877"/>
            <w:shd w:fill="E9EEF1"/>
            <w:vAlign w:val="center"/>
          </w:tcPr>
          <w:p>
            <w:pPr>
              <w:spacing w:after="40"/>
            </w:pPr>
            <w:r>
              <w:rPr>
                <w:sz w:val="16"/>
              </w:rPr>
              <w:t>Implementation and check</w:t>
            </w:r>
          </w:p>
        </w:tc>
      </w:tr>
      <w:tr>
        <w:tc>
          <w:tcPr>
            <w:tcW w:type="dxa" w:w="1771"/>
            <w:vAlign w:val="center"/>
          </w:tcPr>
          <w:p>
            <w:pPr>
              <w:spacing w:after="40"/>
            </w:pPr>
            <w:r>
              <w:rPr>
                <w:sz w:val="16"/>
              </w:rPr>
              <w:t>A - Profile</w:t>
            </w:r>
          </w:p>
        </w:tc>
        <w:tc>
          <w:tcPr>
            <w:tcW w:type="dxa" w:w="7877"/>
            <w:vAlign w:val="center"/>
          </w:tcPr>
          <w:p>
            <w:pPr>
              <w:spacing w:after="40"/>
            </w:pPr>
            <w:r>
              <w:rPr>
                <w:sz w:val="16"/>
              </w:rPr>
              <w:t>Read 10 CSVs, infer column types/grain, compute profiles and issues; assert counts 9/24/27/7/12/60/68/41/120/120</w:t>
            </w:r>
          </w:p>
        </w:tc>
      </w:tr>
      <w:tr>
        <w:tc>
          <w:tcPr>
            <w:tcW w:type="dxa" w:w="1771"/>
            <w:vAlign w:val="center"/>
          </w:tcPr>
          <w:p>
            <w:pPr>
              <w:spacing w:after="40"/>
            </w:pPr>
            <w:r>
              <w:rPr>
                <w:sz w:val="16"/>
              </w:rPr>
              <w:t>B - Map</w:t>
            </w:r>
          </w:p>
        </w:tc>
        <w:tc>
          <w:tcPr>
            <w:tcW w:type="dxa" w:w="7877"/>
            <w:vAlign w:val="center"/>
          </w:tcPr>
          <w:p>
            <w:pPr>
              <w:spacing w:after="40"/>
            </w:pPr>
            <w:r>
              <w:rPr>
                <w:sz w:val="16"/>
              </w:rPr>
              <w:t>Canonical schema, deterministic exact joins, candidate matching, SQL examples and query execution tests</w:t>
            </w:r>
          </w:p>
        </w:tc>
      </w:tr>
      <w:tr>
        <w:tc>
          <w:tcPr>
            <w:tcW w:type="dxa" w:w="1771"/>
            <w:vAlign w:val="center"/>
          </w:tcPr>
          <w:p>
            <w:pPr>
              <w:spacing w:after="40"/>
            </w:pPr>
            <w:r>
              <w:rPr>
                <w:sz w:val="16"/>
              </w:rPr>
              <w:t>C - Review</w:t>
            </w:r>
          </w:p>
        </w:tc>
        <w:tc>
          <w:tcPr>
            <w:tcW w:type="dxa" w:w="7877"/>
            <w:vAlign w:val="center"/>
          </w:tcPr>
          <w:p>
            <w:pPr>
              <w:spacing w:after="40"/>
            </w:pPr>
            <w:r>
              <w:rPr>
                <w:sz w:val="16"/>
              </w:rPr>
              <w:t>Generate DQ and relation proposals; test accept/reject/defer, traceability, re-run and no raw mutation</w:t>
            </w:r>
          </w:p>
        </w:tc>
      </w:tr>
      <w:tr>
        <w:tc>
          <w:tcPr>
            <w:tcW w:type="dxa" w:w="1771"/>
            <w:vAlign w:val="center"/>
          </w:tcPr>
          <w:p>
            <w:pPr>
              <w:spacing w:after="40"/>
            </w:pPr>
            <w:r>
              <w:rPr>
                <w:sz w:val="16"/>
              </w:rPr>
              <w:t>D - Publish</w:t>
            </w:r>
          </w:p>
        </w:tc>
        <w:tc>
          <w:tcPr>
            <w:tcW w:type="dxa" w:w="7877"/>
            <w:vAlign w:val="center"/>
          </w:tcPr>
          <w:p>
            <w:pPr>
              <w:spacing w:after="40"/>
            </w:pPr>
            <w:r>
              <w:rPr>
                <w:sz w:val="16"/>
              </w:rPr>
              <w:t>Golden view, graph, lineage, invoice exposure de-duplicated by invoice ID</w:t>
            </w:r>
          </w:p>
        </w:tc>
      </w:tr>
      <w:tr>
        <w:tc>
          <w:tcPr>
            <w:tcW w:type="dxa" w:w="1771"/>
            <w:vAlign w:val="center"/>
          </w:tcPr>
          <w:p>
            <w:pPr>
              <w:spacing w:after="40"/>
            </w:pPr>
            <w:r>
              <w:rPr>
                <w:sz w:val="16"/>
              </w:rPr>
              <w:t>E - Front end</w:t>
            </w:r>
          </w:p>
        </w:tc>
        <w:tc>
          <w:tcPr>
            <w:tcW w:type="dxa" w:w="7877"/>
            <w:vAlign w:val="center"/>
          </w:tcPr>
          <w:p>
            <w:pPr>
              <w:spacing w:after="40"/>
            </w:pPr>
            <w:r>
              <w:rPr>
                <w:sz w:val="16"/>
              </w:rPr>
              <w:t>Wire five screens, drawer/modal, clean styling, drilldowns, accessibility and preserve prior demos</w:t>
            </w:r>
          </w:p>
        </w:tc>
      </w:tr>
    </w:tbl>
    <w:p>
      <w:pPr>
        <w:spacing w:after="0"/>
      </w:pPr>
    </w:p>
    <w:p>
      <w:r>
        <w:t>Acceptance checklist: (a) every file opens with real sample rows and full issue register; (b) no cross-system mapping appears unless supported by source keys or displayed inference; (c) ER edges and SQL reference actual columns; (d) all review decisions show original/proposed values and provenance; (e) golden records keep original IDs and unresolved issues; (f) AR numbers reconcile to unique invoices; (g) refresh regenerates all derived files; (h) existing scenarios still load; (i) synthetic and estimated outcomes are labeled.</w:t>
      </w:r>
    </w:p>
    <w:p>
      <w:r>
        <w:t>Instruction to Codex: implement in the repository using BD_MMS_Rebuilt_Raw_Source_Data.zip as the sole operational input. First examine current app.js/data.js/swire_data.js and the README, then implement the deterministic pipeline, validate generated artifacts, adapt the UI and provide a run command plus test results. Treat all mappings and business impacts as evidence-backed outputs, not scripted answers.</w:t>
      </w:r>
    </w:p>
    <w:sectPr w:rsidR="00FC693F" w:rsidRPr="0006063C" w:rsidSect="00034616">
      <w:pgSz w:w="12240" w:h="15840"/>
      <w:pgMar w:top="1123" w:right="1224" w:bottom="1051"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52D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E3A4E"/>
      <w:sz w:val="2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w:hAnsi="Aptos"/>
      <w:b/>
      <w:bCs/>
      <w:color w:val="304B5B"/>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40"/>
      <w:contextualSpacing/>
    </w:pPr>
    <w:rPr>
      <w:rFonts w:asciiTheme="majorHAnsi" w:eastAsiaTheme="majorEastAsia" w:hAnsiTheme="majorHAnsi" w:cstheme="majorBidi" w:ascii="Aptos Display" w:hAnsi="Aptos Display"/>
      <w:b/>
      <w:color w:val="1C2B3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