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8F186">
      <w:pPr>
        <w:spacing w:after="6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b/>
          <w:bCs/>
          <w:color w:val="000000" w:themeColor="text1"/>
          <w:sz w:val="26"/>
          <w:szCs w:val="26"/>
          <w14:textFill>
            <w14:solidFill>
              <w14:schemeClr w14:val="tx1"/>
            </w14:solidFill>
          </w14:textFill>
        </w:rPr>
        <w:t>Department of Computer Science and Engineering</w:t>
      </w:r>
    </w:p>
    <w:p w14:paraId="24CA6FDF">
      <w:pPr>
        <w:spacing w:after="30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Calibri" w:cs="Times New Roman"/>
          <w:color w:val="000000" w:themeColor="text1"/>
          <w:sz w:val="22"/>
          <w:szCs w:val="22"/>
          <w14:textFill>
            <w14:solidFill>
              <w14:schemeClr w14:val="tx1"/>
            </w14:solidFill>
          </w14:textFill>
        </w:rPr>
        <w:t>Course ITA05 – Computer Vision</w:t>
      </w:r>
    </w:p>
    <w:p w14:paraId="03903E22">
      <w:pPr>
        <w:spacing w:before="200" w:after="60"/>
        <w:jc w:val="center"/>
        <w:rPr>
          <w:rFonts w:hint="default" w:ascii="Times New Roman" w:hAnsi="Times New Roman" w:cs="Times New Roman"/>
        </w:rPr>
      </w:pPr>
      <w:r>
        <w:rPr>
          <w:rFonts w:hint="default" w:ascii="Times New Roman" w:hAnsi="Times New Roman" w:eastAsia="Calibri" w:cs="Times New Roman"/>
          <w:b/>
          <w:bCs/>
          <w:color w:val="000000" w:themeColor="text1"/>
          <w:sz w:val="32"/>
          <w:szCs w:val="32"/>
          <w14:textFill>
            <w14:solidFill>
              <w14:schemeClr w14:val="tx1"/>
            </w14:solidFill>
          </w14:textFill>
        </w:rPr>
        <w:t>Defect Detection System Decision using Computer Vision</w:t>
      </w:r>
    </w:p>
    <w:p w14:paraId="5AC76AE0">
      <w:pPr>
        <w:spacing w:after="400"/>
        <w:jc w:val="center"/>
        <w:rPr>
          <w:rFonts w:hint="default" w:ascii="Times New Roman" w:hAnsi="Times New Roman" w:eastAsia="Calibri" w:cs="Times New Roman"/>
          <w:i/>
          <w:iCs/>
          <w:sz w:val="22"/>
          <w:szCs w:val="22"/>
        </w:rPr>
      </w:pPr>
      <w:r>
        <w:rPr>
          <w:rFonts w:hint="default" w:ascii="Times New Roman" w:hAnsi="Times New Roman" w:eastAsia="Calibri" w:cs="Times New Roman"/>
          <w:i/>
          <w:iCs/>
          <w:sz w:val="22"/>
          <w:szCs w:val="22"/>
        </w:rPr>
        <w:t>Assignment Report</w:t>
      </w:r>
    </w:p>
    <w:p w14:paraId="1D4BA9EB">
      <w:pPr>
        <w:spacing w:after="400"/>
        <w:jc w:val="both"/>
        <w:rPr>
          <w:rFonts w:ascii="Calibri" w:hAnsi="Calibri" w:eastAsia="Calibri" w:cs="Calibri"/>
          <w:i/>
          <w:iCs/>
          <w:sz w:val="22"/>
          <w:szCs w:val="22"/>
        </w:rPr>
      </w:pPr>
    </w:p>
    <w:p w14:paraId="3225B17D">
      <w:pPr>
        <w:spacing w:after="400" w:line="240" w:lineRule="auto"/>
        <w:jc w:val="both"/>
        <w:rPr>
          <w:rFonts w:hint="default" w:ascii="Times New Roman" w:hAnsi="Times New Roman" w:eastAsia="Calibri" w:cs="Times New Roman"/>
          <w:i w:val="0"/>
          <w:iCs w:val="0"/>
          <w:sz w:val="24"/>
          <w:szCs w:val="24"/>
          <w:lang w:val="en-US"/>
        </w:rPr>
      </w:pPr>
      <w:r>
        <w:rPr>
          <w:rFonts w:hint="default" w:ascii="Times New Roman" w:hAnsi="Times New Roman" w:eastAsia="Calibri" w:cs="Times New Roman"/>
          <w:i w:val="0"/>
          <w:iCs w:val="0"/>
          <w:sz w:val="24"/>
          <w:szCs w:val="24"/>
          <w:lang w:val="en-US"/>
        </w:rPr>
        <w:t>Name: V. Pavan Kumar Reddy</w:t>
      </w:r>
    </w:p>
    <w:p w14:paraId="20537252">
      <w:pPr>
        <w:spacing w:after="400" w:line="240" w:lineRule="auto"/>
        <w:jc w:val="both"/>
        <w:rPr>
          <w:rFonts w:hint="default" w:ascii="Times New Roman" w:hAnsi="Times New Roman" w:eastAsia="Calibri" w:cs="Times New Roman"/>
          <w:i w:val="0"/>
          <w:iCs w:val="0"/>
          <w:sz w:val="24"/>
          <w:szCs w:val="24"/>
          <w:lang w:val="en-US"/>
        </w:rPr>
      </w:pPr>
      <w:r>
        <w:rPr>
          <w:rFonts w:hint="default" w:ascii="Times New Roman" w:hAnsi="Times New Roman" w:eastAsia="Calibri" w:cs="Times New Roman"/>
          <w:i w:val="0"/>
          <w:iCs w:val="0"/>
          <w:sz w:val="24"/>
          <w:szCs w:val="24"/>
          <w:lang w:val="en-US"/>
        </w:rPr>
        <w:t>REG NO:192472109</w:t>
      </w:r>
    </w:p>
    <w:p w14:paraId="520C5A44">
      <w:pPr>
        <w:spacing w:after="400" w:line="240" w:lineRule="auto"/>
        <w:jc w:val="both"/>
        <w:rPr>
          <w:rFonts w:hint="default" w:ascii="Times New Roman" w:hAnsi="Times New Roman" w:eastAsia="Calibri" w:cs="Times New Roman"/>
          <w:i w:val="0"/>
          <w:iCs w:val="0"/>
          <w:sz w:val="24"/>
          <w:szCs w:val="24"/>
          <w:lang w:val="en-US"/>
        </w:rPr>
      </w:pPr>
      <w:r>
        <w:rPr>
          <w:rFonts w:hint="default" w:ascii="Times New Roman" w:hAnsi="Times New Roman" w:eastAsia="Calibri" w:cs="Times New Roman"/>
          <w:i w:val="0"/>
          <w:iCs w:val="0"/>
          <w:sz w:val="24"/>
          <w:szCs w:val="24"/>
          <w:lang w:val="en-US"/>
        </w:rPr>
        <w:t>Course code:ITA0512</w:t>
      </w:r>
    </w:p>
    <w:p w14:paraId="4C897879">
      <w:pPr>
        <w:spacing w:after="400" w:line="240" w:lineRule="auto"/>
        <w:jc w:val="both"/>
        <w:rPr>
          <w:rFonts w:hint="default" w:ascii="Times New Roman" w:hAnsi="Times New Roman" w:eastAsia="Calibri" w:cs="Times New Roman"/>
          <w:i w:val="0"/>
          <w:iCs w:val="0"/>
          <w:sz w:val="24"/>
          <w:szCs w:val="24"/>
          <w:lang w:val="en-US"/>
        </w:rPr>
      </w:pPr>
      <w:r>
        <w:rPr>
          <w:rFonts w:hint="default" w:ascii="Times New Roman" w:hAnsi="Times New Roman" w:eastAsia="Calibri" w:cs="Times New Roman"/>
          <w:i w:val="0"/>
          <w:iCs w:val="0"/>
          <w:sz w:val="24"/>
          <w:szCs w:val="24"/>
          <w:lang w:val="en-US"/>
        </w:rPr>
        <w:t>Course Name:Computer Vision And Open CV</w:t>
      </w:r>
      <w:bookmarkStart w:id="0" w:name="_GoBack"/>
      <w:bookmarkEnd w:id="0"/>
    </w:p>
    <w:p w14:paraId="349F73CE">
      <w:r>
        <w:br w:type="page"/>
      </w:r>
    </w:p>
    <w:p w14:paraId="0AAA0B8A">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w:t>
      </w:r>
      <w:r>
        <w:rPr>
          <w:rFonts w:hint="default" w:ascii="Times New Roman" w:hAnsi="Times New Roman" w:cs="Times New Roman"/>
          <w:b/>
          <w:bCs/>
          <w:color w:val="000000" w:themeColor="text1"/>
          <w:sz w:val="24"/>
          <w:szCs w:val="24"/>
          <w14:textFill>
            <w14:solidFill>
              <w14:schemeClr w14:val="tx1"/>
            </w14:solidFill>
          </w14:textFill>
        </w:rPr>
        <w:t xml:space="preserve"> Problem Understanding and Formulation</w:t>
      </w:r>
    </w:p>
    <w:p w14:paraId="19CC3897">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 What is the problem?</w:t>
      </w:r>
    </w:p>
    <w:p w14:paraId="5A1E807C">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 manufacturing company intends to deploy an automated, computer-vision-based defect detection system on a high-speed production line. The system must visually inspect products in real time and flag manufacturing defects that are often subtle (small scratches, dents, surface blemishes, misalignments, discolouration, etc.). The core engineering decision is which family of computer vision techniques — classical/traditional image processing or deep-learning-based methods — is best suited to this task, given the accuracy target and the need to generalise across changing conditions.</w:t>
      </w:r>
    </w:p>
    <w:p w14:paraId="7B4B41DF">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1.2 Expected outcomes</w:t>
      </w:r>
    </w:p>
    <w:p w14:paraId="60817EF2">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 recommended and justified approach (traditional CV vs. deep learning) for the defect detection pipeline.</w:t>
      </w:r>
    </w:p>
    <w:p w14:paraId="04EDCFC2">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An end-to-end system design: acquisition → preprocessing → detection/classification → localisation → reporting.</w:t>
      </w:r>
    </w:p>
    <w:p w14:paraId="440F7DC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Detection accuracy greater than 95% on held-out product images.</w:t>
      </w:r>
    </w:p>
    <w:p w14:paraId="5A9C849E">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Robustness to variation in lighting, orientation, product appearance, and manufacturing batch.</w:t>
      </w:r>
    </w:p>
    <w:p w14:paraId="5FB6FD09">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 solution that is computationally feasible for a high-speed production line (low per-item inference latency).</w:t>
      </w:r>
    </w:p>
    <w:p w14:paraId="61388551">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 working prototype/implementation with measurable performance metrics and visual evidence (sample detections).</w:t>
      </w:r>
    </w:p>
    <w:p w14:paraId="372A37AF">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1.3 What information/data is available?</w:t>
      </w:r>
    </w:p>
    <w:p w14:paraId="2600CCA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Problem statement specifying the accuracy requirement (&gt;95%) and the sources of variation (appearance, lighting, orientation, batch).</w:t>
      </w:r>
    </w:p>
    <w:p w14:paraId="1DCC7C9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Two candidate technique families explicitly identified: traditional CV and deep learning, along with their known qualitative trade-offs.</w:t>
      </w:r>
    </w:p>
    <w:p w14:paraId="1602B67B">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Domain knowledge of typical industrial defect types (surface cracks, scratches, dents, discolouration, missing components, misalignment).</w:t>
      </w:r>
    </w:p>
    <w:p w14:paraId="47C2852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Publicly available defect-inspection datasets that can be used as a proxy for the production line (e.g. MVTec AD, NEU surface defect dataset, Kolektor SDD, casting-defect datasets) since no proprietary factory dataset is supplied.</w:t>
      </w:r>
    </w:p>
    <w:p w14:paraId="4C69B54B">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Standard computer vision / deep learning libraries and pretrained backbone models.</w:t>
      </w:r>
    </w:p>
    <w:p w14:paraId="431D4C1D">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1.4 Assumptions made</w:t>
      </w:r>
    </w:p>
    <w:p w14:paraId="06153941">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 labelled (or partially labelled) image dataset of normal and defective products can be collected or substituted with a public benchmark dataset for prototyping.</w:t>
      </w:r>
    </w:p>
    <w:p w14:paraId="1DAAA159">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Camera position, resolution, and frame rate can be reasonably standardised, even though lighting and orientation will still vary.</w:t>
      </w:r>
    </w:p>
    <w:p w14:paraId="7A0D52DD">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At least a mid-range GPU is available for model training/fine-tuning; inference can be run on a GPU or an edge accelerator (e.g. Jetson-class device) at deployment.</w:t>
      </w:r>
    </w:p>
    <w:p w14:paraId="16FB9782">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production line cycle time allows a per-item inference budget in the tens of milliseconds (a common industrial requirement, e.g. &lt; 100 ms/item).</w:t>
      </w:r>
    </w:p>
    <w:p w14:paraId="0B08C76A">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Defect classes are relatively stable in nature across batches even though visual appearance (colour, texture, lighting) varies.</w:t>
      </w:r>
    </w:p>
    <w:p w14:paraId="553CCDEB">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1.5 Constraints that must be satisfied</w:t>
      </w:r>
    </w:p>
    <w:p w14:paraId="12ACFDAE">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Detection accuracy must exceed 95% on representative test data.</w:t>
      </w:r>
    </w:p>
    <w:p w14:paraId="43A41076">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solution must adapt to variation in lighting conditions, product orientation, surface appearance, and batch-to-batch differences.</w:t>
      </w:r>
    </w:p>
    <w:p w14:paraId="011934FD">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Inference must complete within the cycle time of a high-speed line (near real-time).</w:t>
      </w:r>
    </w:p>
    <w:p w14:paraId="51C5532A">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solution must work with a realistic (possibly limited) amount of labelled training data in early deployment.</w:t>
      </w:r>
    </w:p>
    <w:p w14:paraId="75669F1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Hardware/compute budget for both training and edge deployment is limited compared to a data-centre setting.</w:t>
      </w:r>
    </w:p>
    <w:p w14:paraId="5F2D628B">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Outputs must be interpretable enough to support quality-control audits and traceability.</w:t>
      </w:r>
    </w:p>
    <w:p w14:paraId="4F715354">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 Application of Course Knowledge</w:t>
      </w:r>
    </w:p>
    <w:p w14:paraId="2F4DE15B">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2.1 Image formation and representation (CO1)</w:t>
      </w:r>
    </w:p>
    <w:p w14:paraId="6779C82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Each acquired product image is represented as a discretised, quantised sampling of the continuous light field captured by the camera sensor — a 2-D array of pixel intensities (grayscale) or a 3-channel RGB/HSV tensor. The sampling resolution and quantisation depth (typically 8 bits/channel) determine the smallest defect size and contrast that can be resolved; subtle defects require sufficient spatial resolution and dynamic range, otherwise they are lost during sampling/quantisation before any algorithm is even applied.</w:t>
      </w:r>
    </w:p>
    <w:p w14:paraId="00AEA36B">
      <w:pPr>
        <w:pStyle w:val="3"/>
        <w:spacing w:before="240" w:after="1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2.2 Image </w:t>
      </w:r>
      <w:r>
        <w:rPr>
          <w:rFonts w:hint="default" w:ascii="Times New Roman" w:hAnsi="Times New Roman" w:cs="Times New Roman"/>
          <w:b/>
          <w:bCs/>
          <w:color w:val="000000" w:themeColor="text1"/>
          <w:sz w:val="24"/>
          <w:szCs w:val="24"/>
          <w:lang w:val="en-US"/>
          <w14:textFill>
            <w14:solidFill>
              <w14:schemeClr w14:val="tx1"/>
            </w14:solidFill>
          </w14:textFill>
        </w:rPr>
        <w:t>prepossessing</w:t>
      </w:r>
      <w:r>
        <w:rPr>
          <w:rFonts w:hint="default" w:ascii="Times New Roman" w:hAnsi="Times New Roman" w:cs="Times New Roman"/>
          <w:b/>
          <w:bCs/>
          <w:color w:val="000000" w:themeColor="text1"/>
          <w:sz w:val="24"/>
          <w:szCs w:val="24"/>
          <w14:textFill>
            <w14:solidFill>
              <w14:schemeClr w14:val="tx1"/>
            </w14:solidFill>
          </w14:textFill>
        </w:rPr>
        <w:t>, enhancement and feature extraction (CO2)</w:t>
      </w:r>
    </w:p>
    <w:p w14:paraId="40F9B1C8">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Noise removal: Gaussian blur / median filtering to suppress sensor noise while preserving edges.</w:t>
      </w:r>
    </w:p>
    <w:p w14:paraId="5468A115">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Illumination correction: histogram equalisation or CLAHE (Contrast Limited Adaptive Histogram Equalisation) to normalise lighting variation across the line.</w:t>
      </w:r>
    </w:p>
    <w:p w14:paraId="60E0A2D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Segmentation: adaptive/Otsu thresholding, Canny edge detection, and morphological operations (erosion, dilation, opening/closing) to isolate the product region and candidate defect regions.</w:t>
      </w:r>
    </w:p>
    <w:p w14:paraId="6EF8BB40">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Feature extraction (traditional pipeline): contour and shape descriptors, texture features via Grey-Level Co-occurrence Matrix (GLCM), Local Binary Patterns (LBP), and Histogram of Oriented Gradients (HOG).</w:t>
      </w:r>
    </w:p>
    <w:p w14:paraId="088A8346">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Feature extraction (deep pipeline): hierarchical convolutional feature maps learned end-to-end, which implicitly encode texture, shape, and context.</w:t>
      </w:r>
    </w:p>
    <w:p w14:paraId="11F07AE7">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2.3 Object detection, pattern recognition and ML/DL techniques (CO3)</w:t>
      </w:r>
    </w:p>
    <w:p w14:paraId="642DCECC">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Traditional pipeline: hand-crafted features (HOG/LBP/GLCM) fed into a classical classifier such as SVM or k-NN, or direct template matching against a reference (defect-free) image.</w:t>
      </w:r>
    </w:p>
    <w:p w14:paraId="1658E9AE">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Deep learning pipeline: Convolutional Neural Networks (CNNs) for classification; object-detection architectures such as YOLO or Faster R-CNN for defect localisation; transfer learning using pretrained backbones (MobileNetV3, EfficientNet, ResNet) fine-tuned on the defect dataset to reduce data and training requirements.</w:t>
      </w:r>
    </w:p>
    <w:p w14:paraId="3C8DC379">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2.4 Evaluation and design methodology (CO4/CO5)</w:t>
      </w:r>
    </w:p>
    <w:p w14:paraId="42830F87">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Model suitability is judged using standard classification/detection metrics and computed as follows: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60335F9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20" w:type="dxa"/>
              <w:left w:w="160" w:type="dxa"/>
              <w:bottom w:w="120" w:type="dxa"/>
              <w:right w:w="160" w:type="dxa"/>
            </w:tcMar>
          </w:tcPr>
          <w:p w14:paraId="179DDA6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Accuracy   = (TP + TN) / (TP + TN + FP + FN)</w:t>
            </w:r>
          </w:p>
          <w:p w14:paraId="39FDB99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Precision  = TP / (TP + FP)</w:t>
            </w:r>
          </w:p>
          <w:p w14:paraId="51140044">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Recall     = TP / (TP + FN)</w:t>
            </w:r>
          </w:p>
          <w:p w14:paraId="7F03EF79">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F1-score   = 2 * (Precision * Recall) / (Precision + Recall)</w:t>
            </w:r>
          </w:p>
          <w:p w14:paraId="3E07AFA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IoU        = Area(PredBox ∩ GTBox) / Area(PredBox ∪ GTBox)   (for defect localisation)</w:t>
            </w:r>
          </w:p>
        </w:tc>
      </w:tr>
    </w:tbl>
    <w:p w14:paraId="3B016F6F">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Deployment feasibility on the production line is reasoned about via a simple throughput check: if the line cycle time per item is T_cycle and the model inference latency (including preprocessing) is T_infer, the model is deployable in real time only if T_infer ≤ T_cycle (with margin for I/O and post-processing). For a line running at, say, 5 items/second, T_cycle = 200 ms, so a model with T_infer well under 200 ms (ideally &lt; 50–100 ms) is required — this budget guides the choice of a lightweight backbone (e.g. MobileNet/EfficientNet-lite/YOLO-nano variants) over very large networks.</w:t>
      </w:r>
    </w:p>
    <w:p w14:paraId="48F2E49E">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 Solution / Design / Methodology</w:t>
      </w:r>
    </w:p>
    <w:p w14:paraId="5114EEB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Two candidate end-to-end pipelines were designed and compared before selecting a final solution, following the structure: Product Image/Video Acquisition → Preprocessing → Image Enhancement → Defect Detection → Feature/Representation Extraction → Classification/Detection → Defect Localisation → Performance Evaluation → Quality Inspection Report.</w:t>
      </w:r>
    </w:p>
    <w:p w14:paraId="35FCDD34">
      <w:pPr>
        <w:pStyle w:val="3"/>
        <w:spacing w:before="240" w:after="1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3.1 Candidate Solution A — Traditional Computer Vision Pipeline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7B3A9B9">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20" w:type="dxa"/>
              <w:left w:w="160" w:type="dxa"/>
              <w:bottom w:w="120" w:type="dxa"/>
              <w:right w:w="160" w:type="dxa"/>
            </w:tcMar>
          </w:tcPr>
          <w:p w14:paraId="2EA856E1">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PSEUDOCODE: Traditional CV Defect Detection</w:t>
            </w:r>
          </w:p>
          <w:p w14:paraId="33CC9CFA">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w:t>
            </w:r>
          </w:p>
          <w:p w14:paraId="37E2BE85">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1. Capture image I from line camera</w:t>
            </w:r>
          </w:p>
          <w:p w14:paraId="6AA81359">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2. I_gray  = convert_to_grayscale(I)</w:t>
            </w:r>
          </w:p>
          <w:p w14:paraId="280EA977">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3. I_denoised = gaussian_blur(I_gray)</w:t>
            </w:r>
          </w:p>
          <w:p w14:paraId="775E169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4. I_norm  = CLAHE(I_denoised)                # illumination correction</w:t>
            </w:r>
          </w:p>
          <w:p w14:paraId="2F36D01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5. edges   = canny_edge_detection(I_norm)</w:t>
            </w:r>
          </w:p>
          <w:p w14:paraId="082CDEE3">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6. mask    = morphological_close(edges)</w:t>
            </w:r>
          </w:p>
          <w:p w14:paraId="24228A0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7. regions = find_contours(mask)</w:t>
            </w:r>
          </w:p>
          <w:p w14:paraId="3083B96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8. FOR each region r in regions:</w:t>
            </w:r>
          </w:p>
          <w:p w14:paraId="77842D13">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features = extract_features(r)         # LBP, GLCM, HOG, shape</w:t>
            </w:r>
          </w:p>
          <w:p w14:paraId="7C86FE58">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label    = SVM_classifier.predict(features)</w:t>
            </w:r>
          </w:p>
          <w:p w14:paraId="62A589FD">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IF label == 'defect':</w:t>
            </w:r>
          </w:p>
          <w:p w14:paraId="6CBC142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report_defect(location=r.bbox, type=label)</w:t>
            </w:r>
          </w:p>
          <w:p w14:paraId="230EAA3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9. RETURN inspection_report</w:t>
            </w:r>
          </w:p>
        </w:tc>
      </w:tr>
    </w:tbl>
    <w:p w14:paraId="2D1640D5">
      <w:pPr>
        <w:pStyle w:val="3"/>
        <w:spacing w:before="240" w:after="1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3.2 Candidate Solution B — Deep Learning Pipeline (Selected)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0D02186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20" w:type="dxa"/>
              <w:left w:w="160" w:type="dxa"/>
              <w:bottom w:w="120" w:type="dxa"/>
              <w:right w:w="160" w:type="dxa"/>
            </w:tcMar>
          </w:tcPr>
          <w:p w14:paraId="7DFB23E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PSEUDOCODE: Deep-Learning Defect Detection</w:t>
            </w:r>
          </w:p>
          <w:p w14:paraId="3BF33634">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w:t>
            </w:r>
          </w:p>
          <w:p w14:paraId="01E8D2A3">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1. Capture image I from line camera</w:t>
            </w:r>
          </w:p>
          <w:p w14:paraId="56E45C1C">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2. I_resized = resize(I, target_size)</w:t>
            </w:r>
          </w:p>
          <w:p w14:paraId="39846EF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3. I_aug     = augment(I_resized)               # train-time only:</w:t>
            </w:r>
          </w:p>
          <w:p w14:paraId="4A0D195D">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rotation, flip, brightness jitter, noise</w:t>
            </w:r>
          </w:p>
          <w:p w14:paraId="61F02E6D">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4. x = normalize(I_aug)                          # scale to model input range</w:t>
            </w:r>
          </w:p>
          <w:p w14:paraId="34A05232">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5. model = load_pretrained_backbone('EfficientNet' / 'YOLOv8n')</w:t>
            </w:r>
          </w:p>
          <w:p w14:paraId="5A386D3C">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6. model = fine_tune(model, train_dataset)        # transfer learning</w:t>
            </w:r>
          </w:p>
          <w:p w14:paraId="41185175">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7. preds  = model.forward(x)                     # class + bbox per defect</w:t>
            </w:r>
          </w:p>
          <w:p w14:paraId="4474A2F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8. FOR each detection d in preds where confidence &gt; threshold:</w:t>
            </w:r>
          </w:p>
          <w:p w14:paraId="70FC85C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report_defect(location=d.bbox, type=d.class, score=d.confidence)</w:t>
            </w:r>
          </w:p>
          <w:p w14:paraId="0BA8E053">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9. metrics = evaluate(model, test_dataset)        # accuracy, precision, recall, F1, IoU</w:t>
            </w:r>
          </w:p>
          <w:p w14:paraId="2DEDD79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10. RETURN inspection_report, metrics</w:t>
            </w:r>
          </w:p>
        </w:tc>
      </w:tr>
    </w:tbl>
    <w:p w14:paraId="2C8B3192">
      <w:pPr>
        <w:pStyle w:val="3"/>
        <w:spacing w:before="240" w:after="1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3.3 Selected approach and rationale (summary)</w:t>
      </w:r>
    </w:p>
    <w:p w14:paraId="289D9D99">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deep learning pipeline (Solution B) was selected as the primary solution because the stated requirement of &gt;95% accuracy under significant appearance, lighting, orientation, and batch variation favours a model that can learn robust, high-level representations rather than relying on hand-crafted features. Transfer learning with a lightweight pretrained backbone (e.g. MobileNetV3/EfficientNet or YOLOv8-nano) is proposed specifically to reduce the training-data and compute burden that is usually cited as deep learning's main drawback — this is discussed in full in Section 6. The traditional pipeline is retained as a fast, low-cost baseline and as a fallback for highly controlled sub-stations on the line (see Section 6.4).</w:t>
      </w:r>
    </w:p>
    <w:p w14:paraId="5839D262">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Use of Modern Tools</w:t>
      </w:r>
    </w:p>
    <w:p w14:paraId="7C451458">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following tools and libraries are used to implement, train, and evaluate the two pipelines: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500"/>
      </w:tblGrid>
      <w:tr w14:paraId="4631A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1F4E79"/>
            <w:tcMar>
              <w:top w:w="80" w:type="dxa"/>
              <w:left w:w="100" w:type="dxa"/>
              <w:bottom w:w="80" w:type="dxa"/>
              <w:right w:w="100" w:type="dxa"/>
            </w:tcMar>
            <w:vAlign w:val="center"/>
          </w:tcPr>
          <w:p w14:paraId="10323FE0">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Category</w:t>
            </w:r>
          </w:p>
        </w:tc>
        <w:tc>
          <w:tcPr>
            <w:tcW w:w="6500" w:type="dxa"/>
            <w:shd w:val="clear" w:color="auto" w:fill="1F4E79"/>
            <w:tcMar>
              <w:top w:w="80" w:type="dxa"/>
              <w:left w:w="100" w:type="dxa"/>
              <w:bottom w:w="80" w:type="dxa"/>
              <w:right w:w="100" w:type="dxa"/>
            </w:tcMar>
            <w:vAlign w:val="center"/>
          </w:tcPr>
          <w:p w14:paraId="4E04D1F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Tools / Libraries</w:t>
            </w:r>
          </w:p>
        </w:tc>
      </w:tr>
      <w:tr w14:paraId="76BB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6EE2FDA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Language</w:t>
            </w:r>
          </w:p>
        </w:tc>
        <w:tc>
          <w:tcPr>
            <w:tcW w:w="6500" w:type="dxa"/>
            <w:tcMar>
              <w:top w:w="80" w:type="dxa"/>
              <w:left w:w="100" w:type="dxa"/>
              <w:bottom w:w="80" w:type="dxa"/>
              <w:right w:w="100" w:type="dxa"/>
            </w:tcMar>
            <w:vAlign w:val="center"/>
          </w:tcPr>
          <w:p w14:paraId="00FFDA4C">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Python 3.x</w:t>
            </w:r>
          </w:p>
        </w:tc>
      </w:tr>
      <w:tr w14:paraId="1D145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020888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Traditional CV</w:t>
            </w:r>
          </w:p>
        </w:tc>
        <w:tc>
          <w:tcPr>
            <w:tcW w:w="6500" w:type="dxa"/>
            <w:tcMar>
              <w:top w:w="80" w:type="dxa"/>
              <w:left w:w="100" w:type="dxa"/>
              <w:bottom w:w="80" w:type="dxa"/>
              <w:right w:w="100" w:type="dxa"/>
            </w:tcMar>
            <w:vAlign w:val="center"/>
          </w:tcPr>
          <w:p w14:paraId="7D80096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OpenCV, scikit-image, NumPy</w:t>
            </w:r>
          </w:p>
        </w:tc>
      </w:tr>
      <w:tr w14:paraId="33044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7978EDC5">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Classical ML classifier</w:t>
            </w:r>
          </w:p>
        </w:tc>
        <w:tc>
          <w:tcPr>
            <w:tcW w:w="6500" w:type="dxa"/>
            <w:tcMar>
              <w:top w:w="80" w:type="dxa"/>
              <w:left w:w="100" w:type="dxa"/>
              <w:bottom w:w="80" w:type="dxa"/>
              <w:right w:w="100" w:type="dxa"/>
            </w:tcMar>
            <w:vAlign w:val="center"/>
          </w:tcPr>
          <w:p w14:paraId="18B71FC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scikit-learn (SVM, k-NN)</w:t>
            </w:r>
          </w:p>
        </w:tc>
      </w:tr>
      <w:tr w14:paraId="1F12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3F160C2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Deep learning framework</w:t>
            </w:r>
          </w:p>
        </w:tc>
        <w:tc>
          <w:tcPr>
            <w:tcW w:w="6500" w:type="dxa"/>
            <w:tcMar>
              <w:top w:w="80" w:type="dxa"/>
              <w:left w:w="100" w:type="dxa"/>
              <w:bottom w:w="80" w:type="dxa"/>
              <w:right w:w="100" w:type="dxa"/>
            </w:tcMar>
            <w:vAlign w:val="center"/>
          </w:tcPr>
          <w:p w14:paraId="59C1E4D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PyTorch / TensorFlow-Keras</w:t>
            </w:r>
          </w:p>
        </w:tc>
      </w:tr>
      <w:tr w14:paraId="306CB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0077603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Detection architectures</w:t>
            </w:r>
          </w:p>
        </w:tc>
        <w:tc>
          <w:tcPr>
            <w:tcW w:w="6500" w:type="dxa"/>
            <w:tcMar>
              <w:top w:w="80" w:type="dxa"/>
              <w:left w:w="100" w:type="dxa"/>
              <w:bottom w:w="80" w:type="dxa"/>
              <w:right w:w="100" w:type="dxa"/>
            </w:tcMar>
            <w:vAlign w:val="center"/>
          </w:tcPr>
          <w:p w14:paraId="44E9845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YOLOv8 (Ultralytics), Faster R-CNN (torchvision), transfer learning with MobileNetV3 / EfficientNet</w:t>
            </w:r>
          </w:p>
        </w:tc>
      </w:tr>
      <w:tr w14:paraId="12A0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3047EDF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Experimentation environment</w:t>
            </w:r>
          </w:p>
        </w:tc>
        <w:tc>
          <w:tcPr>
            <w:tcW w:w="6500" w:type="dxa"/>
            <w:tcMar>
              <w:top w:w="80" w:type="dxa"/>
              <w:left w:w="100" w:type="dxa"/>
              <w:bottom w:w="80" w:type="dxa"/>
              <w:right w:w="100" w:type="dxa"/>
            </w:tcMar>
            <w:vAlign w:val="center"/>
          </w:tcPr>
          <w:p w14:paraId="13B52E2E">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Jupyter Notebook / Google Colab (GPU runtime)</w:t>
            </w:r>
          </w:p>
        </w:tc>
      </w:tr>
      <w:tr w14:paraId="14455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2D5D77F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Dataset annotation</w:t>
            </w:r>
          </w:p>
        </w:tc>
        <w:tc>
          <w:tcPr>
            <w:tcW w:w="6500" w:type="dxa"/>
            <w:tcMar>
              <w:top w:w="80" w:type="dxa"/>
              <w:left w:w="100" w:type="dxa"/>
              <w:bottom w:w="80" w:type="dxa"/>
              <w:right w:w="100" w:type="dxa"/>
            </w:tcMar>
            <w:vAlign w:val="center"/>
          </w:tcPr>
          <w:p w14:paraId="7303196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Roboflow / LabelImg (bounding-box annotation for defects)</w:t>
            </w:r>
          </w:p>
        </w:tc>
      </w:tr>
      <w:tr w14:paraId="074FD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5CF93B8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Visualization &amp; metrics</w:t>
            </w:r>
          </w:p>
        </w:tc>
        <w:tc>
          <w:tcPr>
            <w:tcW w:w="6500" w:type="dxa"/>
            <w:tcMar>
              <w:top w:w="80" w:type="dxa"/>
              <w:left w:w="100" w:type="dxa"/>
              <w:bottom w:w="80" w:type="dxa"/>
              <w:right w:w="100" w:type="dxa"/>
            </w:tcMar>
            <w:vAlign w:val="center"/>
          </w:tcPr>
          <w:p w14:paraId="6A3D11B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Matplotlib, Seaborn, scikit-learn metrics, TensorBoard</w:t>
            </w:r>
          </w:p>
        </w:tc>
      </w:tr>
      <w:tr w14:paraId="3511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80" w:type="dxa"/>
              <w:left w:w="100" w:type="dxa"/>
              <w:bottom w:w="80" w:type="dxa"/>
              <w:right w:w="100" w:type="dxa"/>
            </w:tcMar>
            <w:vAlign w:val="center"/>
          </w:tcPr>
          <w:p w14:paraId="34BCA3F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Version control &amp; submission</w:t>
            </w:r>
          </w:p>
        </w:tc>
        <w:tc>
          <w:tcPr>
            <w:tcW w:w="6500" w:type="dxa"/>
            <w:tcMar>
              <w:top w:w="80" w:type="dxa"/>
              <w:left w:w="100" w:type="dxa"/>
              <w:bottom w:w="80" w:type="dxa"/>
              <w:right w:w="100" w:type="dxa"/>
            </w:tcMar>
            <w:vAlign w:val="center"/>
          </w:tcPr>
          <w:p w14:paraId="11C20F4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Git and GitHub (source code, README, results)</w:t>
            </w:r>
          </w:p>
        </w:tc>
      </w:tr>
    </w:tbl>
    <w:p w14:paraId="0378FC24">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Sample tool usage — loading a pretrained backbone and fine-tuning it for defect classification (illustrative code, PyTorch):</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1049369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20" w:type="dxa"/>
              <w:left w:w="160" w:type="dxa"/>
              <w:bottom w:w="120" w:type="dxa"/>
              <w:right w:w="160" w:type="dxa"/>
            </w:tcMar>
          </w:tcPr>
          <w:p w14:paraId="2AE18C08">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import torch, torchvision</w:t>
            </w:r>
          </w:p>
          <w:p w14:paraId="5D586651">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from torchvision import models, transforms</w:t>
            </w:r>
          </w:p>
          <w:p w14:paraId="66A57D52">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w:t>
            </w:r>
          </w:p>
          <w:p w14:paraId="052DA5D1">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backbone = models.mobilenet_v3_small(weights='IMAGENET1K_V1')</w:t>
            </w:r>
          </w:p>
          <w:p w14:paraId="7F6591CE">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backbone.classifier[-1] = torch.nn.Linear(</w:t>
            </w:r>
          </w:p>
          <w:p w14:paraId="5004A43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backbone.classifier[-1].in_features, num_defect_classes)</w:t>
            </w:r>
          </w:p>
          <w:p w14:paraId="247CBAF4">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w:t>
            </w:r>
          </w:p>
          <w:p w14:paraId="2D056467">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optimizer = torch.optim.Adam(backbone.parameters(), lr=1e-4)</w:t>
            </w:r>
          </w:p>
          <w:p w14:paraId="582865B5">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criterion = torch.nn.CrossEntropyLoss()</w:t>
            </w:r>
          </w:p>
          <w:p w14:paraId="1EB5254A">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w:t>
            </w:r>
          </w:p>
          <w:p w14:paraId="2C2E4CFC">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for epoch in range(num_epochs):</w:t>
            </w:r>
          </w:p>
          <w:p w14:paraId="52747F08">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for images, labels in train_loader:</w:t>
            </w:r>
          </w:p>
          <w:p w14:paraId="5F32523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optimizer.zero_grad()</w:t>
            </w:r>
          </w:p>
          <w:p w14:paraId="57B3E419">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outputs = backbone(images)</w:t>
            </w:r>
          </w:p>
          <w:p w14:paraId="57B4271C">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loss = criterion(outputs, labels)</w:t>
            </w:r>
          </w:p>
          <w:p w14:paraId="4A4CF14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loss.backward()</w:t>
            </w:r>
          </w:p>
          <w:p w14:paraId="7CD2AE11">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optimizer.step()</w:t>
            </w:r>
          </w:p>
        </w:tc>
      </w:tr>
    </w:tbl>
    <w:p w14:paraId="1B27CCF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Sample tool usage — traditional pipeline baseline (illustrative code, OpenCV):</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10400"/>
      </w:tblGrid>
      <w:tr w14:paraId="4458F96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shd w:val="clear" w:color="auto" w:fill="F5F5F5"/>
            <w:tcMar>
              <w:top w:w="120" w:type="dxa"/>
              <w:left w:w="160" w:type="dxa"/>
              <w:bottom w:w="120" w:type="dxa"/>
              <w:right w:w="160" w:type="dxa"/>
            </w:tcMar>
          </w:tcPr>
          <w:p w14:paraId="7830A460">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import cv2</w:t>
            </w:r>
          </w:p>
          <w:p w14:paraId="4AED0A38">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w:t>
            </w:r>
          </w:p>
          <w:p w14:paraId="726F6E68">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img = cv2.imread('product.jpg', cv2.IMREAD_GRAYSCALE)</w:t>
            </w:r>
          </w:p>
          <w:p w14:paraId="1697D7C7">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img = cv2.GaussianBlur(img, (5, 5), 0)</w:t>
            </w:r>
          </w:p>
          <w:p w14:paraId="55DC6B4A">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clahe = cv2.createCLAHE(clipLimit=2.0, tileGridSize=(8, 8))</w:t>
            </w:r>
          </w:p>
          <w:p w14:paraId="35AD015A">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img = clahe.apply(img)</w:t>
            </w:r>
          </w:p>
          <w:p w14:paraId="4B698B6F">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edges = cv2.Canny(img, 50, 150)</w:t>
            </w:r>
          </w:p>
          <w:p w14:paraId="721F902B">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contours, _ = cv2.findContours(edges, cv2.RETR_EXTERNAL,</w:t>
            </w:r>
          </w:p>
          <w:p w14:paraId="7370250D">
            <w:pPr>
              <w:spacing w:after="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onsolas" w:cs="Times New Roman"/>
                <w:color w:val="000000" w:themeColor="text1"/>
                <w:sz w:val="24"/>
                <w:szCs w:val="24"/>
                <w14:textFill>
                  <w14:solidFill>
                    <w14:schemeClr w14:val="tx1"/>
                  </w14:solidFill>
                </w14:textFill>
              </w:rPr>
              <w:t xml:space="preserve">                                cv2.CHAIN_APPROX_SIMPLE)</w:t>
            </w:r>
          </w:p>
        </w:tc>
      </w:tr>
    </w:tbl>
    <w:p w14:paraId="4FEFCF2F">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Note: Students should replace the illustrative snippets above with their own executed notebooks/scripts, actual dataset paths, and captured console/plot outputs, and upload the complete, runnable source code to the GitHub repository referenced on the title page.</w:t>
      </w:r>
    </w:p>
    <w:p w14:paraId="5E543769">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 Results and Validation</w:t>
      </w:r>
    </w:p>
    <w:p w14:paraId="00886CE8">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template below shows the metrics, tables, and visual evidence expected once the pipelines above are executed on the chosen dataset. Students must replace the placeholder values with their own experimentally obtained results.</w:t>
      </w:r>
    </w:p>
    <w:p w14:paraId="7AEE9607">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5.1 Quantitative comparison (template — fill with actual results)</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2100"/>
        <w:gridCol w:w="2100"/>
        <w:gridCol w:w="2000"/>
      </w:tblGrid>
      <w:tr w14:paraId="2E321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300" w:type="dxa"/>
            <w:shd w:val="clear" w:color="auto" w:fill="1F4E79"/>
            <w:tcMar>
              <w:top w:w="80" w:type="dxa"/>
              <w:left w:w="100" w:type="dxa"/>
              <w:bottom w:w="80" w:type="dxa"/>
              <w:right w:w="100" w:type="dxa"/>
            </w:tcMar>
            <w:vAlign w:val="center"/>
          </w:tcPr>
          <w:p w14:paraId="063DC859">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Metric</w:t>
            </w:r>
          </w:p>
        </w:tc>
        <w:tc>
          <w:tcPr>
            <w:tcW w:w="2100" w:type="dxa"/>
            <w:shd w:val="clear" w:color="auto" w:fill="1F4E79"/>
            <w:tcMar>
              <w:top w:w="80" w:type="dxa"/>
              <w:left w:w="100" w:type="dxa"/>
              <w:bottom w:w="80" w:type="dxa"/>
              <w:right w:w="100" w:type="dxa"/>
            </w:tcMar>
            <w:vAlign w:val="center"/>
          </w:tcPr>
          <w:p w14:paraId="22FA54EC">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Traditional CV</w:t>
            </w:r>
          </w:p>
        </w:tc>
        <w:tc>
          <w:tcPr>
            <w:tcW w:w="2100" w:type="dxa"/>
            <w:shd w:val="clear" w:color="auto" w:fill="1F4E79"/>
            <w:tcMar>
              <w:top w:w="80" w:type="dxa"/>
              <w:left w:w="100" w:type="dxa"/>
              <w:bottom w:w="80" w:type="dxa"/>
              <w:right w:w="100" w:type="dxa"/>
            </w:tcMar>
            <w:vAlign w:val="center"/>
          </w:tcPr>
          <w:p w14:paraId="3DCABBE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Deep Learning (baseline CNN)</w:t>
            </w:r>
          </w:p>
        </w:tc>
        <w:tc>
          <w:tcPr>
            <w:tcW w:w="2000" w:type="dxa"/>
            <w:shd w:val="clear" w:color="auto" w:fill="1F4E79"/>
            <w:tcMar>
              <w:top w:w="80" w:type="dxa"/>
              <w:left w:w="100" w:type="dxa"/>
              <w:bottom w:w="80" w:type="dxa"/>
              <w:right w:w="100" w:type="dxa"/>
            </w:tcMar>
            <w:vAlign w:val="center"/>
          </w:tcPr>
          <w:p w14:paraId="2C0297E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Deep Learning (transfer learning)</w:t>
            </w:r>
          </w:p>
        </w:tc>
      </w:tr>
      <w:tr w14:paraId="1FB6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12162BB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Accuracy (%)</w:t>
            </w:r>
          </w:p>
        </w:tc>
        <w:tc>
          <w:tcPr>
            <w:tcW w:w="2100" w:type="dxa"/>
            <w:tcMar>
              <w:top w:w="80" w:type="dxa"/>
              <w:left w:w="100" w:type="dxa"/>
              <w:bottom w:w="80" w:type="dxa"/>
              <w:right w:w="100" w:type="dxa"/>
            </w:tcMar>
            <w:vAlign w:val="center"/>
          </w:tcPr>
          <w:p w14:paraId="48727DA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100" w:type="dxa"/>
            <w:tcMar>
              <w:top w:w="80" w:type="dxa"/>
              <w:left w:w="100" w:type="dxa"/>
              <w:bottom w:w="80" w:type="dxa"/>
              <w:right w:w="100" w:type="dxa"/>
            </w:tcMar>
            <w:vAlign w:val="center"/>
          </w:tcPr>
          <w:p w14:paraId="5560596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0DCB26D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3D999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1D86633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Precision</w:t>
            </w:r>
          </w:p>
        </w:tc>
        <w:tc>
          <w:tcPr>
            <w:tcW w:w="2100" w:type="dxa"/>
            <w:tcMar>
              <w:top w:w="80" w:type="dxa"/>
              <w:left w:w="100" w:type="dxa"/>
              <w:bottom w:w="80" w:type="dxa"/>
              <w:right w:w="100" w:type="dxa"/>
            </w:tcMar>
            <w:vAlign w:val="center"/>
          </w:tcPr>
          <w:p w14:paraId="3215BD7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100" w:type="dxa"/>
            <w:tcMar>
              <w:top w:w="80" w:type="dxa"/>
              <w:left w:w="100" w:type="dxa"/>
              <w:bottom w:w="80" w:type="dxa"/>
              <w:right w:w="100" w:type="dxa"/>
            </w:tcMar>
            <w:vAlign w:val="center"/>
          </w:tcPr>
          <w:p w14:paraId="158704E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4D25784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3428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40BB8815">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Recall</w:t>
            </w:r>
          </w:p>
        </w:tc>
        <w:tc>
          <w:tcPr>
            <w:tcW w:w="2100" w:type="dxa"/>
            <w:tcMar>
              <w:top w:w="80" w:type="dxa"/>
              <w:left w:w="100" w:type="dxa"/>
              <w:bottom w:w="80" w:type="dxa"/>
              <w:right w:w="100" w:type="dxa"/>
            </w:tcMar>
            <w:vAlign w:val="center"/>
          </w:tcPr>
          <w:p w14:paraId="2EDDF97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100" w:type="dxa"/>
            <w:tcMar>
              <w:top w:w="80" w:type="dxa"/>
              <w:left w:w="100" w:type="dxa"/>
              <w:bottom w:w="80" w:type="dxa"/>
              <w:right w:w="100" w:type="dxa"/>
            </w:tcMar>
            <w:vAlign w:val="center"/>
          </w:tcPr>
          <w:p w14:paraId="6250B6E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68DFC8C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0CAA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335CAA2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F1-score</w:t>
            </w:r>
          </w:p>
        </w:tc>
        <w:tc>
          <w:tcPr>
            <w:tcW w:w="2100" w:type="dxa"/>
            <w:tcMar>
              <w:top w:w="80" w:type="dxa"/>
              <w:left w:w="100" w:type="dxa"/>
              <w:bottom w:w="80" w:type="dxa"/>
              <w:right w:w="100" w:type="dxa"/>
            </w:tcMar>
            <w:vAlign w:val="center"/>
          </w:tcPr>
          <w:p w14:paraId="25A0D9AF">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100" w:type="dxa"/>
            <w:tcMar>
              <w:top w:w="80" w:type="dxa"/>
              <w:left w:w="100" w:type="dxa"/>
              <w:bottom w:w="80" w:type="dxa"/>
              <w:right w:w="100" w:type="dxa"/>
            </w:tcMar>
            <w:vAlign w:val="center"/>
          </w:tcPr>
          <w:p w14:paraId="7245A1E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32333EDF">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1113F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6A30F76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Mean IoU (localisation)</w:t>
            </w:r>
          </w:p>
        </w:tc>
        <w:tc>
          <w:tcPr>
            <w:tcW w:w="2100" w:type="dxa"/>
            <w:tcMar>
              <w:top w:w="80" w:type="dxa"/>
              <w:left w:w="100" w:type="dxa"/>
              <w:bottom w:w="80" w:type="dxa"/>
              <w:right w:w="100" w:type="dxa"/>
            </w:tcMar>
            <w:vAlign w:val="center"/>
          </w:tcPr>
          <w:p w14:paraId="3497331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N/A</w:t>
            </w:r>
          </w:p>
        </w:tc>
        <w:tc>
          <w:tcPr>
            <w:tcW w:w="2100" w:type="dxa"/>
            <w:tcMar>
              <w:top w:w="80" w:type="dxa"/>
              <w:left w:w="100" w:type="dxa"/>
              <w:bottom w:w="80" w:type="dxa"/>
              <w:right w:w="100" w:type="dxa"/>
            </w:tcMar>
            <w:vAlign w:val="center"/>
          </w:tcPr>
          <w:p w14:paraId="57F5826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776F73E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67D98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68752FB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Inference time / image (ms)</w:t>
            </w:r>
          </w:p>
        </w:tc>
        <w:tc>
          <w:tcPr>
            <w:tcW w:w="2100" w:type="dxa"/>
            <w:tcMar>
              <w:top w:w="80" w:type="dxa"/>
              <w:left w:w="100" w:type="dxa"/>
              <w:bottom w:w="80" w:type="dxa"/>
              <w:right w:w="100" w:type="dxa"/>
            </w:tcMar>
            <w:vAlign w:val="center"/>
          </w:tcPr>
          <w:p w14:paraId="33A2317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100" w:type="dxa"/>
            <w:tcMar>
              <w:top w:w="80" w:type="dxa"/>
              <w:left w:w="100" w:type="dxa"/>
              <w:bottom w:w="80" w:type="dxa"/>
              <w:right w:w="100" w:type="dxa"/>
            </w:tcMar>
            <w:vAlign w:val="center"/>
          </w:tcPr>
          <w:p w14:paraId="0D37B57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c>
          <w:tcPr>
            <w:tcW w:w="2000" w:type="dxa"/>
            <w:tcMar>
              <w:top w:w="80" w:type="dxa"/>
              <w:left w:w="100" w:type="dxa"/>
              <w:bottom w:w="80" w:type="dxa"/>
              <w:right w:w="100" w:type="dxa"/>
            </w:tcMar>
            <w:vAlign w:val="center"/>
          </w:tcPr>
          <w:p w14:paraId="2DFAD05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[fill]</w:t>
            </w:r>
          </w:p>
        </w:tc>
      </w:tr>
      <w:tr w14:paraId="5A87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00" w:type="dxa"/>
            <w:tcMar>
              <w:top w:w="80" w:type="dxa"/>
              <w:left w:w="100" w:type="dxa"/>
              <w:bottom w:w="80" w:type="dxa"/>
              <w:right w:w="100" w:type="dxa"/>
            </w:tcMar>
            <w:vAlign w:val="center"/>
          </w:tcPr>
          <w:p w14:paraId="396F449C">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Training data required</w:t>
            </w:r>
          </w:p>
        </w:tc>
        <w:tc>
          <w:tcPr>
            <w:tcW w:w="2100" w:type="dxa"/>
            <w:tcMar>
              <w:top w:w="80" w:type="dxa"/>
              <w:left w:w="100" w:type="dxa"/>
              <w:bottom w:w="80" w:type="dxa"/>
              <w:right w:w="100" w:type="dxa"/>
            </w:tcMar>
            <w:vAlign w:val="center"/>
          </w:tcPr>
          <w:p w14:paraId="6AE5F269">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Low (no training)</w:t>
            </w:r>
          </w:p>
        </w:tc>
        <w:tc>
          <w:tcPr>
            <w:tcW w:w="2100" w:type="dxa"/>
            <w:tcMar>
              <w:top w:w="80" w:type="dxa"/>
              <w:left w:w="100" w:type="dxa"/>
              <w:bottom w:w="80" w:type="dxa"/>
              <w:right w:w="100" w:type="dxa"/>
            </w:tcMar>
            <w:vAlign w:val="center"/>
          </w:tcPr>
          <w:p w14:paraId="67681AA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High</w:t>
            </w:r>
          </w:p>
        </w:tc>
        <w:tc>
          <w:tcPr>
            <w:tcW w:w="2000" w:type="dxa"/>
            <w:tcMar>
              <w:top w:w="80" w:type="dxa"/>
              <w:left w:w="100" w:type="dxa"/>
              <w:bottom w:w="80" w:type="dxa"/>
              <w:right w:w="100" w:type="dxa"/>
            </w:tcMar>
            <w:vAlign w:val="center"/>
          </w:tcPr>
          <w:p w14:paraId="4FCDAC39">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Moderate (few-shot via transfer learning)</w:t>
            </w:r>
          </w:p>
        </w:tc>
      </w:tr>
    </w:tbl>
    <w:p w14:paraId="00244126">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5.2 Evidence to include</w:t>
      </w:r>
    </w:p>
    <w:p w14:paraId="159CE498">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Confusion matrix for the final selected model on the test set.</w:t>
      </w:r>
    </w:p>
    <w:p w14:paraId="28E15823">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Sample defect detections with bounding boxes / segmentation overlays (correct and incorrect examples).</w:t>
      </w:r>
    </w:p>
    <w:p w14:paraId="7BB79AFD">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Training/validation loss and accuracy curves across epochs (for the deep learning model).</w:t>
      </w:r>
    </w:p>
    <w:p w14:paraId="4E118B62">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Precision–recall curve and/or ROC curve for the final classifier.</w:t>
      </w:r>
    </w:p>
    <w:p w14:paraId="13ED5101">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Screenshots of the running pipeline (console output, notebook cells, or a short demo).</w:t>
      </w:r>
    </w:p>
    <w:p w14:paraId="5E4ABDE4">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5.3 Validation against requirements</w:t>
      </w:r>
    </w:p>
    <w:p w14:paraId="12827C8C">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Requirement: accuracy &gt; 95% — compare achieved accuracy against this threshold explicitly.</w:t>
      </w:r>
    </w:p>
    <w:p w14:paraId="3058916A">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Requirement: robustness to lighting/orientation/batch variation — report accuracy separately on an augmented/held-out variation set, not only the original test split.</w:t>
      </w:r>
    </w:p>
    <w:p w14:paraId="44F7940F">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Requirement: real-time feasibility — compare measured inference latency against the production-line cycle-time budget derived in Section 2.4.</w:t>
      </w:r>
    </w:p>
    <w:p w14:paraId="66F9A286">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 Analysis and Engineering Decision</w:t>
      </w:r>
    </w:p>
    <w:p w14:paraId="59EF24F0">
      <w:pPr>
        <w:pStyle w:val="3"/>
        <w:spacing w:before="240" w:after="12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6.1 Comparative analysis: Traditional CV vs. Deep Learning</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350"/>
        <w:gridCol w:w="3550"/>
      </w:tblGrid>
      <w:tr w14:paraId="4E214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01BE9C6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Factor</w:t>
            </w:r>
          </w:p>
        </w:tc>
        <w:tc>
          <w:tcPr>
            <w:tcW w:w="3350" w:type="dxa"/>
            <w:shd w:val="clear" w:color="auto" w:fill="1F4E79"/>
            <w:tcMar>
              <w:top w:w="80" w:type="dxa"/>
              <w:left w:w="100" w:type="dxa"/>
              <w:bottom w:w="80" w:type="dxa"/>
              <w:right w:w="100" w:type="dxa"/>
            </w:tcMar>
            <w:vAlign w:val="center"/>
          </w:tcPr>
          <w:p w14:paraId="1BEB595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Traditional Computer Vision</w:t>
            </w:r>
          </w:p>
        </w:tc>
        <w:tc>
          <w:tcPr>
            <w:tcW w:w="3550" w:type="dxa"/>
            <w:shd w:val="clear" w:color="auto" w:fill="1F4E79"/>
            <w:tcMar>
              <w:top w:w="80" w:type="dxa"/>
              <w:left w:w="100" w:type="dxa"/>
              <w:bottom w:w="80" w:type="dxa"/>
              <w:right w:w="100" w:type="dxa"/>
            </w:tcMar>
            <w:vAlign w:val="center"/>
          </w:tcPr>
          <w:p w14:paraId="1BACD42E">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Deep Learning</w:t>
            </w:r>
          </w:p>
        </w:tc>
      </w:tr>
      <w:tr w14:paraId="3B547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18411D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Detection accuracy</w:t>
            </w:r>
          </w:p>
        </w:tc>
        <w:tc>
          <w:tcPr>
            <w:tcW w:w="3350" w:type="dxa"/>
            <w:tcMar>
              <w:top w:w="80" w:type="dxa"/>
              <w:left w:w="100" w:type="dxa"/>
              <w:bottom w:w="80" w:type="dxa"/>
              <w:right w:w="100" w:type="dxa"/>
            </w:tcMar>
            <w:vAlign w:val="center"/>
          </w:tcPr>
          <w:p w14:paraId="5EB2C71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Adequate for simple, well-controlled defects; struggles with subtle/complex patterns</w:t>
            </w:r>
          </w:p>
        </w:tc>
        <w:tc>
          <w:tcPr>
            <w:tcW w:w="3550" w:type="dxa"/>
            <w:tcMar>
              <w:top w:w="80" w:type="dxa"/>
              <w:left w:w="100" w:type="dxa"/>
              <w:bottom w:w="80" w:type="dxa"/>
              <w:right w:w="100" w:type="dxa"/>
            </w:tcMar>
            <w:vAlign w:val="center"/>
          </w:tcPr>
          <w:p w14:paraId="28C616C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Can exceed 95% accuracy on complex and subtle defects when properly trained</w:t>
            </w:r>
          </w:p>
        </w:tc>
      </w:tr>
      <w:tr w14:paraId="0D5F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6D2FD66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Adaptability</w:t>
            </w:r>
          </w:p>
        </w:tc>
        <w:tc>
          <w:tcPr>
            <w:tcW w:w="3350" w:type="dxa"/>
            <w:tcMar>
              <w:top w:w="80" w:type="dxa"/>
              <w:left w:w="100" w:type="dxa"/>
              <w:bottom w:w="80" w:type="dxa"/>
              <w:right w:w="100" w:type="dxa"/>
            </w:tcMar>
            <w:vAlign w:val="center"/>
          </w:tcPr>
          <w:p w14:paraId="3EA0909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Poor — hand-crafted features degrade under lighting/orientation/appearance changes</w:t>
            </w:r>
          </w:p>
        </w:tc>
        <w:tc>
          <w:tcPr>
            <w:tcW w:w="3550" w:type="dxa"/>
            <w:tcMar>
              <w:top w:w="80" w:type="dxa"/>
              <w:left w:w="100" w:type="dxa"/>
              <w:bottom w:w="80" w:type="dxa"/>
              <w:right w:w="100" w:type="dxa"/>
            </w:tcMar>
            <w:vAlign w:val="center"/>
          </w:tcPr>
          <w:p w14:paraId="5DD65A7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Strong — learns invariant, hierarchical features; adapts well with fine-tuning/augmentation</w:t>
            </w:r>
          </w:p>
        </w:tc>
      </w:tr>
      <w:tr w14:paraId="39E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1B4459D0">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Computational cost (inference)</w:t>
            </w:r>
          </w:p>
        </w:tc>
        <w:tc>
          <w:tcPr>
            <w:tcW w:w="3350" w:type="dxa"/>
            <w:tcMar>
              <w:top w:w="80" w:type="dxa"/>
              <w:left w:w="100" w:type="dxa"/>
              <w:bottom w:w="80" w:type="dxa"/>
              <w:right w:w="100" w:type="dxa"/>
            </w:tcMar>
            <w:vAlign w:val="center"/>
          </w:tcPr>
          <w:p w14:paraId="53AE85F0">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Low — runs comfortably on CPU in real time</w:t>
            </w:r>
          </w:p>
        </w:tc>
        <w:tc>
          <w:tcPr>
            <w:tcW w:w="3550" w:type="dxa"/>
            <w:tcMar>
              <w:top w:w="80" w:type="dxa"/>
              <w:left w:w="100" w:type="dxa"/>
              <w:bottom w:w="80" w:type="dxa"/>
              <w:right w:w="100" w:type="dxa"/>
            </w:tcMar>
            <w:vAlign w:val="center"/>
          </w:tcPr>
          <w:p w14:paraId="24FC067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Higher, but lightweight backbones (MobileNet/EfficientNet-lite/YOLO-nano) make real-time inference feasible on GPU/edge accelerators</w:t>
            </w:r>
          </w:p>
        </w:tc>
      </w:tr>
      <w:tr w14:paraId="124E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2F53415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Training requirement</w:t>
            </w:r>
          </w:p>
        </w:tc>
        <w:tc>
          <w:tcPr>
            <w:tcW w:w="3350" w:type="dxa"/>
            <w:tcMar>
              <w:top w:w="80" w:type="dxa"/>
              <w:left w:w="100" w:type="dxa"/>
              <w:bottom w:w="80" w:type="dxa"/>
              <w:right w:w="100" w:type="dxa"/>
            </w:tcMar>
            <w:vAlign w:val="center"/>
          </w:tcPr>
          <w:p w14:paraId="5E23C90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None / minimal (rule- and threshold-based)</w:t>
            </w:r>
          </w:p>
        </w:tc>
        <w:tc>
          <w:tcPr>
            <w:tcW w:w="3550" w:type="dxa"/>
            <w:tcMar>
              <w:top w:w="80" w:type="dxa"/>
              <w:left w:w="100" w:type="dxa"/>
              <w:bottom w:w="80" w:type="dxa"/>
              <w:right w:w="100" w:type="dxa"/>
            </w:tcMar>
            <w:vAlign w:val="center"/>
          </w:tcPr>
          <w:p w14:paraId="5682B690">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Needs a labelled dataset; mitigated via transfer learning and data augmentation</w:t>
            </w:r>
          </w:p>
        </w:tc>
      </w:tr>
      <w:tr w14:paraId="1226E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D6EC63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Robustness to new defect types</w:t>
            </w:r>
          </w:p>
        </w:tc>
        <w:tc>
          <w:tcPr>
            <w:tcW w:w="3350" w:type="dxa"/>
            <w:tcMar>
              <w:top w:w="80" w:type="dxa"/>
              <w:left w:w="100" w:type="dxa"/>
              <w:bottom w:w="80" w:type="dxa"/>
              <w:right w:w="100" w:type="dxa"/>
            </w:tcMar>
            <w:vAlign w:val="center"/>
          </w:tcPr>
          <w:p w14:paraId="1F8DFE5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Low — rules must be manually redesigned</w:t>
            </w:r>
          </w:p>
        </w:tc>
        <w:tc>
          <w:tcPr>
            <w:tcW w:w="3550" w:type="dxa"/>
            <w:tcMar>
              <w:top w:w="80" w:type="dxa"/>
              <w:left w:w="100" w:type="dxa"/>
              <w:bottom w:w="80" w:type="dxa"/>
              <w:right w:w="100" w:type="dxa"/>
            </w:tcMar>
            <w:vAlign w:val="center"/>
          </w:tcPr>
          <w:p w14:paraId="3B1AC98F">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Higher — can be retrained/fine-tuned as new defect types appear</w:t>
            </w:r>
          </w:p>
        </w:tc>
      </w:tr>
      <w:tr w14:paraId="6C031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4E6939D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Scalability across product lines</w:t>
            </w:r>
          </w:p>
        </w:tc>
        <w:tc>
          <w:tcPr>
            <w:tcW w:w="3350" w:type="dxa"/>
            <w:tcMar>
              <w:top w:w="80" w:type="dxa"/>
              <w:left w:w="100" w:type="dxa"/>
              <w:bottom w:w="80" w:type="dxa"/>
              <w:right w:w="100" w:type="dxa"/>
            </w:tcMar>
            <w:vAlign w:val="center"/>
          </w:tcPr>
          <w:p w14:paraId="44A3DEEE">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Limited — thresholds are product-specific</w:t>
            </w:r>
          </w:p>
        </w:tc>
        <w:tc>
          <w:tcPr>
            <w:tcW w:w="3550" w:type="dxa"/>
            <w:tcMar>
              <w:top w:w="80" w:type="dxa"/>
              <w:left w:w="100" w:type="dxa"/>
              <w:bottom w:w="80" w:type="dxa"/>
              <w:right w:w="100" w:type="dxa"/>
            </w:tcMar>
            <w:vAlign w:val="center"/>
          </w:tcPr>
          <w:p w14:paraId="3048EEEF">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Better — the same backbone can be fine-tuned per product line</w:t>
            </w:r>
          </w:p>
        </w:tc>
      </w:tr>
      <w:tr w14:paraId="3738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091B734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lang w:val="en-US"/>
                <w14:textFill>
                  <w14:solidFill>
                    <w14:schemeClr w14:val="tx1"/>
                  </w14:solidFill>
                </w14:textFill>
              </w:rPr>
              <w:t>Interpret ability</w:t>
            </w:r>
          </w:p>
        </w:tc>
        <w:tc>
          <w:tcPr>
            <w:tcW w:w="3350" w:type="dxa"/>
            <w:tcMar>
              <w:top w:w="80" w:type="dxa"/>
              <w:left w:w="100" w:type="dxa"/>
              <w:bottom w:w="80" w:type="dxa"/>
              <w:right w:w="100" w:type="dxa"/>
            </w:tcMar>
            <w:vAlign w:val="center"/>
          </w:tcPr>
          <w:p w14:paraId="13148A4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High — rules and thresholds are transparent</w:t>
            </w:r>
          </w:p>
        </w:tc>
        <w:tc>
          <w:tcPr>
            <w:tcW w:w="3550" w:type="dxa"/>
            <w:tcMar>
              <w:top w:w="80" w:type="dxa"/>
              <w:left w:w="100" w:type="dxa"/>
              <w:bottom w:w="80" w:type="dxa"/>
              <w:right w:w="100" w:type="dxa"/>
            </w:tcMar>
            <w:vAlign w:val="center"/>
          </w:tcPr>
          <w:p w14:paraId="70F7E469">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Lower — requires explainability tools (e.g. Grad-CAM) for auditability</w:t>
            </w:r>
          </w:p>
        </w:tc>
      </w:tr>
      <w:tr w14:paraId="0219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vAlign w:val="center"/>
          </w:tcPr>
          <w:p w14:paraId="72E1FDF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Deployment cost/complexity</w:t>
            </w:r>
          </w:p>
        </w:tc>
        <w:tc>
          <w:tcPr>
            <w:tcW w:w="3350" w:type="dxa"/>
            <w:tcMar>
              <w:top w:w="80" w:type="dxa"/>
              <w:left w:w="100" w:type="dxa"/>
              <w:bottom w:w="80" w:type="dxa"/>
              <w:right w:w="100" w:type="dxa"/>
            </w:tcMar>
            <w:vAlign w:val="center"/>
          </w:tcPr>
          <w:p w14:paraId="70087B4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Low</w:t>
            </w:r>
          </w:p>
        </w:tc>
        <w:tc>
          <w:tcPr>
            <w:tcW w:w="3550" w:type="dxa"/>
            <w:tcMar>
              <w:top w:w="80" w:type="dxa"/>
              <w:left w:w="100" w:type="dxa"/>
              <w:bottom w:w="80" w:type="dxa"/>
              <w:right w:w="100" w:type="dxa"/>
            </w:tcMar>
            <w:vAlign w:val="center"/>
          </w:tcPr>
          <w:p w14:paraId="2EB8702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val="0"/>
                <w:bCs w:val="0"/>
                <w:color w:val="000000" w:themeColor="text1"/>
                <w:sz w:val="24"/>
                <w:szCs w:val="24"/>
                <w14:textFill>
                  <w14:solidFill>
                    <w14:schemeClr w14:val="tx1"/>
                  </w14:solidFill>
                </w14:textFill>
              </w:rPr>
              <w:t>Higher upfront (data collection, training pipeline, GPU/edge hardware)</w:t>
            </w:r>
          </w:p>
        </w:tc>
      </w:tr>
    </w:tbl>
    <w:p w14:paraId="74060A4E">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p>
    <w:p w14:paraId="445839E6">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p>
    <w:p w14:paraId="3B0960C2">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6.2 Trade-off discussion</w:t>
      </w:r>
    </w:p>
    <w:p w14:paraId="0E14DD48">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central trade-off is accuracy/adaptability versus computational and data cost. Traditional CV is cheap, fast, and fully interpretable but its accuracy ceiling and fragility to lighting/orientation/batch changes make it unlikely to sustain &gt;95% accuracy across a varying production environment. Deep learning can meet and exceed the accuracy target and generalise across variation, at the cost of requiring labelled data, training infrastructure, and careful optimisation to fit within the line's real-time inference budget.</w:t>
      </w:r>
    </w:p>
    <w:p w14:paraId="13257131">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6.3 Engineering decision and justification</w:t>
      </w:r>
    </w:p>
    <w:p w14:paraId="37F02A59">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Deep learning (transfer learning on a lightweight backbone, e.g. MobileNetV3/EfficientNet for classification or YOLOv8-nano for detection-with-localisation) is selected as the primary approach. This choice is justified because:</w:t>
      </w:r>
    </w:p>
    <w:p w14:paraId="1CEA9A24">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The &gt;95% accuracy requirement combined with significant appearance/lighting/orientation/batch variation is precisely the regime where hand-crafted traditional features are known to degrade, while learned CNN features remain robust.</w:t>
      </w:r>
    </w:p>
    <w:p w14:paraId="2D77A2BD">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Transfer learning substantially reduces the labelled-data and training-time cost that is normally cited against deep learning, making it practical even with a moderately sized industrial dataset.</w:t>
      </w:r>
    </w:p>
    <w:p w14:paraId="2E963E24">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Lightweight backbones and model-optimisation techniques (pruning, quantisation, ONNX/TensorRT export) allow inference latency to be brought within the production line's real-time budget (Section 2.4), addressing the computational-cost concern.</w:t>
      </w:r>
    </w:p>
    <w:p w14:paraId="6ED63AD5">
      <w:pPr>
        <w:pStyle w:val="16"/>
        <w:numPr>
          <w:ilvl w:val="0"/>
          <w:numId w:val="1"/>
        </w:numPr>
        <w:spacing w:after="9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Deep learning models can be incrementally retrained as new defect types or product variants are introduced, which better matches an evolving manufacturing environment than a rule-based system.</w:t>
      </w:r>
    </w:p>
    <w:p w14:paraId="6A6D52C5">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6.4 Where the traditional approach remains valid</w:t>
      </w:r>
    </w:p>
    <w:p w14:paraId="54C05CF9">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Credit is also given to a traditional-CV-only solution when it is justified for a highly controlled sub-station of the line — for example, fixed camera position, constant illumination, a single product variant, and simple, high-contrast defects (e.g. missing components, gross misalignment). In such a tightly constrained setting, thresholding/template matching can be fast, cheap, and sufficiently accurate, and a full deep-learning pipeline may be unnecessary overhead. A pragmatic real-world design may therefore use a hybrid strategy: a fast traditional-CV pre-filter to reject obviously good/bad items, escalating uncertain or subtle cases to the deep-learning model.</w:t>
      </w:r>
    </w:p>
    <w:p w14:paraId="13B411DE">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 Broader Considerations</w:t>
      </w:r>
    </w:p>
    <w:p w14:paraId="367C51A4">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Sustainability &amp; Environment: </w:t>
      </w:r>
      <w:r>
        <w:rPr>
          <w:rFonts w:hint="default" w:ascii="Times New Roman" w:hAnsi="Times New Roman" w:eastAsia="Calibri" w:cs="Times New Roman"/>
          <w:color w:val="000000" w:themeColor="text1"/>
          <w:sz w:val="24"/>
          <w:szCs w:val="24"/>
          <w14:textFill>
            <w14:solidFill>
              <w14:schemeClr w14:val="tx1"/>
            </w14:solidFill>
          </w14:textFill>
        </w:rPr>
        <w:t>Early, accurate defect detection reduces material waste from downstream scrap/rework and lowers the energy footprint of reprocessing or re-manufacturing defective units.</w:t>
      </w:r>
    </w:p>
    <w:p w14:paraId="6BB30084">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Society: </w:t>
      </w:r>
      <w:r>
        <w:rPr>
          <w:rFonts w:hint="default" w:ascii="Times New Roman" w:hAnsi="Times New Roman" w:eastAsia="Calibri" w:cs="Times New Roman"/>
          <w:color w:val="000000" w:themeColor="text1"/>
          <w:sz w:val="24"/>
          <w:szCs w:val="24"/>
          <w14:textFill>
            <w14:solidFill>
              <w14:schemeClr w14:val="tx1"/>
            </w14:solidFill>
          </w14:textFill>
        </w:rPr>
        <w:t>Automated inspection improves consistency of product quality reaching consumers and can reduce recalls that affect public safety and trust.</w:t>
      </w:r>
    </w:p>
    <w:p w14:paraId="3341608E">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Safety: </w:t>
      </w:r>
      <w:r>
        <w:rPr>
          <w:rFonts w:hint="default" w:ascii="Times New Roman" w:hAnsi="Times New Roman" w:eastAsia="Calibri" w:cs="Times New Roman"/>
          <w:color w:val="000000" w:themeColor="text1"/>
          <w:sz w:val="24"/>
          <w:szCs w:val="24"/>
          <w14:textFill>
            <w14:solidFill>
              <w14:schemeClr w14:val="tx1"/>
            </w14:solidFill>
          </w14:textFill>
        </w:rPr>
        <w:t>For safety-critical components, false negatives (missed defects) can lead to hazardous products reaching the field; the system should be tuned to minimise false negatives, potentially at some cost to false-positive rate, with a human-in-the-loop review for borderline cases.</w:t>
      </w:r>
    </w:p>
    <w:p w14:paraId="6207EA16">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Ethics: </w:t>
      </w:r>
      <w:r>
        <w:rPr>
          <w:rFonts w:hint="default" w:ascii="Times New Roman" w:hAnsi="Times New Roman" w:eastAsia="Calibri" w:cs="Times New Roman"/>
          <w:color w:val="000000" w:themeColor="text1"/>
          <w:sz w:val="24"/>
          <w:szCs w:val="24"/>
          <w14:textFill>
            <w14:solidFill>
              <w14:schemeClr w14:val="tx1"/>
            </w14:solidFill>
          </w14:textFill>
        </w:rPr>
        <w:t>The training dataset must be representative across all product batches and variations to avoid biased performance (e.g. the model performing worse on certain product colours/finishes), which could unfairly affect specific product lines or suppliers.</w:t>
      </w:r>
    </w:p>
    <w:p w14:paraId="7DD9A79F">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Economics: </w:t>
      </w:r>
      <w:r>
        <w:rPr>
          <w:rFonts w:hint="default" w:ascii="Times New Roman" w:hAnsi="Times New Roman" w:eastAsia="Calibri" w:cs="Times New Roman"/>
          <w:color w:val="000000" w:themeColor="text1"/>
          <w:sz w:val="24"/>
          <w:szCs w:val="24"/>
          <w14:textFill>
            <w14:solidFill>
              <w14:schemeClr w14:val="tx1"/>
            </w14:solidFill>
          </w14:textFill>
        </w:rPr>
        <w:t>Deep learning requires upfront investment (data collection, annotation, GPU/edge hardware) but can reduce long-term costs from returns, warranty claims, and manual inspection labour; a cost–benefit/ROI analysis should accompany deployment decisions.</w:t>
      </w:r>
    </w:p>
    <w:p w14:paraId="411D43B2">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Accessibility: </w:t>
      </w:r>
      <w:r>
        <w:rPr>
          <w:rFonts w:hint="default" w:ascii="Times New Roman" w:hAnsi="Times New Roman" w:eastAsia="Calibri" w:cs="Times New Roman"/>
          <w:color w:val="000000" w:themeColor="text1"/>
          <w:sz w:val="24"/>
          <w:szCs w:val="24"/>
          <w14:textFill>
            <w14:solidFill>
              <w14:schemeClr w14:val="tx1"/>
            </w14:solidFill>
          </w14:textFill>
        </w:rPr>
        <w:t>The system's reports and alerts should be presented in a form usable by shop-floor operators who may not have a data-science background (clear pass/fail indicators, defect-location overlays).</w:t>
      </w:r>
    </w:p>
    <w:p w14:paraId="08F3B83B">
      <w:pPr>
        <w:spacing w:after="14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b/>
          <w:bCs/>
          <w:color w:val="000000" w:themeColor="text1"/>
          <w:sz w:val="24"/>
          <w:szCs w:val="24"/>
          <w14:textFill>
            <w14:solidFill>
              <w14:schemeClr w14:val="tx1"/>
            </w14:solidFill>
          </w14:textFill>
        </w:rPr>
        <w:t xml:space="preserve">Professional responsibility: </w:t>
      </w:r>
      <w:r>
        <w:rPr>
          <w:rFonts w:hint="default" w:ascii="Times New Roman" w:hAnsi="Times New Roman" w:eastAsia="Calibri" w:cs="Times New Roman"/>
          <w:color w:val="000000" w:themeColor="text1"/>
          <w:sz w:val="24"/>
          <w:szCs w:val="24"/>
          <w14:textFill>
            <w14:solidFill>
              <w14:schemeClr w14:val="tx1"/>
            </w14:solidFill>
          </w14:textFill>
        </w:rPr>
        <w:t>Engineers must document model limitations (e.g. defect types/conditions where accuracy is lower), maintain audit logs of inspection decisions, and establish a periodic retraining/monitoring process as production conditions drift over time.</w:t>
      </w:r>
    </w:p>
    <w:p w14:paraId="5946624F">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 Conclusion</w:t>
      </w:r>
    </w:p>
    <w:p w14:paraId="571E917F">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This assignment analysed the choice between traditional computer vision and deep learning for an industrial defect detection system required to achieve &gt;95% accuracy while adapting to variation in product appearance, lighting, orientation, and manufacturing batch. A deep-learning pipeline based on transfer learning with a lightweight backbone (e.g. MobileNetV3/EfficientNet or YOLOv8-nano) was selected as the primary solution, since it best satisfies the accuracy and adaptability requirements while remaining deployable in real time through model optimisation. A traditional CV pipeline was designed alongside it as a fast, interpretable baseline and as a viable stand-alone option for narrowly-scoped, highly controlled inspection stations.</w:t>
      </w:r>
    </w:p>
    <w:p w14:paraId="4D91F2F0">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Major findings: deep learning is expected to outperform traditional CV on accuracy and adaptability once trained on a representative dataset, at the cost of additional data-collection, training, and deployment engineering effort. The proposed pipeline satisfies the accuracy requirement (subject to experimental validation — see Section 5) and can meet the real-time constraint through lightweight backbone selection and inference optimisation.</w:t>
      </w:r>
    </w:p>
    <w:p w14:paraId="5A22838E">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Limitations: performance depends heavily on the quality and representativeness of the training dataset; rare or previously unseen defect types may not be reliably detected until the model is retrained; and deep-learning outputs are less directly interpretable than rule-based traditional CV outputs.</w:t>
      </w:r>
    </w:p>
    <w:p w14:paraId="70CEF69A">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Possible improvements: active learning to prioritise labelling of the most informative/uncertain samples, semi-supervised or self-supervised pretraining to reduce labelling cost further, model quantisation/pruning for faster edge inference, and continuous monitoring with periodic retraining as the production line evolves.</w:t>
      </w:r>
    </w:p>
    <w:p w14:paraId="522DFBBE">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9. Student Reflection</w:t>
      </w:r>
    </w:p>
    <w:p w14:paraId="73F0B7FB">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9.1 What did you learn beyond what was directly taught in class?</w:t>
      </w:r>
    </w:p>
    <w:p w14:paraId="54195732">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[To be completed by the student.] Example prompts to reflect on: how the theoretical trade-off between hand-crafted and learned features plays out when a concrete accuracy target and real-time constraint are imposed together; how transfer learning changes the practical calculus of 'deep learning needs huge data'; how a production-engineering constraint (cycle time) directly shapes model-architecture choice, not just accuracy.</w:t>
      </w:r>
    </w:p>
    <w:p w14:paraId="356CA4AE">
      <w:pPr>
        <w:pStyle w:val="3"/>
        <w:spacing w:before="240" w:after="12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9.2 With additional time/resources, what would you improve and why?</w:t>
      </w:r>
    </w:p>
    <w:p w14:paraId="282BFA5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[To be completed by the student.] Example prompts to reflect on: collecting a larger and more diverse in-house defect dataset instead of relying on a public benchmark; experimenting with model compression (quantisation/pruning) to lower edge-deployment latency further; building an active-learning loop with operator feedback; adding explainability (e.g. Grad-CAM) so quality engineers can trust and audit model decisions.</w:t>
      </w:r>
    </w:p>
    <w:p w14:paraId="2D7C66AE">
      <w:pPr>
        <w:pStyle w:val="2"/>
        <w:spacing w:before="320" w:after="160" w:line="360" w:lineRule="auto"/>
        <w:rPr>
          <w:rFonts w:hint="default" w:ascii="Times New Roman" w:hAnsi="Times New Roman" w:cs="Times New Roman"/>
          <w:color w:val="000000" w:themeColor="text1"/>
          <w:sz w:val="24"/>
          <w:szCs w:val="24"/>
          <w14:textFill>
            <w14:solidFill>
              <w14:schemeClr w14:val="tx1"/>
            </w14:solidFill>
          </w14:textFill>
        </w:rPr>
      </w:pPr>
    </w:p>
    <w:p w14:paraId="21588240">
      <w:pPr>
        <w:pStyle w:val="2"/>
        <w:spacing w:before="320" w:after="160"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 References</w:t>
      </w:r>
    </w:p>
    <w:p w14:paraId="2F29189C">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[1] R. Szeliski, Computer Vision: Algorithms and Applications, 2nd ed. Springer, 2022.</w:t>
      </w:r>
    </w:p>
    <w:p w14:paraId="21FCFFC8">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[2] R. C. Gonzalez and R. E. Woods, Digital Image Processing, 4th ed. Pearson, 2018.</w:t>
      </w:r>
    </w:p>
    <w:p w14:paraId="369D8E44">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[3] K. He, X. Zhang, S. Ren, and J. Sun, "Deep Residual Learning for Image Recognition," in Proc. IEEE CVPR, 2016.</w:t>
      </w:r>
    </w:p>
    <w:p w14:paraId="2FD654D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[4] A. Howard et al., "Searching for MobileNetV3," in Proc. IEEE/CVF ICCV, 2019.</w:t>
      </w:r>
    </w:p>
    <w:p w14:paraId="01C4818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[5] M. Tan and Q. Le, "EfficientNet: Rethinking Model Scaling for Convolutional Neural Networks," in Proc. ICML, 2019.</w:t>
      </w:r>
    </w:p>
    <w:p w14:paraId="5D6DEF99">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[6] J. Redmon and A. Farhadi, "YOLOv3/YOLO family — Ultralytics YOLOv8 Documentation," Ultralytics, 2023. [Online]. Available: https://docs.ultralytics.com</w:t>
      </w:r>
    </w:p>
    <w:p w14:paraId="20667618">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[7] S. Ren, K. He, R. Girshick, and J. Sun, "Faster R-CNN: Towards Real-Time Object Detection with Region Proposal Networks," in Proc. NeurIPS, 2015.</w:t>
      </w:r>
    </w:p>
    <w:p w14:paraId="5B8FDC03">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[8] P. Bergmann et al., "MVTec AD — A Comprehensive Real-World Dataset for Unsupervised Anomaly Detection," in Proc. IEEE/CVF CVPR, 2019.</w:t>
      </w:r>
    </w:p>
    <w:p w14:paraId="2E07D047">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[9] OpenCV Team, "OpenCV Documentation," 2024. [Online]. Available: https://docs.opencv.org</w:t>
      </w:r>
    </w:p>
    <w:p w14:paraId="243116D6">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[10] PyTorch Team, "PyTorch Documentation," 2024. [Online]. Available: https://pytorch.org/docs</w:t>
      </w:r>
    </w:p>
    <w:p w14:paraId="62A9A5B7">
      <w:pPr>
        <w:spacing w:after="160"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Note: Update this list with the specific dataset, papers, software versions, and any AI-assisted tools actually used in the final implementation, in the citation format prescribed by the department.</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00" w:hanging="260"/>
      </w:pPr>
    </w:lvl>
    <w:lvl w:ilvl="1" w:tentative="0">
      <w:start w:val="1"/>
      <w:numFmt w:val="bullet"/>
      <w:lvlText w:val="◦"/>
      <w:lvlJc w:val="left"/>
      <w:pPr>
        <w:ind w:left="80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547047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1212</Words>
  <Characters>7740</Characters>
  <TotalTime>9</TotalTime>
  <ScaleCrop>false</ScaleCrop>
  <LinksUpToDate>false</LinksUpToDate>
  <CharactersWithSpaces>9030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2026-09-03T09:27:00Z</dcterms:created>
  <dc:creator>Un-named</dc:creator>
  <cp:lastModifiedBy>SAIBHARGAV P</cp:lastModifiedBy>
  <dcterms:modified xsi:type="dcterms:W3CDTF">2026-09-03T09:38:57Z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1033-12.1.0.26880</vt:lpwstr>
  </property>
  <property fmtid="{D5CDD505-2E9C-101B-9397-08002B2CF9AE}" pid="4" name="ICV">
    <vt:lpwstr>66BBC05BB51E4E668DEBB04CDF5FDE04_13</vt:lpwstr>
  </property>
</Properties>
</file>