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color w:val="1F4E79"/>
          <w:sz w:val="36"/>
          <w:szCs w:val="36"/>
        </w:rPr>
        <w:t xml:space="preserve">GTT Order Audit</w:t>
      </w:r>
    </w:p>
    <w:p>
      <w:pPr>
        <w:spacing w:after="240"/>
        <w:jc w:val="center"/>
      </w:pPr>
      <w:r>
        <w:rPr>
          <w:i/>
          <w:iCs/>
          <w:color w:val="595959"/>
          <w:sz w:val="24"/>
          <w:szCs w:val="24"/>
        </w:rPr>
        <w:t xml:space="preserve">Date: 2026-04-01 | Generated by: KiteMCP Agents</w:t>
      </w:r>
    </w:p>
    <w:p>
      <w:pPr>
        <w:pStyle w:val="Heading2"/>
      </w:pPr>
      <w:r>
        <w:t xml:space="preserve">GTT Coverage</w:t>
      </w:r>
    </w:p>
    <w:p>
      <w:r>
        <w:t xml:space="preserve">Total Active GTTs: 0</w:t>
      </w:r>
    </w:p>
    <w:p>
      <w:r>
        <w:t xml:space="preserve">Holdings Protected: 0</w:t>
      </w:r>
    </w:p>
    <w:p>
      <w:r>
        <w:rPr>
          <w:b/>
          <w:bCs/>
          <w:color w:val="FF0000"/>
        </w:rPr>
        <w:t xml:space="preserve">Unprotected Holdings:</w:t>
      </w:r>
    </w:p>
    <w:p>
      <w:r>
        <w:t xml:space="preserve">All holdings have protective stop-losses!</w:t>
      </w:r>
    </w:p>
    <w:p>
      <w:pPr>
        <w:pStyle w:val="Heading2"/>
      </w:pPr>
      <w:r>
        <w:t xml:space="preserve">Active GTT Orders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  <w:gridCol w:w="3360"/>
      </w:tblGrid>
      <w:tr>
        <w:trPr>
          <w:tblHeader/>
        </w:trP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  <w:rFonts w:ascii="Arial" w:cs="Arial" w:eastAsia="Arial" w:hAnsi="Arial"/>
              </w:rPr>
              <w:t xml:space="preserve">Symbol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  <w:rFonts w:ascii="Arial" w:cs="Arial" w:eastAsia="Arial" w:hAnsi="Arial"/>
              </w:rPr>
              <w:t xml:space="preserve">Type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  <w:rFonts w:ascii="Arial" w:cs="Arial" w:eastAsia="Arial" w:hAnsi="Arial"/>
              </w:rPr>
              <w:t xml:space="preserve">Trigger ₹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  <w:rFonts w:ascii="Arial" w:cs="Arial" w:eastAsia="Arial" w:hAnsi="Arial"/>
              </w:rPr>
              <w:t xml:space="preserve">CMP ₹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  <w:rFonts w:ascii="Arial" w:cs="Arial" w:eastAsia="Arial" w:hAnsi="Arial"/>
              </w:rPr>
              <w:t xml:space="preserve">Status/Note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rPr>
      <w:sz w:val="22"/>
      <w:szCs w:val="22"/>
      <w:rFonts w:ascii="Arial" w:cs="Arial" w:eastAsia="Arial" w:hAnsi="Arial"/>
    </w:rPr>
  </w:style>
  <w:style w:type="paragraph" w:styleId="Heading1">
    <w:name w:val="Heading 1"/>
    <w:basedOn w:val="Normal"/>
    <w:pPr>
      <w:spacing w:before="240" w:after="120"/>
    </w:pPr>
    <w:rPr>
      <w:b/>
      <w:bCs/>
      <w:color w:val="1F4E79"/>
      <w:sz w:val="32"/>
      <w:szCs w:val="32"/>
      <w:rFonts w:ascii="Arial" w:cs="Arial" w:eastAsia="Arial" w:hAnsi="Arial"/>
    </w:rPr>
  </w:style>
  <w:style w:type="paragraph" w:styleId="Heading2">
    <w:name w:val="Heading 2"/>
    <w:basedOn w:val="Normal"/>
    <w:pPr>
      <w:spacing w:before="240" w:after="120"/>
    </w:pPr>
    <w:rPr>
      <w:b/>
      <w:bCs/>
      <w:color w:val="2E74B5"/>
      <w:sz w:val="28"/>
      <w:szCs w:val="28"/>
      <w:rFonts w:ascii="Arial" w:cs="Arial" w:eastAsia="Arial" w:hAnsi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KiteMCP Intelligence</dc:creator>
  <dc:description>Individual AI Scan Report</dc:description>
  <cp:lastModifiedBy>Un-named</cp:lastModifiedBy>
  <cp:revision>1</cp:revision>
  <dcterms:created xsi:type="dcterms:W3CDTF">2026-04-01T03:21:48.539Z</dcterms:created>
  <dcterms:modified xsi:type="dcterms:W3CDTF">2026-04-01T03:21:48.539Z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