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News-Driven Opportunities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Date: 2026-04-01 | Generated by: KiteMCP Agents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Market Mood: N/A</w:t>
      </w:r>
    </w:p>
    <w:p>
      <w:pPr>
        <w:pStyle w:val="Heading2"/>
      </w:pPr>
      <w:r>
        <w:t xml:space="preserve">Impactful News Events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Arial" w:cs="Arial" w:eastAsia="Arial" w:hAnsi="Arial"/>
    </w:rPr>
  </w:style>
  <w:style w:type="paragraph" w:styleId="Heading1">
    <w:name w:val="Heading 1"/>
    <w:basedOn w:val="Normal"/>
    <w:pPr>
      <w:spacing w:before="240" w:after="120"/>
    </w:pPr>
    <w:rPr>
      <w:b/>
      <w:bCs/>
      <w:color w:val="1F4E79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20"/>
    </w:pPr>
    <w:rPr>
      <w:b/>
      <w:bCs/>
      <w:color w:val="2E74B5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KiteMCP Intelligence</dc:creator>
  <dc:description>Individual AI Scan Report</dc:description>
  <cp:lastModifiedBy>Un-named</cp:lastModifiedBy>
  <cp:revision>1</cp:revision>
  <dcterms:created xsi:type="dcterms:W3CDTF">2026-04-01T03:21:48.628Z</dcterms:created>
  <dcterms:modified xsi:type="dcterms:W3CDTF">2026-04-01T03:21:48.628Z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