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1F4E79"/>
          <w:sz w:val="36"/>
          <w:szCs w:val="36"/>
        </w:rPr>
        <w:t xml:space="preserve">Portfolio Morning Scan</w:t>
      </w:r>
    </w:p>
    <w:p>
      <w:pPr>
        <w:spacing w:after="240"/>
        <w:jc w:val="center"/>
      </w:pPr>
      <w:r>
        <w:rPr>
          <w:i/>
          <w:iCs/>
          <w:color w:val="595959"/>
          <w:sz w:val="24"/>
          <w:szCs w:val="24"/>
        </w:rPr>
        <w:t xml:space="preserve">Date: 2026-04-01 | Generated by: KiteMCP Agents</w:t>
      </w:r>
    </w:p>
    <w:p>
      <w:pPr>
        <w:pStyle w:val="Heading2"/>
      </w:pPr>
      <w:r>
        <w:t xml:space="preserve">Summary</w:t>
      </w:r>
    </w:p>
    <w:p>
      <w:r>
        <w:t xml:space="preserve">Total Available Margin: ₹N/A</w:t>
      </w:r>
    </w:p>
    <w:p>
      <w:r>
        <w:t xml:space="preserve">Total Portfolio Value: ₹0</w:t>
      </w:r>
    </w:p>
    <w:p>
      <w:r>
        <w:t xml:space="preserve">Unrealized P&amp;L: ₹-64,802</w:t>
      </w:r>
    </w:p>
    <w:p>
      <w:r>
        <w:t xml:space="preserve">Day P&amp;L: ₹0</w:t>
      </w:r>
    </w:p>
    <w:p>
      <w:pPr>
        <w:pStyle w:val="Heading2"/>
      </w:pPr>
      <w:r>
        <w:t xml:space="preserve">Holdings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500"/>
        <w:gridCol w:w="1500"/>
        <w:gridCol w:w="1500"/>
        <w:gridCol w:w="1500"/>
      </w:tblGrid>
      <w:tr>
        <w:trPr>
          <w:tblHeader/>
        </w:trP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Symbol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Qty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Avg ₹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CMP ₹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Total ₹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P&amp;L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ASHOKA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435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112.72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-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NaN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color w:val="FF0000"/>
                <w:sz w:val="20"/>
                <w:szCs w:val="20"/>
                <w:rFonts w:ascii="Arial" w:cs="Arial" w:eastAsia="Arial" w:hAnsi="Arial"/>
              </w:rPr>
              <w:t xml:space="preserve">₹-5667 (-11.6%)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CAMS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228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707.89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-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NaN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color w:val="FF0000"/>
                <w:sz w:val="20"/>
                <w:szCs w:val="20"/>
                <w:rFonts w:ascii="Arial" w:cs="Arial" w:eastAsia="Arial" w:hAnsi="Arial"/>
              </w:rPr>
              <w:t xml:space="preserve">₹-20006 (-11.6%)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ENERGY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2571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36.08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-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NaN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color w:val="FF0000"/>
                <w:sz w:val="20"/>
                <w:szCs w:val="20"/>
                <w:rFonts w:ascii="Arial" w:cs="Arial" w:eastAsia="Arial" w:hAnsi="Arial"/>
              </w:rPr>
              <w:t xml:space="preserve">₹-2781 (-3.0%)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JINDALPHOT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85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1320.71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-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NaN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color w:val="FF0000"/>
                <w:sz w:val="20"/>
                <w:szCs w:val="20"/>
                <w:rFonts w:ascii="Arial" w:cs="Arial" w:eastAsia="Arial" w:hAnsi="Arial"/>
              </w:rPr>
              <w:t xml:space="preserve">₹-28816 (-25.2%)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NXST-RR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650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135.19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-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NaN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color w:val="00b050"/>
                <w:sz w:val="20"/>
                <w:szCs w:val="20"/>
                <w:rFonts w:ascii="Arial" w:cs="Arial" w:eastAsia="Arial" w:hAnsi="Arial"/>
              </w:rPr>
              <w:t xml:space="preserve">₹10143 (11.6%)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TMCV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110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367.13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-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NaN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color w:val="00b050"/>
                <w:sz w:val="20"/>
                <w:szCs w:val="20"/>
                <w:rFonts w:ascii="Arial" w:cs="Arial" w:eastAsia="Arial" w:hAnsi="Arial"/>
              </w:rPr>
              <w:t xml:space="preserve">₹4427 (8.0%)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VHL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35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3608.39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-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NaN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b/>
                <w:bCs/>
                <w:color w:val="FF0000"/>
                <w:sz w:val="20"/>
                <w:szCs w:val="20"/>
                <w:rFonts w:ascii="Arial" w:cs="Arial" w:eastAsia="Arial" w:hAnsi="Arial"/>
              </w:rPr>
              <w:t xml:space="preserve">₹-22102 (-17.5%)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sz w:val="22"/>
      <w:szCs w:val="22"/>
      <w:rFonts w:ascii="Arial" w:cs="Arial" w:eastAsia="Arial" w:hAnsi="Arial"/>
    </w:rPr>
  </w:style>
  <w:style w:type="paragraph" w:styleId="Heading1">
    <w:name w:val="Heading 1"/>
    <w:basedOn w:val="Normal"/>
    <w:pPr>
      <w:spacing w:before="240" w:after="120"/>
    </w:pPr>
    <w:rPr>
      <w:b/>
      <w:bCs/>
      <w:color w:val="1F4E79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pPr>
      <w:spacing w:before="240" w:after="120"/>
    </w:pPr>
    <w:rPr>
      <w:b/>
      <w:bCs/>
      <w:color w:val="2E74B5"/>
      <w:sz w:val="28"/>
      <w:szCs w:val="28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KiteMCP Intelligence</dc:creator>
  <dc:description>Individual AI Scan Report</dc:description>
  <cp:lastModifiedBy>Un-named</cp:lastModifiedBy>
  <cp:revision>1</cp:revision>
  <dcterms:created xsi:type="dcterms:W3CDTF">2026-04-01T03:21:48.402Z</dcterms:created>
  <dcterms:modified xsi:type="dcterms:W3CDTF">2026-04-01T03:21:48.402Z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