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1F4E79"/>
          <w:sz w:val="36"/>
          <w:szCs w:val="36"/>
        </w:rPr>
        <w:t xml:space="preserve">Intrinsic Value Screen</w:t>
      </w:r>
    </w:p>
    <w:p>
      <w:pPr>
        <w:spacing w:after="240"/>
        <w:jc w:val="center"/>
      </w:pPr>
      <w:r>
        <w:rPr>
          <w:i/>
          <w:iCs/>
          <w:color w:val="595959"/>
          <w:sz w:val="24"/>
          <w:szCs w:val="24"/>
        </w:rPr>
        <w:t xml:space="preserve">Date: 2026-04-01 | Generated by: KiteMCP Agents</w:t>
      </w:r>
    </w:p>
    <w:p>
      <w:r>
        <w:t xml:space="preserve">Methodology: Multi-model (Graham Number, DCF, PE Mean Reversion)</w:t>
      </w:r>
    </w:p>
    <w:p>
      <w:pPr>
        <w:pStyle w:val="Heading2"/>
      </w:pPr>
      <w:r>
        <w:t xml:space="preserve">Deep Discount Stocks (MoS &gt; 25%)</w:t>
      </w:r>
    </w:p>
    <w:p>
      <w:pPr>
        <w:spacing w:after="150"/>
      </w:pPr>
      <w:r>
        <w:rPr>
          <w:b/>
          <w:bCs/>
        </w:rPr>
        <w:t xml:space="preserve">ASHOKA | CMP: ₹102.13 | Intrinsic Value: ₹undefined</w:t>
      </w:r>
      <w:r>
        <w:br/>
        <w:t xml:space="preserve">Margin of Safety: 33.99% | Signal: undefined</w:t>
      </w:r>
    </w:p>
    <w:p>
      <w:pPr>
        <w:pStyle w:val="Heading2"/>
      </w:pPr>
      <w:r>
        <w:t xml:space="preserve">Overvalued Stocks (MoS &lt; 0%)</w:t>
      </w:r>
    </w:p>
    <w:p>
      <w:pPr>
        <w:spacing w:after="150"/>
      </w:pPr>
      <w:r>
        <w:rPr>
          <w:b/>
          <w:bCs/>
        </w:rPr>
        <w:t xml:space="preserve">ENERGY | CMP: ₹35 | Intrinsic Value: ₹undefined</w:t>
      </w:r>
      <w:r>
        <w:br/>
        <w:t xml:space="preserve">Margin of Safety: -0.06% | Signal: undefined</w:t>
      </w:r>
    </w:p>
    <w:p>
      <w:pPr>
        <w:spacing w:after="150"/>
      </w:pPr>
      <w:r>
        <w:rPr>
          <w:b/>
          <w:bCs/>
        </w:rPr>
        <w:t xml:space="preserve">JINDALPHOT | CMP: ₹981.7 | Intrinsic Value: ₹undefined</w:t>
      </w:r>
      <w:r>
        <w:br/>
        <w:t xml:space="preserve">Margin of Safety: -400.87% | Signal: undefined</w:t>
      </w:r>
    </w:p>
    <w:p>
      <w:pPr>
        <w:spacing w:after="150"/>
      </w:pPr>
      <w:r>
        <w:rPr>
          <w:b/>
          <w:bCs/>
        </w:rPr>
        <w:t xml:space="preserve">VHL | CMP: ₹2976.9 | Intrinsic Value: ₹undefined</w:t>
      </w:r>
      <w:r>
        <w:br/>
        <w:t xml:space="preserve">Margin of Safety: -1.01% | Signal: undefined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sz w:val="22"/>
      <w:szCs w:val="22"/>
      <w:rFonts w:ascii="Arial" w:cs="Arial" w:eastAsia="Arial" w:hAnsi="Arial"/>
    </w:rPr>
  </w:style>
  <w:style w:type="paragraph" w:styleId="Heading1">
    <w:name w:val="Heading 1"/>
    <w:basedOn w:val="Normal"/>
    <w:pPr>
      <w:spacing w:before="240" w:after="120"/>
    </w:pPr>
    <w:rPr>
      <w:b/>
      <w:bCs/>
      <w:color w:val="1F4E79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pPr>
      <w:spacing w:before="240" w:after="120"/>
    </w:pPr>
    <w:rPr>
      <w:b/>
      <w:bCs/>
      <w:color w:val="2E74B5"/>
      <w:sz w:val="28"/>
      <w:szCs w:val="28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KiteMCP Intelligence</dc:creator>
  <dc:description>Individual AI Scan Report</dc:description>
  <cp:lastModifiedBy>Un-named</cp:lastModifiedBy>
  <cp:revision>1</cp:revision>
  <dcterms:created xsi:type="dcterms:W3CDTF">2026-04-01T03:21:48.509Z</dcterms:created>
  <dcterms:modified xsi:type="dcterms:W3CDTF">2026-04-01T03:21:48.509Z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