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80"/>
        <w:jc w:val="left"/>
      </w:pPr>
      <w:r>
        <w:rPr>
          <w:rFonts w:ascii="Times New Roman" w:hAnsi="Times New Roman"/>
          <w:b/>
          <w:color w:val="000000"/>
          <w:sz w:val="32"/>
        </w:rPr>
        <w:t>PE6201 A2 The Tool Layer</w:t>
      </w:r>
    </w:p>
    <w:p>
      <w:pPr>
        <w:keepNext/>
        <w:spacing w:after="140"/>
      </w:pPr>
      <w:r>
        <w:rPr>
          <w:rFonts w:ascii="Times New Roman" w:hAnsi="Times New Roman"/>
          <w:b/>
          <w:color w:val="000000"/>
          <w:sz w:val="26"/>
        </w:rPr>
        <w:t>2 The tool layer</w:t>
      </w:r>
    </w:p>
    <w:p>
      <w:pPr>
        <w:pStyle w:val="BodyText"/>
        <w:spacing w:before="0" w:after="120" w:line="276" w:lineRule="auto"/>
      </w:pPr>
      <w:r>
        <w:rPr>
          <w:rFonts w:ascii="Times New Roman" w:hAnsi="Times New Roman"/>
          <w:b w:val="0"/>
          <w:color w:val="000000"/>
          <w:sz w:val="22"/>
        </w:rPr>
        <w:t>We used eight tools because the job is narrow: give a first response to one claim. Six perform the required claim, policy, coverage, pre-authorisation, hospital and simulated letter checks. We added duplicate and document checks because the routing table requires an escalation for a decided claim and a named request for a missing attachment. We did not add generic search or narrative-interpretation tools. All routing facts are in named fixtures and the narrative is untrusted; broad tools would overlap ID lookups and add prompt cost. This was a design choice, not a removal experiment.</w:t>
      </w:r>
    </w:p>
    <w:p>
      <w:pPr>
        <w:keepNext/>
        <w:spacing w:before="100" w:after="60"/>
      </w:pPr>
      <w:r>
        <w:rPr>
          <w:rFonts w:ascii="Times New Roman" w:hAnsi="Times New Roman"/>
          <w:b/>
          <w:color w:val="000000"/>
          <w:sz w:val="20"/>
        </w:rPr>
        <w:t>Table 1  Tool set and boundaries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376"/>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center"/>
            </w:pPr>
            <w:r>
              <w:rPr>
                <w:rFonts w:ascii="Times New Roman" w:hAnsi="Times New Roman"/>
                <w:b/>
                <w:color w:val="FFFFFF"/>
                <w:sz w:val="18"/>
              </w:rPr>
              <w:t>Tool</w:t>
            </w:r>
          </w:p>
        </w:tc>
        <w:tc>
          <w:tcPr>
            <w:tcW w:type="dxa" w:w="374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center"/>
            </w:pPr>
            <w:r>
              <w:rPr>
                <w:rFonts w:ascii="Times New Roman" w:hAnsi="Times New Roman"/>
                <w:b/>
                <w:color w:val="FFFFFF"/>
                <w:sz w:val="18"/>
              </w:rPr>
              <w:t>Why it is needed</w:t>
            </w:r>
          </w:p>
        </w:tc>
        <w:tc>
          <w:tcPr>
            <w:tcW w:type="dxa" w:w="362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center"/>
            </w:pPr>
            <w:r>
              <w:rPr>
                <w:rFonts w:ascii="Times New Roman" w:hAnsi="Times New Roman"/>
                <w:b/>
                <w:color w:val="FFFFFF"/>
                <w:sz w:val="18"/>
              </w:rPr>
              <w:t>Boundary</w:t>
            </w:r>
          </w:p>
        </w:tc>
      </w:tr>
      <w:tr>
        <w:trPr>
          <w:cantSplit/>
        </w:trP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8"/>
              </w:rPr>
              <w:t>get_claim</w:t>
            </w:r>
          </w:p>
        </w:tc>
        <w:tc>
          <w:tcPr>
            <w:tcW w:type="dxa" w:w="37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8"/>
              </w:rPr>
              <w:t>Starts the assessment and supplies the identifiers used later.</w:t>
            </w:r>
          </w:p>
        </w:tc>
        <w:tc>
          <w:tcPr>
            <w:tcW w:type="dxa" w:w="36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8"/>
              </w:rPr>
              <w:t>Fetches one claim; it does not decide eligibility.</w:t>
            </w:r>
          </w:p>
        </w:tc>
      </w:tr>
      <w:tr>
        <w:trPr>
          <w:cantSplit/>
        </w:trPr>
        <w:tc>
          <w:tcPr>
            <w:tcW w:type="dxa" w:w="2376"/>
            <w:shd w:fill="F3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8"/>
              </w:rPr>
              <w:t>lookup_policy</w:t>
            </w:r>
          </w:p>
        </w:tc>
        <w:tc>
          <w:tcPr>
            <w:tcW w:type="dxa" w:w="3744"/>
            <w:shd w:fill="F3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8"/>
              </w:rPr>
              <w:t>Checks status, dates and remaining annual cover.</w:t>
            </w:r>
          </w:p>
        </w:tc>
        <w:tc>
          <w:tcPr>
            <w:tcW w:type="dxa" w:w="3628"/>
            <w:shd w:fill="F3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8"/>
              </w:rPr>
              <w:t>Claim-level eligibility, unlike line-level coverage.</w:t>
            </w:r>
          </w:p>
        </w:tc>
      </w:tr>
      <w:tr>
        <w:trPr>
          <w:cantSplit/>
        </w:trP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8"/>
              </w:rPr>
              <w:t>check_coverage</w:t>
            </w:r>
          </w:p>
        </w:tc>
        <w:tc>
          <w:tcPr>
            <w:tcW w:type="dxa" w:w="37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8"/>
              </w:rPr>
              <w:t>Resolves one procedure and whether it needs pre-authorisation.</w:t>
            </w:r>
          </w:p>
        </w:tc>
        <w:tc>
          <w:tcPr>
            <w:tcW w:type="dxa" w:w="36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8"/>
              </w:rPr>
              <w:t>One procedure rule, not a whole-policy check.</w:t>
            </w:r>
          </w:p>
        </w:tc>
      </w:tr>
      <w:tr>
        <w:trPr>
          <w:cantSplit/>
        </w:trPr>
        <w:tc>
          <w:tcPr>
            <w:tcW w:type="dxa" w:w="2376"/>
            <w:shd w:fill="F3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8"/>
              </w:rPr>
              <w:t>get_preauthorisation</w:t>
            </w:r>
          </w:p>
        </w:tc>
        <w:tc>
          <w:tcPr>
            <w:tcW w:type="dxa" w:w="3744"/>
            <w:shd w:fill="F3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8"/>
              </w:rPr>
              <w:t>Tests whether the required authorisation is valid on the service date.</w:t>
            </w:r>
          </w:p>
        </w:tc>
        <w:tc>
          <w:tcPr>
            <w:tcW w:type="dxa" w:w="3628"/>
            <w:shd w:fill="F3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8"/>
              </w:rPr>
              <w:t>Called only after coverage identifies the need.</w:t>
            </w:r>
          </w:p>
        </w:tc>
      </w:tr>
      <w:tr>
        <w:trPr>
          <w:cantSplit/>
        </w:trP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8"/>
              </w:rPr>
              <w:t>lookup_hospital</w:t>
            </w:r>
          </w:p>
        </w:tc>
        <w:tc>
          <w:tcPr>
            <w:tcW w:type="dxa" w:w="37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8"/>
              </w:rPr>
              <w:t>Records the hospital panel-status check.</w:t>
            </w:r>
          </w:p>
        </w:tc>
        <w:tc>
          <w:tcPr>
            <w:tcW w:type="dxa" w:w="36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8"/>
              </w:rPr>
              <w:t>Returns hospital facts only.</w:t>
            </w:r>
          </w:p>
        </w:tc>
      </w:tr>
      <w:tr>
        <w:trPr>
          <w:cantSplit/>
        </w:trPr>
        <w:tc>
          <w:tcPr>
            <w:tcW w:type="dxa" w:w="2376"/>
            <w:shd w:fill="F3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8"/>
              </w:rPr>
              <w:t>check_duplicate_claim</w:t>
            </w:r>
          </w:p>
        </w:tc>
        <w:tc>
          <w:tcPr>
            <w:tcW w:type="dxa" w:w="3744"/>
            <w:shd w:fill="F3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8"/>
              </w:rPr>
              <w:t>Supports the fixed duplicate-claim escalation.</w:t>
            </w:r>
          </w:p>
        </w:tc>
        <w:tc>
          <w:tcPr>
            <w:tcW w:type="dxa" w:w="3628"/>
            <w:shd w:fill="F3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8"/>
              </w:rPr>
              <w:t>Compares a claim episode with decided-claim history.</w:t>
            </w:r>
          </w:p>
        </w:tc>
      </w:tr>
      <w:tr>
        <w:trPr>
          <w:cantSplit/>
        </w:trPr>
        <w:tc>
          <w:tcPr>
            <w:tcW w:type="dxa" w:w="2376"/>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8"/>
              </w:rPr>
              <w:t>check_required_documents</w:t>
            </w:r>
          </w:p>
        </w:tc>
        <w:tc>
          <w:tcPr>
            <w:tcW w:type="dxa" w:w="374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8"/>
              </w:rPr>
              <w:t>Names a missing attachment in a request.</w:t>
            </w:r>
          </w:p>
        </w:tc>
        <w:tc>
          <w:tcPr>
            <w:tcW w:type="dxa" w:w="3628"/>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8"/>
              </w:rPr>
              <w:t>Compares attachments with document rules.</w:t>
            </w:r>
          </w:p>
        </w:tc>
      </w:tr>
      <w:tr>
        <w:trPr>
          <w:cantSplit/>
        </w:trPr>
        <w:tc>
          <w:tcPr>
            <w:tcW w:type="dxa" w:w="2376"/>
            <w:shd w:fill="F3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8"/>
              </w:rPr>
              <w:t>issue_decision_letter</w:t>
            </w:r>
          </w:p>
        </w:tc>
        <w:tc>
          <w:tcPr>
            <w:tcW w:type="dxa" w:w="3744"/>
            <w:shd w:fill="F3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8"/>
              </w:rPr>
              <w:t>Records the gated business outcome locally.</w:t>
            </w:r>
          </w:p>
        </w:tc>
        <w:tc>
          <w:tcPr>
            <w:tcW w:type="dxa" w:w="3628"/>
            <w:shd w:fill="F3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8"/>
              </w:rPr>
              <w:t>The only write; it does not generate or send a letter.</w:t>
            </w:r>
          </w:p>
        </w:tc>
      </w:tr>
    </w:tbl>
    <w:p>
      <w:pPr>
        <w:pStyle w:val="BodyText"/>
        <w:spacing w:before="140" w:after="120" w:line="276" w:lineRule="auto"/>
      </w:pPr>
      <w:r>
        <w:rPr>
          <w:rFonts w:ascii="Times New Roman" w:hAnsi="Times New Roman"/>
          <w:b w:val="0"/>
          <w:color w:val="000000"/>
          <w:sz w:val="22"/>
        </w:rPr>
        <w:t>Every tool has a six-field contract: signature, unique question, valid inputs, bounded return, failure conditions and irreversibility. lookup_policy is claim-level; check_coverage is line-level. check_required_documents handles attachments, not authorisation. Three constraints prevent common errors: ID patterns reject bad identifiers, additionalProperties=false rejects invented arguments, and the write tool has no model-controlled confirmation field. An unconfirmed decision cannot be recorded.</w:t>
      </w:r>
    </w:p>
    <w:p>
      <w:pPr>
        <w:pStyle w:val="BodyText"/>
        <w:spacing w:before="0" w:after="120" w:line="276" w:lineRule="auto"/>
      </w:pPr>
      <w:r>
        <w:rPr>
          <w:rFonts w:ascii="Times New Roman" w:hAnsi="Times New Roman"/>
          <w:b w:val="0"/>
          <w:color w:val="000000"/>
          <w:sz w:val="22"/>
        </w:rPr>
        <w:t>For the descriptor experiment, we changed only check_coverage. V1 returned code, description, requires_preauth, excluded and exclusion_rule. V2 returned code, coverage_status, preauthorisation_required and exclusion_rule, and said that an excluded line is not a claim-level escalation. We held the low-cost model, temperature and 40-case schedule constant. Thirty ordinary cases ran once and ten negative cases ran three times, so each version had 60 trials. Decision accuracy increased from 48.3% to 61.7% and full-record accuracy from 43.3% to 55.0%. Both versions passed all five interface checks. V2 was not cheaper: its tool-return token proxy was 58.45 tokens per call, compared with 58.23 for V1. We report an accuracy gain, not a token saving.</w:t>
      </w:r>
    </w:p>
    <w:p>
      <w:r>
        <w:br w:type="page"/>
      </w:r>
    </w:p>
    <w:p>
      <w:pPr>
        <w:keepNext/>
        <w:spacing w:before="100" w:after="60"/>
      </w:pPr>
      <w:r>
        <w:rPr>
          <w:rFonts w:ascii="Times New Roman" w:hAnsi="Times New Roman"/>
          <w:b/>
          <w:color w:val="000000"/>
          <w:sz w:val="20"/>
        </w:rPr>
        <w:t>Table 2  Descriptor rewrite on the same live model</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504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center"/>
            </w:pPr>
            <w:r>
              <w:rPr>
                <w:rFonts w:ascii="Times New Roman" w:hAnsi="Times New Roman"/>
                <w:b/>
                <w:color w:val="FFFFFF"/>
                <w:sz w:val="19"/>
              </w:rPr>
              <w:t>Measure</w:t>
            </w:r>
          </w:p>
        </w:tc>
        <w:tc>
          <w:tcPr>
            <w:tcW w:type="dxa" w:w="230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center"/>
            </w:pPr>
            <w:r>
              <w:rPr>
                <w:rFonts w:ascii="Times New Roman" w:hAnsi="Times New Roman"/>
                <w:b/>
                <w:color w:val="FFFFFF"/>
                <w:sz w:val="19"/>
              </w:rPr>
              <w:t>V1</w:t>
            </w:r>
          </w:p>
        </w:tc>
        <w:tc>
          <w:tcPr>
            <w:tcW w:type="dxa" w:w="240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center"/>
            </w:pPr>
            <w:r>
              <w:rPr>
                <w:rFonts w:ascii="Times New Roman" w:hAnsi="Times New Roman"/>
                <w:b/>
                <w:color w:val="FFFFFF"/>
                <w:sz w:val="19"/>
              </w:rPr>
              <w:t>V2</w:t>
            </w:r>
          </w:p>
        </w:tc>
      </w:tr>
      <w:tr>
        <w:trPr>
          <w:cantSplit/>
        </w:trPr>
        <w:tc>
          <w:tcPr>
            <w:tcW w:type="dxa" w:w="50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9"/>
              </w:rPr>
              <w:t>Trials</w:t>
            </w:r>
          </w:p>
        </w:tc>
        <w:tc>
          <w:tcPr>
            <w:tcW w:type="dxa" w:w="23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9"/>
              </w:rPr>
              <w:t>60</w:t>
            </w:r>
          </w:p>
        </w:tc>
        <w:tc>
          <w:tcPr>
            <w:tcW w:type="dxa" w:w="24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9"/>
              </w:rPr>
              <w:t>60</w:t>
            </w:r>
          </w:p>
        </w:tc>
      </w:tr>
      <w:tr>
        <w:trPr>
          <w:cantSplit/>
        </w:trPr>
        <w:tc>
          <w:tcPr>
            <w:tcW w:type="dxa" w:w="5040"/>
            <w:shd w:fill="F3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9"/>
              </w:rPr>
              <w:t>Decision accuracy</w:t>
            </w:r>
          </w:p>
        </w:tc>
        <w:tc>
          <w:tcPr>
            <w:tcW w:type="dxa" w:w="2304"/>
            <w:shd w:fill="F3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9"/>
              </w:rPr>
              <w:t>48.3%</w:t>
            </w:r>
          </w:p>
        </w:tc>
        <w:tc>
          <w:tcPr>
            <w:tcW w:type="dxa" w:w="2404"/>
            <w:shd w:fill="F3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9"/>
              </w:rPr>
              <w:t>61.7%</w:t>
            </w:r>
          </w:p>
        </w:tc>
      </w:tr>
      <w:tr>
        <w:trPr>
          <w:cantSplit/>
        </w:trPr>
        <w:tc>
          <w:tcPr>
            <w:tcW w:type="dxa" w:w="50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9"/>
              </w:rPr>
              <w:t>Full-record accuracy</w:t>
            </w:r>
          </w:p>
        </w:tc>
        <w:tc>
          <w:tcPr>
            <w:tcW w:type="dxa" w:w="23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9"/>
              </w:rPr>
              <w:t>43.3%</w:t>
            </w:r>
          </w:p>
        </w:tc>
        <w:tc>
          <w:tcPr>
            <w:tcW w:type="dxa" w:w="24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9"/>
              </w:rPr>
              <w:t>55.0%</w:t>
            </w:r>
          </w:p>
        </w:tc>
      </w:tr>
      <w:tr>
        <w:trPr>
          <w:cantSplit/>
        </w:trPr>
        <w:tc>
          <w:tcPr>
            <w:tcW w:type="dxa" w:w="5040"/>
            <w:shd w:fill="F3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9"/>
              </w:rPr>
              <w:t>Tool-return tokens per call</w:t>
            </w:r>
          </w:p>
        </w:tc>
        <w:tc>
          <w:tcPr>
            <w:tcW w:type="dxa" w:w="2304"/>
            <w:shd w:fill="F3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9"/>
              </w:rPr>
              <w:t>58.23</w:t>
            </w:r>
          </w:p>
        </w:tc>
        <w:tc>
          <w:tcPr>
            <w:tcW w:type="dxa" w:w="2404"/>
            <w:shd w:fill="F3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9"/>
              </w:rPr>
              <w:t>58.45</w:t>
            </w:r>
          </w:p>
        </w:tc>
      </w:tr>
      <w:tr>
        <w:trPr>
          <w:cantSplit/>
        </w:trPr>
        <w:tc>
          <w:tcPr>
            <w:tcW w:type="dxa" w:w="50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9"/>
              </w:rPr>
              <w:t>Interface guardrails passed</w:t>
            </w:r>
          </w:p>
        </w:tc>
        <w:tc>
          <w:tcPr>
            <w:tcW w:type="dxa" w:w="23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9"/>
              </w:rPr>
              <w:t>5/5</w:t>
            </w:r>
          </w:p>
        </w:tc>
        <w:tc>
          <w:tcPr>
            <w:tcW w:type="dxa" w:w="24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9"/>
              </w:rPr>
              <w:t>5/5</w:t>
            </w:r>
          </w:p>
        </w:tc>
      </w:tr>
    </w:tbl>
    <w:p>
      <w:pPr>
        <w:pStyle w:val="BodyText"/>
        <w:spacing w:before="140" w:after="120" w:line="276" w:lineRule="auto"/>
      </w:pPr>
      <w:r>
        <w:rPr>
          <w:rFonts w:ascii="Times New Roman" w:hAnsi="Times New Roman"/>
          <w:b w:val="0"/>
          <w:color w:val="000000"/>
          <w:sz w:val="22"/>
        </w:rPr>
        <w:t>Calls may run together only if none needs an output from another call in that block. get_claim runs first. Once it returns the identifiers, duplicate, policy and hospital checks can run together. Coverage checks for independent line items can then share a turn. Pre-authorisation waits until coverage identifies the procedures that need it. Document checking only needs the claim ID, but we defer it to avoid an unnecessary call after an early escalation. In the 60-trial scripted comparison, both modes achieved a 100.0% full-record pass rate and used 6.10 tool calls per trial. Parallel calling reduced mean turns from 6.10 to 3.85 and estimated input tokens from 8,177.67 to 5,135.25. Estimated input cost for all 60 trials fell from US$0.049071 to US$0.030812. These are scripted estimates using a 1,200-token prefix and a simple proxy of one token per four characters, not live-model billing.</w:t>
      </w:r>
    </w:p>
    <w:p>
      <w:pPr>
        <w:keepNext/>
        <w:spacing w:before="100" w:after="60"/>
      </w:pPr>
      <w:r>
        <w:rPr>
          <w:rFonts w:ascii="Times New Roman" w:hAnsi="Times New Roman"/>
          <w:b/>
          <w:color w:val="000000"/>
          <w:sz w:val="20"/>
        </w:rPr>
        <w:t>Table 3  Sequential and parallel scripted comparison</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504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center"/>
            </w:pPr>
            <w:r>
              <w:rPr>
                <w:rFonts w:ascii="Times New Roman" w:hAnsi="Times New Roman"/>
                <w:b/>
                <w:color w:val="FFFFFF"/>
                <w:sz w:val="19"/>
              </w:rPr>
              <w:t>Measure</w:t>
            </w:r>
          </w:p>
        </w:tc>
        <w:tc>
          <w:tcPr>
            <w:tcW w:type="dxa" w:w="230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center"/>
            </w:pPr>
            <w:r>
              <w:rPr>
                <w:rFonts w:ascii="Times New Roman" w:hAnsi="Times New Roman"/>
                <w:b/>
                <w:color w:val="FFFFFF"/>
                <w:sz w:val="19"/>
              </w:rPr>
              <w:t>Sequential</w:t>
            </w:r>
          </w:p>
        </w:tc>
        <w:tc>
          <w:tcPr>
            <w:tcW w:type="dxa" w:w="240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center"/>
            </w:pPr>
            <w:r>
              <w:rPr>
                <w:rFonts w:ascii="Times New Roman" w:hAnsi="Times New Roman"/>
                <w:b/>
                <w:color w:val="FFFFFF"/>
                <w:sz w:val="19"/>
              </w:rPr>
              <w:t>Parallel</w:t>
            </w:r>
          </w:p>
        </w:tc>
      </w:tr>
      <w:tr>
        <w:trPr>
          <w:cantSplit/>
        </w:trPr>
        <w:tc>
          <w:tcPr>
            <w:tcW w:type="dxa" w:w="50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9"/>
              </w:rPr>
              <w:t>Trials</w:t>
            </w:r>
          </w:p>
        </w:tc>
        <w:tc>
          <w:tcPr>
            <w:tcW w:type="dxa" w:w="23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9"/>
              </w:rPr>
              <w:t>60</w:t>
            </w:r>
          </w:p>
        </w:tc>
        <w:tc>
          <w:tcPr>
            <w:tcW w:type="dxa" w:w="24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9"/>
              </w:rPr>
              <w:t>60</w:t>
            </w:r>
          </w:p>
        </w:tc>
      </w:tr>
      <w:tr>
        <w:trPr>
          <w:cantSplit/>
        </w:trPr>
        <w:tc>
          <w:tcPr>
            <w:tcW w:type="dxa" w:w="5040"/>
            <w:shd w:fill="F3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9"/>
              </w:rPr>
              <w:t>Full-record pass rate</w:t>
            </w:r>
          </w:p>
        </w:tc>
        <w:tc>
          <w:tcPr>
            <w:tcW w:type="dxa" w:w="2304"/>
            <w:shd w:fill="F3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9"/>
              </w:rPr>
              <w:t>100.0%</w:t>
            </w:r>
          </w:p>
        </w:tc>
        <w:tc>
          <w:tcPr>
            <w:tcW w:type="dxa" w:w="2404"/>
            <w:shd w:fill="F3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9"/>
              </w:rPr>
              <w:t>100.0%</w:t>
            </w:r>
          </w:p>
        </w:tc>
      </w:tr>
      <w:tr>
        <w:trPr>
          <w:cantSplit/>
        </w:trPr>
        <w:tc>
          <w:tcPr>
            <w:tcW w:type="dxa" w:w="50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9"/>
              </w:rPr>
              <w:t>Mean tool calls</w:t>
            </w:r>
          </w:p>
        </w:tc>
        <w:tc>
          <w:tcPr>
            <w:tcW w:type="dxa" w:w="23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9"/>
              </w:rPr>
              <w:t>6.10</w:t>
            </w:r>
          </w:p>
        </w:tc>
        <w:tc>
          <w:tcPr>
            <w:tcW w:type="dxa" w:w="24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9"/>
              </w:rPr>
              <w:t>6.10</w:t>
            </w:r>
          </w:p>
        </w:tc>
      </w:tr>
      <w:tr>
        <w:trPr>
          <w:cantSplit/>
        </w:trPr>
        <w:tc>
          <w:tcPr>
            <w:tcW w:type="dxa" w:w="5040"/>
            <w:shd w:fill="F3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9"/>
              </w:rPr>
              <w:t>Mean turns</w:t>
            </w:r>
          </w:p>
        </w:tc>
        <w:tc>
          <w:tcPr>
            <w:tcW w:type="dxa" w:w="2304"/>
            <w:shd w:fill="F3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9"/>
              </w:rPr>
              <w:t>6.10</w:t>
            </w:r>
          </w:p>
        </w:tc>
        <w:tc>
          <w:tcPr>
            <w:tcW w:type="dxa" w:w="2404"/>
            <w:shd w:fill="F3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9"/>
              </w:rPr>
              <w:t>3.85</w:t>
            </w:r>
          </w:p>
        </w:tc>
      </w:tr>
      <w:tr>
        <w:trPr>
          <w:cantSplit/>
        </w:trPr>
        <w:tc>
          <w:tcPr>
            <w:tcW w:type="dxa" w:w="5040"/>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9"/>
              </w:rPr>
              <w:t>Estimated input tokens</w:t>
            </w:r>
          </w:p>
        </w:tc>
        <w:tc>
          <w:tcPr>
            <w:tcW w:type="dxa" w:w="23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9"/>
              </w:rPr>
              <w:t>8,177.67</w:t>
            </w:r>
          </w:p>
        </w:tc>
        <w:tc>
          <w:tcPr>
            <w:tcW w:type="dxa" w:w="2404"/>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9"/>
              </w:rPr>
              <w:t>5,135.25</w:t>
            </w:r>
          </w:p>
        </w:tc>
      </w:tr>
      <w:tr>
        <w:trPr>
          <w:cantSplit/>
        </w:trPr>
        <w:tc>
          <w:tcPr>
            <w:tcW w:type="dxa" w:w="5040"/>
            <w:shd w:fill="F3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9"/>
              </w:rPr>
              <w:t>Estimated total input cost</w:t>
            </w:r>
          </w:p>
        </w:tc>
        <w:tc>
          <w:tcPr>
            <w:tcW w:type="dxa" w:w="2304"/>
            <w:shd w:fill="F3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9"/>
              </w:rPr>
              <w:t>US$0.049071</w:t>
            </w:r>
          </w:p>
        </w:tc>
        <w:tc>
          <w:tcPr>
            <w:tcW w:type="dxa" w:w="2404"/>
            <w:shd w:fill="F3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40" w:lineRule="auto"/>
              <w:jc w:val="left"/>
            </w:pPr>
            <w:r>
              <w:rPr>
                <w:rFonts w:ascii="Times New Roman" w:hAnsi="Times New Roman"/>
                <w:b w:val="0"/>
                <w:color w:val="000000"/>
                <w:sz w:val="19"/>
              </w:rPr>
              <w:t>US$0.030812</w:t>
            </w:r>
          </w:p>
        </w:tc>
      </w:tr>
    </w:tbl>
    <w:sectPr w:rsidR="00FC693F" w:rsidRPr="0006063C" w:rsidSect="00034616">
      <w:pgSz w:w="12240" w:h="15840"/>
      <w:pgMar w:top="1152"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PE6201 A2 The Tool Layer</dc:title>
  <dc:subject>Report section 2</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