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7DA3D" w14:textId="77777777" w:rsidR="004B7F06" w:rsidRDefault="00000000">
      <w:pPr>
        <w:pStyle w:val="af3"/>
        <w:spacing w:after="180"/>
        <w:rPr>
          <w:rFonts w:ascii="Times New Roman" w:hAnsi="Times New Roman"/>
          <w:lang w:eastAsia="zh-CN"/>
        </w:rPr>
      </w:pPr>
      <w:r>
        <w:rPr>
          <w:rFonts w:ascii="Times New Roman" w:hAnsi="Times New Roman"/>
        </w:rPr>
        <w:t xml:space="preserve">PE6201 A2 </w:t>
      </w:r>
      <w:r>
        <w:rPr>
          <w:rFonts w:ascii="Times New Roman" w:hAnsi="Times New Roman" w:hint="eastAsia"/>
          <w:lang w:eastAsia="zh-CN"/>
        </w:rPr>
        <w:t>Group1 Report</w:t>
      </w:r>
    </w:p>
    <w:p w14:paraId="5DEC2954" w14:textId="77777777" w:rsidR="004B7F06" w:rsidRDefault="00000000">
      <w:pPr>
        <w:pStyle w:val="af2"/>
        <w:numPr>
          <w:ilvl w:val="0"/>
          <w:numId w:val="7"/>
        </w:numPr>
        <w:spacing w:line="240" w:lineRule="auto"/>
        <w:rPr>
          <w:rFonts w:ascii="Times New Roman Bold" w:hAnsi="Times New Roman Bold" w:cs="Times New Roman Bold"/>
          <w:b/>
          <w:bCs/>
          <w:color w:val="000000"/>
          <w:szCs w:val="24"/>
        </w:rPr>
      </w:pPr>
      <w:r>
        <w:rPr>
          <w:rFonts w:ascii="Times New Roman Bold" w:hAnsi="Times New Roman Bold" w:cs="Times New Roman Bold"/>
          <w:b/>
          <w:bCs/>
          <w:color w:val="000000"/>
          <w:szCs w:val="24"/>
        </w:rPr>
        <w:t>Why an agent</w:t>
      </w:r>
    </w:p>
    <w:p w14:paraId="47FA6D2F" w14:textId="77777777" w:rsidR="004B7F06" w:rsidRDefault="00000000">
      <w:pPr>
        <w:pStyle w:val="af2"/>
        <w:spacing w:line="240" w:lineRule="auto"/>
        <w:rPr>
          <w:color w:val="000000"/>
          <w:sz w:val="22"/>
        </w:rPr>
      </w:pPr>
      <w:r>
        <w:rPr>
          <w:color w:val="000000"/>
          <w:sz w:val="22"/>
        </w:rPr>
        <w:t xml:space="preserve">Problem A is placed on rung 7 of the agentic </w:t>
      </w:r>
      <w:proofErr w:type="gramStart"/>
      <w:r>
        <w:rPr>
          <w:color w:val="000000"/>
          <w:sz w:val="22"/>
        </w:rPr>
        <w:t>ladder</w:t>
      </w:r>
      <w:proofErr w:type="gramEnd"/>
      <w:r>
        <w:rPr>
          <w:color w:val="000000"/>
          <w:sz w:val="22"/>
        </w:rPr>
        <w:t xml:space="preserve"> because neither the number nor the order of checks is known before a claim is inspected. A claim supplies identifiers rather than a complete decision record, so the system must retrieve the member and policy, test for duplication, inspect the hospital, evaluate each procedure line, and conditionally obtain pre-</w:t>
      </w:r>
      <w:proofErr w:type="spellStart"/>
      <w:r>
        <w:rPr>
          <w:color w:val="000000"/>
          <w:sz w:val="22"/>
        </w:rPr>
        <w:t>authorisation</w:t>
      </w:r>
      <w:proofErr w:type="spellEnd"/>
      <w:r>
        <w:rPr>
          <w:color w:val="000000"/>
          <w:sz w:val="22"/>
        </w:rPr>
        <w:t xml:space="preserve"> and document evidence. A lapsed policy or duplicate can terminate the investigation early, whereas a valid multi-line claim creates further checks. This satisfies the variability test: the next action depends on an earlier observation. It also satisfies the ground-truth test: structured records provide objective evidence that can quickly contradict an unsupported model assumption.</w:t>
      </w:r>
    </w:p>
    <w:p w14:paraId="6D3B6C9A" w14:textId="77777777" w:rsidR="004B7F06" w:rsidRDefault="00000000">
      <w:pPr>
        <w:pStyle w:val="af2"/>
        <w:spacing w:line="240" w:lineRule="auto"/>
        <w:rPr>
          <w:color w:val="000000"/>
          <w:sz w:val="22"/>
        </w:rPr>
      </w:pPr>
      <w:r>
        <w:rPr>
          <w:color w:val="000000"/>
          <w:sz w:val="22"/>
        </w:rPr>
        <w:t xml:space="preserve">Rungs 1–6 provide useful components but not the required adaptive control. A single call (rung 1) lacks external evidence. A fixed prompt chain (rung 2) would execute unnecessary checks and cannot branch on discovered requirements. Routing (rung 3) can select a predefined path, while </w:t>
      </w:r>
      <w:proofErr w:type="spellStart"/>
      <w:r>
        <w:rPr>
          <w:color w:val="000000"/>
          <w:sz w:val="22"/>
        </w:rPr>
        <w:t>parallelisation</w:t>
      </w:r>
      <w:proofErr w:type="spellEnd"/>
      <w:r>
        <w:rPr>
          <w:color w:val="000000"/>
          <w:sz w:val="22"/>
        </w:rPr>
        <w:t xml:space="preserve"> (rung 4) can accelerate independent calls, but neither decides what evidence to seek next. We use parallel calls inside the agent where dependencies permit: D2(c) preserved a 100% pass rate across 60 scripted trials while reducing average turns from 6.10 to 3.85. Orchestrator–worker (rung 5) would add coordination overhead because one agent can own the case, and evaluator–</w:t>
      </w:r>
      <w:proofErr w:type="spellStart"/>
      <w:r>
        <w:rPr>
          <w:color w:val="000000"/>
          <w:sz w:val="22"/>
        </w:rPr>
        <w:t>optimiser</w:t>
      </w:r>
      <w:proofErr w:type="spellEnd"/>
      <w:r>
        <w:rPr>
          <w:color w:val="000000"/>
          <w:sz w:val="22"/>
        </w:rPr>
        <w:t xml:space="preserve"> (rung 6) can review an answer but cannot replace evidence gathering. We therefore implement one </w:t>
      </w:r>
      <w:proofErr w:type="spellStart"/>
      <w:r>
        <w:rPr>
          <w:color w:val="000000"/>
          <w:sz w:val="22"/>
        </w:rPr>
        <w:t>ReAct</w:t>
      </w:r>
      <w:proofErr w:type="spellEnd"/>
      <w:r>
        <w:rPr>
          <w:color w:val="000000"/>
          <w:sz w:val="22"/>
        </w:rPr>
        <w:t xml:space="preserve"> loop that chooses tools, observes their returns, and continues or terminates.</w:t>
      </w:r>
    </w:p>
    <w:p w14:paraId="1BC2498E" w14:textId="77777777" w:rsidR="004B7F06" w:rsidRDefault="00000000">
      <w:pPr>
        <w:pStyle w:val="af2"/>
        <w:spacing w:line="240" w:lineRule="auto"/>
        <w:rPr>
          <w:color w:val="000000"/>
          <w:sz w:val="22"/>
        </w:rPr>
      </w:pPr>
      <w:r>
        <w:rPr>
          <w:color w:val="000000"/>
          <w:sz w:val="22"/>
        </w:rPr>
        <w:t>Reliability compounds across this loop. For whole-run pass probability P over T tool-use turns, implied per-turn reliability is s = P^(1/T). D5(a) achieved 60/60 passes with average T = 5 on the deterministic scripted backend, giving s = 1.000 for that controlled test. This checks the pipeline; it does not prove a stochastic model is perfect. Figure 1 also shows that a 95% whole-run target at T = 5 requires s = 0.95</w:t>
      </w:r>
      <w:proofErr w:type="gramStart"/>
      <w:r>
        <w:rPr>
          <w:color w:val="000000"/>
          <w:sz w:val="22"/>
        </w:rPr>
        <w:t>^(</w:t>
      </w:r>
      <w:proofErr w:type="gramEnd"/>
      <w:r>
        <w:rPr>
          <w:color w:val="000000"/>
          <w:sz w:val="22"/>
        </w:rPr>
        <w:t xml:space="preserve">1/5) = 98.98% per turn; longer traces demand still higher local reliability. This supports </w:t>
      </w:r>
      <w:proofErr w:type="spellStart"/>
      <w:r>
        <w:rPr>
          <w:color w:val="000000"/>
          <w:sz w:val="22"/>
        </w:rPr>
        <w:t>parallelising</w:t>
      </w:r>
      <w:proofErr w:type="spellEnd"/>
      <w:r>
        <w:rPr>
          <w:color w:val="000000"/>
          <w:sz w:val="22"/>
        </w:rPr>
        <w:t xml:space="preserve"> independent checks and enforcing an eight-turn cap.</w:t>
      </w:r>
    </w:p>
    <w:p w14:paraId="078C9EF0" w14:textId="77777777" w:rsidR="004B7F06" w:rsidRDefault="00000000">
      <w:pPr>
        <w:pStyle w:val="af2"/>
        <w:spacing w:line="240" w:lineRule="auto"/>
        <w:rPr>
          <w:color w:val="000000"/>
          <w:sz w:val="22"/>
        </w:rPr>
      </w:pPr>
      <w:r>
        <w:rPr>
          <w:color w:val="000000"/>
          <w:sz w:val="22"/>
        </w:rPr>
        <w:t xml:space="preserve">A good run reaches the keyed outcome from tool evidence; accounts for every claim line; states the exact missing document or escalation trigger; ignores instructions embedded in member narratives; invents no facts; and performs the gated </w:t>
      </w:r>
      <w:proofErr w:type="spellStart"/>
      <w:r>
        <w:rPr>
          <w:color w:val="000000"/>
          <w:sz w:val="22"/>
        </w:rPr>
        <w:t>issue_decision_letter</w:t>
      </w:r>
      <w:proofErr w:type="spellEnd"/>
      <w:r>
        <w:rPr>
          <w:color w:val="000000"/>
          <w:sz w:val="22"/>
        </w:rPr>
        <w:t xml:space="preserve"> write at most once. Read-only investigation may run automatically, but the formal write uses confirm autonomy and requires operator approval.</w:t>
      </w:r>
    </w:p>
    <w:p w14:paraId="38BA0234" w14:textId="77777777" w:rsidR="004B7F06" w:rsidRDefault="00000000">
      <w:pPr>
        <w:pStyle w:val="af2"/>
        <w:spacing w:line="240" w:lineRule="auto"/>
        <w:jc w:val="center"/>
        <w:rPr>
          <w:rFonts w:ascii="Times New Roman Bold" w:hAnsi="Times New Roman Bold" w:cs="Times New Roman Bold"/>
          <w:b/>
          <w:bCs/>
          <w:color w:val="000000"/>
          <w:szCs w:val="24"/>
        </w:rPr>
      </w:pPr>
      <w:r>
        <w:rPr>
          <w:noProof/>
        </w:rPr>
        <w:drawing>
          <wp:inline distT="0" distB="0" distL="114300" distR="114300" wp14:anchorId="37F3CAAC" wp14:editId="1EB2EDCC">
            <wp:extent cx="3903980" cy="2416810"/>
            <wp:effectExtent l="0" t="0" r="7620" b="889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3903980" cy="2416810"/>
                    </a:xfrm>
                    <a:prstGeom prst="rect">
                      <a:avLst/>
                    </a:prstGeom>
                    <a:noFill/>
                    <a:ln>
                      <a:noFill/>
                    </a:ln>
                  </pic:spPr>
                </pic:pic>
              </a:graphicData>
            </a:graphic>
          </wp:inline>
        </w:drawing>
      </w:r>
    </w:p>
    <w:p w14:paraId="52F35464" w14:textId="77777777" w:rsidR="004B7F06" w:rsidRDefault="004B7F06">
      <w:pPr>
        <w:pStyle w:val="af2"/>
        <w:spacing w:line="240" w:lineRule="auto"/>
        <w:rPr>
          <w:rFonts w:ascii="Times New Roman Bold" w:hAnsi="Times New Roman Bold" w:cs="Times New Roman Bold"/>
          <w:b/>
          <w:bCs/>
          <w:color w:val="000000"/>
          <w:szCs w:val="24"/>
        </w:rPr>
      </w:pPr>
    </w:p>
    <w:p w14:paraId="5BF94F73" w14:textId="77777777" w:rsidR="004B7F06" w:rsidRDefault="00000000">
      <w:pPr>
        <w:pStyle w:val="af2"/>
        <w:numPr>
          <w:ilvl w:val="0"/>
          <w:numId w:val="7"/>
        </w:numPr>
        <w:spacing w:line="240" w:lineRule="auto"/>
        <w:rPr>
          <w:rFonts w:ascii="Times New Roman Bold" w:hAnsi="Times New Roman Bold" w:cs="Times New Roman Bold"/>
          <w:b/>
          <w:bCs/>
          <w:color w:val="000000"/>
          <w:szCs w:val="24"/>
        </w:rPr>
      </w:pPr>
      <w:r>
        <w:rPr>
          <w:rFonts w:ascii="Times New Roman Bold" w:hAnsi="Times New Roman Bold" w:cs="Times New Roman Bold"/>
          <w:b/>
          <w:bCs/>
          <w:color w:val="000000"/>
          <w:szCs w:val="24"/>
        </w:rPr>
        <w:lastRenderedPageBreak/>
        <w:t>The tool layer</w:t>
      </w:r>
    </w:p>
    <w:p w14:paraId="0669E7CA" w14:textId="77777777" w:rsidR="004B7F06" w:rsidRDefault="00000000">
      <w:pPr>
        <w:pStyle w:val="af2"/>
        <w:spacing w:line="240" w:lineRule="auto"/>
        <w:rPr>
          <w:color w:val="000000"/>
          <w:sz w:val="22"/>
        </w:rPr>
      </w:pPr>
      <w:r>
        <w:rPr>
          <w:color w:val="000000"/>
          <w:sz w:val="22"/>
        </w:rPr>
        <w:t>We used eight tools. Six perform the required claim, policy, coverage, pre-</w:t>
      </w:r>
      <w:proofErr w:type="spellStart"/>
      <w:r>
        <w:rPr>
          <w:color w:val="000000"/>
          <w:sz w:val="22"/>
        </w:rPr>
        <w:t>authorisation</w:t>
      </w:r>
      <w:proofErr w:type="spellEnd"/>
      <w:r>
        <w:rPr>
          <w:color w:val="000000"/>
          <w:sz w:val="22"/>
        </w:rPr>
        <w:t>, hospital and simulated letter checks. We added duplicate and document checks.</w:t>
      </w:r>
    </w:p>
    <w:p w14:paraId="27EDF146" w14:textId="77777777" w:rsidR="004B7F06" w:rsidRDefault="00000000">
      <w:pPr>
        <w:keepNext/>
        <w:spacing w:before="100" w:after="60" w:line="240" w:lineRule="auto"/>
      </w:pPr>
      <w:r>
        <w:rPr>
          <w:b/>
          <w:color w:val="000000"/>
          <w:sz w:val="20"/>
        </w:rPr>
        <w:t xml:space="preserve">Table </w:t>
      </w:r>
      <w:proofErr w:type="gramStart"/>
      <w:r>
        <w:rPr>
          <w:b/>
          <w:color w:val="000000"/>
          <w:sz w:val="20"/>
        </w:rPr>
        <w:t>1  Tool</w:t>
      </w:r>
      <w:proofErr w:type="gramEnd"/>
      <w:r>
        <w:rPr>
          <w:b/>
          <w:color w:val="000000"/>
          <w:sz w:val="20"/>
        </w:rPr>
        <w:t xml:space="preserve"> set and boundaries</w:t>
      </w:r>
    </w:p>
    <w:tbl>
      <w:tblPr>
        <w:tblW w:w="0" w:type="auto"/>
        <w:jc w:val="center"/>
        <w:tblLayout w:type="fixed"/>
        <w:tblLook w:val="04A0" w:firstRow="1" w:lastRow="0" w:firstColumn="1" w:lastColumn="0" w:noHBand="0" w:noVBand="1"/>
      </w:tblPr>
      <w:tblGrid>
        <w:gridCol w:w="2376"/>
        <w:gridCol w:w="3744"/>
        <w:gridCol w:w="3628"/>
      </w:tblGrid>
      <w:tr w:rsidR="004B7F06" w14:paraId="1C2F705C" w14:textId="77777777">
        <w:trPr>
          <w:cantSplit/>
          <w:tblHeader/>
          <w:jc w:val="center"/>
        </w:trPr>
        <w:tc>
          <w:tcPr>
            <w:tcW w:w="2376" w:type="dxa"/>
            <w:tcBorders>
              <w:top w:val="single" w:sz="6" w:space="0" w:color="D9D9D9"/>
              <w:left w:val="single" w:sz="6" w:space="0" w:color="D9D9D9"/>
              <w:bottom w:val="single" w:sz="6" w:space="0" w:color="D9D9D9"/>
              <w:right w:val="single" w:sz="6" w:space="0" w:color="D9D9D9"/>
            </w:tcBorders>
            <w:shd w:val="clear" w:color="auto" w:fill="1F4E78"/>
            <w:tcMar>
              <w:top w:w="85" w:type="dxa"/>
              <w:left w:w="100" w:type="dxa"/>
              <w:bottom w:w="85" w:type="dxa"/>
              <w:right w:w="100" w:type="dxa"/>
            </w:tcMar>
            <w:vAlign w:val="center"/>
          </w:tcPr>
          <w:p w14:paraId="6E4DC971" w14:textId="77777777" w:rsidR="004B7F06" w:rsidRDefault="00000000">
            <w:pPr>
              <w:spacing w:after="0" w:line="240" w:lineRule="auto"/>
              <w:jc w:val="center"/>
            </w:pPr>
            <w:r>
              <w:rPr>
                <w:b/>
                <w:color w:val="FFFFFF"/>
                <w:sz w:val="18"/>
              </w:rPr>
              <w:t>Tool</w:t>
            </w:r>
          </w:p>
        </w:tc>
        <w:tc>
          <w:tcPr>
            <w:tcW w:w="3744" w:type="dxa"/>
            <w:tcBorders>
              <w:top w:val="single" w:sz="6" w:space="0" w:color="D9D9D9"/>
              <w:left w:val="single" w:sz="6" w:space="0" w:color="D9D9D9"/>
              <w:bottom w:val="single" w:sz="6" w:space="0" w:color="D9D9D9"/>
              <w:right w:val="single" w:sz="6" w:space="0" w:color="D9D9D9"/>
            </w:tcBorders>
            <w:shd w:val="clear" w:color="auto" w:fill="1F4E78"/>
            <w:tcMar>
              <w:top w:w="85" w:type="dxa"/>
              <w:left w:w="100" w:type="dxa"/>
              <w:bottom w:w="85" w:type="dxa"/>
              <w:right w:w="100" w:type="dxa"/>
            </w:tcMar>
            <w:vAlign w:val="center"/>
          </w:tcPr>
          <w:p w14:paraId="3935EB0A" w14:textId="77777777" w:rsidR="004B7F06" w:rsidRDefault="00000000">
            <w:pPr>
              <w:spacing w:after="0" w:line="240" w:lineRule="auto"/>
              <w:jc w:val="center"/>
            </w:pPr>
            <w:r>
              <w:rPr>
                <w:b/>
                <w:color w:val="FFFFFF"/>
                <w:sz w:val="18"/>
              </w:rPr>
              <w:t>Why it is needed</w:t>
            </w:r>
          </w:p>
        </w:tc>
        <w:tc>
          <w:tcPr>
            <w:tcW w:w="3628" w:type="dxa"/>
            <w:tcBorders>
              <w:top w:val="single" w:sz="6" w:space="0" w:color="D9D9D9"/>
              <w:left w:val="single" w:sz="6" w:space="0" w:color="D9D9D9"/>
              <w:bottom w:val="single" w:sz="6" w:space="0" w:color="D9D9D9"/>
              <w:right w:val="single" w:sz="6" w:space="0" w:color="D9D9D9"/>
            </w:tcBorders>
            <w:shd w:val="clear" w:color="auto" w:fill="1F4E78"/>
            <w:tcMar>
              <w:top w:w="85" w:type="dxa"/>
              <w:left w:w="100" w:type="dxa"/>
              <w:bottom w:w="85" w:type="dxa"/>
              <w:right w:w="100" w:type="dxa"/>
            </w:tcMar>
            <w:vAlign w:val="center"/>
          </w:tcPr>
          <w:p w14:paraId="6486A331" w14:textId="77777777" w:rsidR="004B7F06" w:rsidRDefault="00000000">
            <w:pPr>
              <w:spacing w:after="0" w:line="240" w:lineRule="auto"/>
              <w:jc w:val="center"/>
            </w:pPr>
            <w:r>
              <w:rPr>
                <w:b/>
                <w:color w:val="FFFFFF"/>
                <w:sz w:val="18"/>
              </w:rPr>
              <w:t>Boundary</w:t>
            </w:r>
          </w:p>
        </w:tc>
      </w:tr>
      <w:tr w:rsidR="004B7F06" w14:paraId="27595F99" w14:textId="77777777">
        <w:trPr>
          <w:cantSplit/>
          <w:jc w:val="center"/>
        </w:trPr>
        <w:tc>
          <w:tcPr>
            <w:tcW w:w="2376"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62F63FED" w14:textId="77777777" w:rsidR="004B7F06" w:rsidRDefault="00000000">
            <w:pPr>
              <w:spacing w:after="0" w:line="240" w:lineRule="auto"/>
            </w:pPr>
            <w:proofErr w:type="spellStart"/>
            <w:r>
              <w:rPr>
                <w:color w:val="000000"/>
                <w:sz w:val="18"/>
              </w:rPr>
              <w:t>get_claim</w:t>
            </w:r>
            <w:proofErr w:type="spellEnd"/>
          </w:p>
        </w:tc>
        <w:tc>
          <w:tcPr>
            <w:tcW w:w="3744"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1BFF6461" w14:textId="77777777" w:rsidR="004B7F06" w:rsidRDefault="00000000">
            <w:pPr>
              <w:spacing w:after="0" w:line="240" w:lineRule="auto"/>
            </w:pPr>
            <w:r>
              <w:rPr>
                <w:color w:val="000000"/>
                <w:sz w:val="18"/>
              </w:rPr>
              <w:t>Starts the assessment and supplies the identifiers used later.</w:t>
            </w:r>
          </w:p>
        </w:tc>
        <w:tc>
          <w:tcPr>
            <w:tcW w:w="3628"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2FBAABB1" w14:textId="77777777" w:rsidR="004B7F06" w:rsidRDefault="00000000">
            <w:pPr>
              <w:spacing w:after="0" w:line="240" w:lineRule="auto"/>
            </w:pPr>
            <w:r>
              <w:rPr>
                <w:color w:val="000000"/>
                <w:sz w:val="18"/>
              </w:rPr>
              <w:t>Fetches one claim; it does not decide eligibility.</w:t>
            </w:r>
          </w:p>
        </w:tc>
      </w:tr>
      <w:tr w:rsidR="004B7F06" w14:paraId="328A68BE" w14:textId="77777777">
        <w:trPr>
          <w:cantSplit/>
          <w:jc w:val="center"/>
        </w:trPr>
        <w:tc>
          <w:tcPr>
            <w:tcW w:w="2376" w:type="dxa"/>
            <w:tcBorders>
              <w:top w:val="single" w:sz="6" w:space="0" w:color="D9D9D9"/>
              <w:left w:val="single" w:sz="6" w:space="0" w:color="D9D9D9"/>
              <w:bottom w:val="single" w:sz="6" w:space="0" w:color="D9D9D9"/>
              <w:right w:val="single" w:sz="6" w:space="0" w:color="D9D9D9"/>
            </w:tcBorders>
            <w:shd w:val="clear" w:color="auto" w:fill="F3F7FA"/>
            <w:tcMar>
              <w:top w:w="85" w:type="dxa"/>
              <w:left w:w="100" w:type="dxa"/>
              <w:bottom w:w="85" w:type="dxa"/>
              <w:right w:w="100" w:type="dxa"/>
            </w:tcMar>
            <w:vAlign w:val="center"/>
          </w:tcPr>
          <w:p w14:paraId="2AB53033" w14:textId="77777777" w:rsidR="004B7F06" w:rsidRDefault="00000000">
            <w:pPr>
              <w:spacing w:after="0" w:line="240" w:lineRule="auto"/>
            </w:pPr>
            <w:proofErr w:type="spellStart"/>
            <w:r>
              <w:rPr>
                <w:color w:val="000000"/>
                <w:sz w:val="18"/>
              </w:rPr>
              <w:t>lookup_policy</w:t>
            </w:r>
            <w:proofErr w:type="spellEnd"/>
          </w:p>
        </w:tc>
        <w:tc>
          <w:tcPr>
            <w:tcW w:w="3744" w:type="dxa"/>
            <w:tcBorders>
              <w:top w:val="single" w:sz="6" w:space="0" w:color="D9D9D9"/>
              <w:left w:val="single" w:sz="6" w:space="0" w:color="D9D9D9"/>
              <w:bottom w:val="single" w:sz="6" w:space="0" w:color="D9D9D9"/>
              <w:right w:val="single" w:sz="6" w:space="0" w:color="D9D9D9"/>
            </w:tcBorders>
            <w:shd w:val="clear" w:color="auto" w:fill="F3F7FA"/>
            <w:tcMar>
              <w:top w:w="85" w:type="dxa"/>
              <w:left w:w="100" w:type="dxa"/>
              <w:bottom w:w="85" w:type="dxa"/>
              <w:right w:w="100" w:type="dxa"/>
            </w:tcMar>
            <w:vAlign w:val="center"/>
          </w:tcPr>
          <w:p w14:paraId="0406D02D" w14:textId="77777777" w:rsidR="004B7F06" w:rsidRDefault="00000000">
            <w:pPr>
              <w:spacing w:after="0" w:line="240" w:lineRule="auto"/>
            </w:pPr>
            <w:r>
              <w:rPr>
                <w:color w:val="000000"/>
                <w:sz w:val="18"/>
              </w:rPr>
              <w:t>Checks status, dates and remaining annual cover.</w:t>
            </w:r>
          </w:p>
        </w:tc>
        <w:tc>
          <w:tcPr>
            <w:tcW w:w="3628" w:type="dxa"/>
            <w:tcBorders>
              <w:top w:val="single" w:sz="6" w:space="0" w:color="D9D9D9"/>
              <w:left w:val="single" w:sz="6" w:space="0" w:color="D9D9D9"/>
              <w:bottom w:val="single" w:sz="6" w:space="0" w:color="D9D9D9"/>
              <w:right w:val="single" w:sz="6" w:space="0" w:color="D9D9D9"/>
            </w:tcBorders>
            <w:shd w:val="clear" w:color="auto" w:fill="F3F7FA"/>
            <w:tcMar>
              <w:top w:w="85" w:type="dxa"/>
              <w:left w:w="100" w:type="dxa"/>
              <w:bottom w:w="85" w:type="dxa"/>
              <w:right w:w="100" w:type="dxa"/>
            </w:tcMar>
            <w:vAlign w:val="center"/>
          </w:tcPr>
          <w:p w14:paraId="146CF1F1" w14:textId="77777777" w:rsidR="004B7F06" w:rsidRDefault="00000000">
            <w:pPr>
              <w:spacing w:after="0" w:line="240" w:lineRule="auto"/>
            </w:pPr>
            <w:r>
              <w:rPr>
                <w:color w:val="000000"/>
                <w:sz w:val="18"/>
              </w:rPr>
              <w:t>Claim-level eligibility, unlike line-level coverage.</w:t>
            </w:r>
          </w:p>
        </w:tc>
      </w:tr>
      <w:tr w:rsidR="004B7F06" w14:paraId="2F58482F" w14:textId="77777777">
        <w:trPr>
          <w:cantSplit/>
          <w:jc w:val="center"/>
        </w:trPr>
        <w:tc>
          <w:tcPr>
            <w:tcW w:w="2376"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02E111BA" w14:textId="77777777" w:rsidR="004B7F06" w:rsidRDefault="00000000">
            <w:pPr>
              <w:spacing w:after="0" w:line="240" w:lineRule="auto"/>
            </w:pPr>
            <w:proofErr w:type="spellStart"/>
            <w:r>
              <w:rPr>
                <w:color w:val="000000"/>
                <w:sz w:val="18"/>
              </w:rPr>
              <w:t>check_coverage</w:t>
            </w:r>
            <w:proofErr w:type="spellEnd"/>
          </w:p>
        </w:tc>
        <w:tc>
          <w:tcPr>
            <w:tcW w:w="3744"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0F71B1BD" w14:textId="77777777" w:rsidR="004B7F06" w:rsidRDefault="00000000">
            <w:pPr>
              <w:spacing w:after="0" w:line="240" w:lineRule="auto"/>
            </w:pPr>
            <w:r>
              <w:rPr>
                <w:color w:val="000000"/>
                <w:sz w:val="18"/>
              </w:rPr>
              <w:t>Resolves one procedure and whether it needs pre-</w:t>
            </w:r>
            <w:proofErr w:type="spellStart"/>
            <w:r>
              <w:rPr>
                <w:color w:val="000000"/>
                <w:sz w:val="18"/>
              </w:rPr>
              <w:t>authorisation</w:t>
            </w:r>
            <w:proofErr w:type="spellEnd"/>
            <w:r>
              <w:rPr>
                <w:color w:val="000000"/>
                <w:sz w:val="18"/>
              </w:rPr>
              <w:t>.</w:t>
            </w:r>
          </w:p>
        </w:tc>
        <w:tc>
          <w:tcPr>
            <w:tcW w:w="3628"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17BC56BD" w14:textId="77777777" w:rsidR="004B7F06" w:rsidRDefault="00000000">
            <w:pPr>
              <w:spacing w:after="0" w:line="240" w:lineRule="auto"/>
            </w:pPr>
            <w:r>
              <w:rPr>
                <w:color w:val="000000"/>
                <w:sz w:val="18"/>
              </w:rPr>
              <w:t>One procedure rule, not a whole-policy check.</w:t>
            </w:r>
          </w:p>
        </w:tc>
      </w:tr>
      <w:tr w:rsidR="004B7F06" w14:paraId="0E9B725A" w14:textId="77777777">
        <w:trPr>
          <w:cantSplit/>
          <w:jc w:val="center"/>
        </w:trPr>
        <w:tc>
          <w:tcPr>
            <w:tcW w:w="2376" w:type="dxa"/>
            <w:tcBorders>
              <w:top w:val="single" w:sz="6" w:space="0" w:color="D9D9D9"/>
              <w:left w:val="single" w:sz="6" w:space="0" w:color="D9D9D9"/>
              <w:bottom w:val="single" w:sz="6" w:space="0" w:color="D9D9D9"/>
              <w:right w:val="single" w:sz="6" w:space="0" w:color="D9D9D9"/>
            </w:tcBorders>
            <w:shd w:val="clear" w:color="auto" w:fill="F3F7FA"/>
            <w:tcMar>
              <w:top w:w="85" w:type="dxa"/>
              <w:left w:w="100" w:type="dxa"/>
              <w:bottom w:w="85" w:type="dxa"/>
              <w:right w:w="100" w:type="dxa"/>
            </w:tcMar>
            <w:vAlign w:val="center"/>
          </w:tcPr>
          <w:p w14:paraId="68D5FD67" w14:textId="77777777" w:rsidR="004B7F06" w:rsidRDefault="00000000">
            <w:pPr>
              <w:spacing w:after="0" w:line="240" w:lineRule="auto"/>
            </w:pPr>
            <w:proofErr w:type="spellStart"/>
            <w:r>
              <w:rPr>
                <w:color w:val="000000"/>
                <w:sz w:val="18"/>
              </w:rPr>
              <w:t>get_preauthorisation</w:t>
            </w:r>
            <w:proofErr w:type="spellEnd"/>
          </w:p>
        </w:tc>
        <w:tc>
          <w:tcPr>
            <w:tcW w:w="3744" w:type="dxa"/>
            <w:tcBorders>
              <w:top w:val="single" w:sz="6" w:space="0" w:color="D9D9D9"/>
              <w:left w:val="single" w:sz="6" w:space="0" w:color="D9D9D9"/>
              <w:bottom w:val="single" w:sz="6" w:space="0" w:color="D9D9D9"/>
              <w:right w:val="single" w:sz="6" w:space="0" w:color="D9D9D9"/>
            </w:tcBorders>
            <w:shd w:val="clear" w:color="auto" w:fill="F3F7FA"/>
            <w:tcMar>
              <w:top w:w="85" w:type="dxa"/>
              <w:left w:w="100" w:type="dxa"/>
              <w:bottom w:w="85" w:type="dxa"/>
              <w:right w:w="100" w:type="dxa"/>
            </w:tcMar>
            <w:vAlign w:val="center"/>
          </w:tcPr>
          <w:p w14:paraId="74673972" w14:textId="77777777" w:rsidR="004B7F06" w:rsidRDefault="00000000">
            <w:pPr>
              <w:spacing w:after="0" w:line="240" w:lineRule="auto"/>
            </w:pPr>
            <w:r>
              <w:rPr>
                <w:color w:val="000000"/>
                <w:sz w:val="18"/>
              </w:rPr>
              <w:t xml:space="preserve">Tests whether the required </w:t>
            </w:r>
            <w:proofErr w:type="spellStart"/>
            <w:r>
              <w:rPr>
                <w:color w:val="000000"/>
                <w:sz w:val="18"/>
              </w:rPr>
              <w:t>authorisation</w:t>
            </w:r>
            <w:proofErr w:type="spellEnd"/>
            <w:r>
              <w:rPr>
                <w:color w:val="000000"/>
                <w:sz w:val="18"/>
              </w:rPr>
              <w:t xml:space="preserve"> is valid on the service date.</w:t>
            </w:r>
          </w:p>
        </w:tc>
        <w:tc>
          <w:tcPr>
            <w:tcW w:w="3628" w:type="dxa"/>
            <w:tcBorders>
              <w:top w:val="single" w:sz="6" w:space="0" w:color="D9D9D9"/>
              <w:left w:val="single" w:sz="6" w:space="0" w:color="D9D9D9"/>
              <w:bottom w:val="single" w:sz="6" w:space="0" w:color="D9D9D9"/>
              <w:right w:val="single" w:sz="6" w:space="0" w:color="D9D9D9"/>
            </w:tcBorders>
            <w:shd w:val="clear" w:color="auto" w:fill="F3F7FA"/>
            <w:tcMar>
              <w:top w:w="85" w:type="dxa"/>
              <w:left w:w="100" w:type="dxa"/>
              <w:bottom w:w="85" w:type="dxa"/>
              <w:right w:w="100" w:type="dxa"/>
            </w:tcMar>
            <w:vAlign w:val="center"/>
          </w:tcPr>
          <w:p w14:paraId="3713D33C" w14:textId="77777777" w:rsidR="004B7F06" w:rsidRDefault="00000000">
            <w:pPr>
              <w:spacing w:after="0" w:line="240" w:lineRule="auto"/>
            </w:pPr>
            <w:r>
              <w:rPr>
                <w:color w:val="000000"/>
                <w:sz w:val="18"/>
              </w:rPr>
              <w:t>Called only after coverage identifies the need.</w:t>
            </w:r>
          </w:p>
        </w:tc>
      </w:tr>
      <w:tr w:rsidR="004B7F06" w14:paraId="4C132E21" w14:textId="77777777">
        <w:trPr>
          <w:cantSplit/>
          <w:jc w:val="center"/>
        </w:trPr>
        <w:tc>
          <w:tcPr>
            <w:tcW w:w="2376"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7C7E9A18" w14:textId="77777777" w:rsidR="004B7F06" w:rsidRDefault="00000000">
            <w:pPr>
              <w:spacing w:after="0" w:line="240" w:lineRule="auto"/>
            </w:pPr>
            <w:proofErr w:type="spellStart"/>
            <w:r>
              <w:rPr>
                <w:color w:val="000000"/>
                <w:sz w:val="18"/>
              </w:rPr>
              <w:t>lookup_hospital</w:t>
            </w:r>
            <w:proofErr w:type="spellEnd"/>
          </w:p>
        </w:tc>
        <w:tc>
          <w:tcPr>
            <w:tcW w:w="3744"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1FEA7BCA" w14:textId="77777777" w:rsidR="004B7F06" w:rsidRDefault="00000000">
            <w:pPr>
              <w:spacing w:after="0" w:line="240" w:lineRule="auto"/>
            </w:pPr>
            <w:r>
              <w:rPr>
                <w:color w:val="000000"/>
                <w:sz w:val="18"/>
              </w:rPr>
              <w:t>Records the hospital panel-status check.</w:t>
            </w:r>
          </w:p>
        </w:tc>
        <w:tc>
          <w:tcPr>
            <w:tcW w:w="3628"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019BAB9C" w14:textId="77777777" w:rsidR="004B7F06" w:rsidRDefault="00000000">
            <w:pPr>
              <w:spacing w:after="0" w:line="240" w:lineRule="auto"/>
            </w:pPr>
            <w:r>
              <w:rPr>
                <w:color w:val="000000"/>
                <w:sz w:val="18"/>
              </w:rPr>
              <w:t>Returns hospital facts only.</w:t>
            </w:r>
          </w:p>
        </w:tc>
      </w:tr>
      <w:tr w:rsidR="004B7F06" w14:paraId="29524646" w14:textId="77777777">
        <w:trPr>
          <w:cantSplit/>
          <w:jc w:val="center"/>
        </w:trPr>
        <w:tc>
          <w:tcPr>
            <w:tcW w:w="2376" w:type="dxa"/>
            <w:tcBorders>
              <w:top w:val="single" w:sz="6" w:space="0" w:color="D9D9D9"/>
              <w:left w:val="single" w:sz="6" w:space="0" w:color="D9D9D9"/>
              <w:bottom w:val="single" w:sz="6" w:space="0" w:color="D9D9D9"/>
              <w:right w:val="single" w:sz="6" w:space="0" w:color="D9D9D9"/>
            </w:tcBorders>
            <w:shd w:val="clear" w:color="auto" w:fill="F3F7FA"/>
            <w:tcMar>
              <w:top w:w="85" w:type="dxa"/>
              <w:left w:w="100" w:type="dxa"/>
              <w:bottom w:w="85" w:type="dxa"/>
              <w:right w:w="100" w:type="dxa"/>
            </w:tcMar>
            <w:vAlign w:val="center"/>
          </w:tcPr>
          <w:p w14:paraId="16DD7325" w14:textId="77777777" w:rsidR="004B7F06" w:rsidRDefault="00000000">
            <w:pPr>
              <w:spacing w:after="0" w:line="240" w:lineRule="auto"/>
            </w:pPr>
            <w:proofErr w:type="spellStart"/>
            <w:r>
              <w:rPr>
                <w:color w:val="000000"/>
                <w:sz w:val="18"/>
              </w:rPr>
              <w:t>check_duplicate_claim</w:t>
            </w:r>
            <w:proofErr w:type="spellEnd"/>
          </w:p>
        </w:tc>
        <w:tc>
          <w:tcPr>
            <w:tcW w:w="3744" w:type="dxa"/>
            <w:tcBorders>
              <w:top w:val="single" w:sz="6" w:space="0" w:color="D9D9D9"/>
              <w:left w:val="single" w:sz="6" w:space="0" w:color="D9D9D9"/>
              <w:bottom w:val="single" w:sz="6" w:space="0" w:color="D9D9D9"/>
              <w:right w:val="single" w:sz="6" w:space="0" w:color="D9D9D9"/>
            </w:tcBorders>
            <w:shd w:val="clear" w:color="auto" w:fill="F3F7FA"/>
            <w:tcMar>
              <w:top w:w="85" w:type="dxa"/>
              <w:left w:w="100" w:type="dxa"/>
              <w:bottom w:w="85" w:type="dxa"/>
              <w:right w:w="100" w:type="dxa"/>
            </w:tcMar>
            <w:vAlign w:val="center"/>
          </w:tcPr>
          <w:p w14:paraId="48971880" w14:textId="77777777" w:rsidR="004B7F06" w:rsidRDefault="00000000">
            <w:pPr>
              <w:spacing w:after="0" w:line="240" w:lineRule="auto"/>
            </w:pPr>
            <w:r>
              <w:rPr>
                <w:color w:val="000000"/>
                <w:sz w:val="18"/>
              </w:rPr>
              <w:t>Supports the fixed duplicate-claim escalation.</w:t>
            </w:r>
          </w:p>
        </w:tc>
        <w:tc>
          <w:tcPr>
            <w:tcW w:w="3628" w:type="dxa"/>
            <w:tcBorders>
              <w:top w:val="single" w:sz="6" w:space="0" w:color="D9D9D9"/>
              <w:left w:val="single" w:sz="6" w:space="0" w:color="D9D9D9"/>
              <w:bottom w:val="single" w:sz="6" w:space="0" w:color="D9D9D9"/>
              <w:right w:val="single" w:sz="6" w:space="0" w:color="D9D9D9"/>
            </w:tcBorders>
            <w:shd w:val="clear" w:color="auto" w:fill="F3F7FA"/>
            <w:tcMar>
              <w:top w:w="85" w:type="dxa"/>
              <w:left w:w="100" w:type="dxa"/>
              <w:bottom w:w="85" w:type="dxa"/>
              <w:right w:w="100" w:type="dxa"/>
            </w:tcMar>
            <w:vAlign w:val="center"/>
          </w:tcPr>
          <w:p w14:paraId="6793B9F8" w14:textId="77777777" w:rsidR="004B7F06" w:rsidRDefault="00000000">
            <w:pPr>
              <w:spacing w:after="0" w:line="240" w:lineRule="auto"/>
            </w:pPr>
            <w:r>
              <w:rPr>
                <w:color w:val="000000"/>
                <w:sz w:val="18"/>
              </w:rPr>
              <w:t>Compares a claim episode with decided-claim history.</w:t>
            </w:r>
          </w:p>
        </w:tc>
      </w:tr>
      <w:tr w:rsidR="004B7F06" w14:paraId="0A92B281" w14:textId="77777777">
        <w:trPr>
          <w:cantSplit/>
          <w:jc w:val="center"/>
        </w:trPr>
        <w:tc>
          <w:tcPr>
            <w:tcW w:w="2376"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545EA37A" w14:textId="77777777" w:rsidR="004B7F06" w:rsidRDefault="00000000">
            <w:pPr>
              <w:spacing w:after="0" w:line="240" w:lineRule="auto"/>
            </w:pPr>
            <w:proofErr w:type="spellStart"/>
            <w:r>
              <w:rPr>
                <w:color w:val="000000"/>
                <w:sz w:val="18"/>
              </w:rPr>
              <w:t>check_required_documents</w:t>
            </w:r>
            <w:proofErr w:type="spellEnd"/>
          </w:p>
        </w:tc>
        <w:tc>
          <w:tcPr>
            <w:tcW w:w="3744"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4DB25410" w14:textId="77777777" w:rsidR="004B7F06" w:rsidRDefault="00000000">
            <w:pPr>
              <w:spacing w:after="0" w:line="240" w:lineRule="auto"/>
            </w:pPr>
            <w:r>
              <w:rPr>
                <w:color w:val="000000"/>
                <w:sz w:val="18"/>
              </w:rPr>
              <w:t>Names a missing attachment in a request.</w:t>
            </w:r>
          </w:p>
        </w:tc>
        <w:tc>
          <w:tcPr>
            <w:tcW w:w="3628"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4D4FD45C" w14:textId="77777777" w:rsidR="004B7F06" w:rsidRDefault="00000000">
            <w:pPr>
              <w:spacing w:after="0" w:line="240" w:lineRule="auto"/>
            </w:pPr>
            <w:r>
              <w:rPr>
                <w:color w:val="000000"/>
                <w:sz w:val="18"/>
              </w:rPr>
              <w:t>Compares attachments with document rules.</w:t>
            </w:r>
          </w:p>
        </w:tc>
      </w:tr>
      <w:tr w:rsidR="004B7F06" w14:paraId="777902BE" w14:textId="77777777">
        <w:trPr>
          <w:cantSplit/>
          <w:jc w:val="center"/>
        </w:trPr>
        <w:tc>
          <w:tcPr>
            <w:tcW w:w="2376" w:type="dxa"/>
            <w:tcBorders>
              <w:top w:val="single" w:sz="6" w:space="0" w:color="D9D9D9"/>
              <w:left w:val="single" w:sz="6" w:space="0" w:color="D9D9D9"/>
              <w:bottom w:val="single" w:sz="6" w:space="0" w:color="D9D9D9"/>
              <w:right w:val="single" w:sz="6" w:space="0" w:color="D9D9D9"/>
            </w:tcBorders>
            <w:shd w:val="clear" w:color="auto" w:fill="F3F7FA"/>
            <w:tcMar>
              <w:top w:w="85" w:type="dxa"/>
              <w:left w:w="100" w:type="dxa"/>
              <w:bottom w:w="85" w:type="dxa"/>
              <w:right w:w="100" w:type="dxa"/>
            </w:tcMar>
            <w:vAlign w:val="center"/>
          </w:tcPr>
          <w:p w14:paraId="38D6B39D" w14:textId="77777777" w:rsidR="004B7F06" w:rsidRDefault="00000000">
            <w:pPr>
              <w:spacing w:after="0" w:line="240" w:lineRule="auto"/>
            </w:pPr>
            <w:proofErr w:type="spellStart"/>
            <w:r>
              <w:rPr>
                <w:color w:val="000000"/>
                <w:sz w:val="18"/>
              </w:rPr>
              <w:t>issue_decision_letter</w:t>
            </w:r>
            <w:proofErr w:type="spellEnd"/>
          </w:p>
        </w:tc>
        <w:tc>
          <w:tcPr>
            <w:tcW w:w="3744" w:type="dxa"/>
            <w:tcBorders>
              <w:top w:val="single" w:sz="6" w:space="0" w:color="D9D9D9"/>
              <w:left w:val="single" w:sz="6" w:space="0" w:color="D9D9D9"/>
              <w:bottom w:val="single" w:sz="6" w:space="0" w:color="D9D9D9"/>
              <w:right w:val="single" w:sz="6" w:space="0" w:color="D9D9D9"/>
            </w:tcBorders>
            <w:shd w:val="clear" w:color="auto" w:fill="F3F7FA"/>
            <w:tcMar>
              <w:top w:w="85" w:type="dxa"/>
              <w:left w:w="100" w:type="dxa"/>
              <w:bottom w:w="85" w:type="dxa"/>
              <w:right w:w="100" w:type="dxa"/>
            </w:tcMar>
            <w:vAlign w:val="center"/>
          </w:tcPr>
          <w:p w14:paraId="1FB56315" w14:textId="77777777" w:rsidR="004B7F06" w:rsidRDefault="00000000">
            <w:pPr>
              <w:spacing w:after="0" w:line="240" w:lineRule="auto"/>
            </w:pPr>
            <w:r>
              <w:rPr>
                <w:color w:val="000000"/>
                <w:sz w:val="18"/>
              </w:rPr>
              <w:t>Records the gated business outcome locally.</w:t>
            </w:r>
          </w:p>
        </w:tc>
        <w:tc>
          <w:tcPr>
            <w:tcW w:w="3628" w:type="dxa"/>
            <w:tcBorders>
              <w:top w:val="single" w:sz="6" w:space="0" w:color="D9D9D9"/>
              <w:left w:val="single" w:sz="6" w:space="0" w:color="D9D9D9"/>
              <w:bottom w:val="single" w:sz="6" w:space="0" w:color="D9D9D9"/>
              <w:right w:val="single" w:sz="6" w:space="0" w:color="D9D9D9"/>
            </w:tcBorders>
            <w:shd w:val="clear" w:color="auto" w:fill="F3F7FA"/>
            <w:tcMar>
              <w:top w:w="85" w:type="dxa"/>
              <w:left w:w="100" w:type="dxa"/>
              <w:bottom w:w="85" w:type="dxa"/>
              <w:right w:w="100" w:type="dxa"/>
            </w:tcMar>
            <w:vAlign w:val="center"/>
          </w:tcPr>
          <w:p w14:paraId="0CA6D654" w14:textId="77777777" w:rsidR="004B7F06" w:rsidRDefault="00000000">
            <w:pPr>
              <w:spacing w:after="0" w:line="240" w:lineRule="auto"/>
            </w:pPr>
            <w:r>
              <w:rPr>
                <w:color w:val="000000"/>
                <w:sz w:val="18"/>
              </w:rPr>
              <w:t>The only write; it does not generate or send a letter.</w:t>
            </w:r>
          </w:p>
        </w:tc>
      </w:tr>
    </w:tbl>
    <w:p w14:paraId="786B35FF" w14:textId="77777777" w:rsidR="004B7F06" w:rsidRDefault="004B7F06">
      <w:pPr>
        <w:pStyle w:val="af2"/>
        <w:spacing w:line="240" w:lineRule="auto"/>
        <w:rPr>
          <w:color w:val="000000"/>
          <w:sz w:val="22"/>
        </w:rPr>
      </w:pPr>
    </w:p>
    <w:p w14:paraId="440364F5" w14:textId="77777777" w:rsidR="004B7F06" w:rsidRDefault="00000000">
      <w:pPr>
        <w:pStyle w:val="af2"/>
        <w:spacing w:line="240" w:lineRule="auto"/>
        <w:rPr>
          <w:color w:val="000000"/>
          <w:sz w:val="22"/>
        </w:rPr>
      </w:pPr>
      <w:r>
        <w:rPr>
          <w:color w:val="000000"/>
          <w:sz w:val="22"/>
        </w:rPr>
        <w:t xml:space="preserve">Each tool uses a six-field contract: signature, unique question, valid inputs, bounded return, failure conditions, irreversibility. </w:t>
      </w:r>
      <w:proofErr w:type="spellStart"/>
      <w:r>
        <w:rPr>
          <w:color w:val="000000"/>
          <w:sz w:val="22"/>
        </w:rPr>
        <w:t>lookup_policy</w:t>
      </w:r>
      <w:proofErr w:type="spellEnd"/>
      <w:r>
        <w:rPr>
          <w:color w:val="000000"/>
          <w:sz w:val="22"/>
        </w:rPr>
        <w:t xml:space="preserve"> runs at claim level, </w:t>
      </w:r>
      <w:proofErr w:type="spellStart"/>
      <w:r>
        <w:rPr>
          <w:color w:val="000000"/>
          <w:sz w:val="22"/>
        </w:rPr>
        <w:t>check_coverage</w:t>
      </w:r>
      <w:proofErr w:type="spellEnd"/>
      <w:r>
        <w:rPr>
          <w:color w:val="000000"/>
          <w:sz w:val="22"/>
        </w:rPr>
        <w:t xml:space="preserve"> at line level; </w:t>
      </w:r>
      <w:proofErr w:type="spellStart"/>
      <w:r>
        <w:rPr>
          <w:color w:val="000000"/>
          <w:sz w:val="22"/>
        </w:rPr>
        <w:t>check_required_documents</w:t>
      </w:r>
      <w:proofErr w:type="spellEnd"/>
      <w:r>
        <w:rPr>
          <w:color w:val="000000"/>
          <w:sz w:val="22"/>
        </w:rPr>
        <w:t xml:space="preserve"> only processes attachments. Three error guardrails: ID validation, </w:t>
      </w:r>
      <w:proofErr w:type="spellStart"/>
      <w:r>
        <w:rPr>
          <w:color w:val="000000"/>
          <w:sz w:val="22"/>
        </w:rPr>
        <w:t>additionalProperties</w:t>
      </w:r>
      <w:proofErr w:type="spellEnd"/>
      <w:r>
        <w:rPr>
          <w:color w:val="000000"/>
          <w:sz w:val="22"/>
        </w:rPr>
        <w:t>=false to block fake arguments, write tools require non-model confirmation.</w:t>
      </w:r>
    </w:p>
    <w:p w14:paraId="5144E571" w14:textId="77777777" w:rsidR="004B7F06" w:rsidRDefault="00000000">
      <w:pPr>
        <w:pStyle w:val="af2"/>
        <w:spacing w:line="240" w:lineRule="auto"/>
      </w:pPr>
      <w:r>
        <w:rPr>
          <w:color w:val="000000"/>
          <w:sz w:val="22"/>
        </w:rPr>
        <w:t xml:space="preserve">The experiment modified only </w:t>
      </w:r>
      <w:proofErr w:type="spellStart"/>
      <w:r>
        <w:rPr>
          <w:color w:val="000000"/>
          <w:sz w:val="22"/>
        </w:rPr>
        <w:t>check_coverage</w:t>
      </w:r>
      <w:proofErr w:type="spellEnd"/>
      <w:r>
        <w:rPr>
          <w:color w:val="000000"/>
          <w:sz w:val="22"/>
        </w:rPr>
        <w:t xml:space="preserve">. V1 returned code, description, </w:t>
      </w:r>
      <w:proofErr w:type="spellStart"/>
      <w:r>
        <w:rPr>
          <w:color w:val="000000"/>
          <w:sz w:val="22"/>
        </w:rPr>
        <w:t>preauth</w:t>
      </w:r>
      <w:proofErr w:type="spellEnd"/>
      <w:r>
        <w:rPr>
          <w:color w:val="000000"/>
          <w:sz w:val="22"/>
        </w:rPr>
        <w:t xml:space="preserve"> flag, excluded status and rule. V2 swapped description for </w:t>
      </w:r>
      <w:proofErr w:type="spellStart"/>
      <w:r>
        <w:rPr>
          <w:color w:val="000000"/>
          <w:sz w:val="22"/>
        </w:rPr>
        <w:t>coverage_status</w:t>
      </w:r>
      <w:proofErr w:type="spellEnd"/>
      <w:r>
        <w:rPr>
          <w:color w:val="000000"/>
          <w:sz w:val="22"/>
        </w:rPr>
        <w:t>, clarifying excluded lines skip claim escalation. Fixed setup: 30 standard (1 run), 10 negative (3 runs), 60 trials per version. Decision accuracy rose 48.3%→61.7%, full-record 43.3%→55.0%. Both passed 5 interface checks. V2 improved accuracy with near-identical token overhead (58.45 vs 58.23).</w:t>
      </w:r>
      <w:r>
        <w:br w:type="page"/>
      </w:r>
    </w:p>
    <w:p w14:paraId="5B23031B" w14:textId="77777777" w:rsidR="004B7F06" w:rsidRDefault="00000000">
      <w:pPr>
        <w:keepNext/>
        <w:spacing w:before="100" w:after="60" w:line="240" w:lineRule="auto"/>
      </w:pPr>
      <w:r>
        <w:rPr>
          <w:b/>
          <w:color w:val="000000"/>
          <w:sz w:val="20"/>
        </w:rPr>
        <w:lastRenderedPageBreak/>
        <w:t xml:space="preserve">Table </w:t>
      </w:r>
      <w:proofErr w:type="gramStart"/>
      <w:r>
        <w:rPr>
          <w:b/>
          <w:color w:val="000000"/>
          <w:sz w:val="20"/>
        </w:rPr>
        <w:t>2  Descriptor</w:t>
      </w:r>
      <w:proofErr w:type="gramEnd"/>
      <w:r>
        <w:rPr>
          <w:b/>
          <w:color w:val="000000"/>
          <w:sz w:val="20"/>
        </w:rPr>
        <w:t xml:space="preserve"> rewrite on the same live model</w:t>
      </w:r>
    </w:p>
    <w:tbl>
      <w:tblPr>
        <w:tblW w:w="0" w:type="auto"/>
        <w:jc w:val="center"/>
        <w:tblLayout w:type="fixed"/>
        <w:tblLook w:val="04A0" w:firstRow="1" w:lastRow="0" w:firstColumn="1" w:lastColumn="0" w:noHBand="0" w:noVBand="1"/>
      </w:tblPr>
      <w:tblGrid>
        <w:gridCol w:w="5040"/>
        <w:gridCol w:w="2304"/>
        <w:gridCol w:w="2404"/>
      </w:tblGrid>
      <w:tr w:rsidR="004B7F06" w14:paraId="58348839" w14:textId="77777777">
        <w:trPr>
          <w:cantSplit/>
          <w:tblHeader/>
          <w:jc w:val="center"/>
        </w:trPr>
        <w:tc>
          <w:tcPr>
            <w:tcW w:w="5040" w:type="dxa"/>
            <w:tcBorders>
              <w:top w:val="single" w:sz="6" w:space="0" w:color="D9D9D9"/>
              <w:left w:val="single" w:sz="6" w:space="0" w:color="D9D9D9"/>
              <w:bottom w:val="single" w:sz="6" w:space="0" w:color="D9D9D9"/>
              <w:right w:val="single" w:sz="6" w:space="0" w:color="D9D9D9"/>
            </w:tcBorders>
            <w:shd w:val="clear" w:color="auto" w:fill="1F4E78"/>
            <w:tcMar>
              <w:top w:w="85" w:type="dxa"/>
              <w:left w:w="100" w:type="dxa"/>
              <w:bottom w:w="85" w:type="dxa"/>
              <w:right w:w="100" w:type="dxa"/>
            </w:tcMar>
            <w:vAlign w:val="center"/>
          </w:tcPr>
          <w:p w14:paraId="693B0197" w14:textId="77777777" w:rsidR="004B7F06" w:rsidRDefault="00000000">
            <w:pPr>
              <w:spacing w:after="0" w:line="240" w:lineRule="auto"/>
              <w:jc w:val="center"/>
            </w:pPr>
            <w:r>
              <w:rPr>
                <w:b/>
                <w:color w:val="FFFFFF"/>
                <w:sz w:val="19"/>
              </w:rPr>
              <w:t>Measure</w:t>
            </w:r>
          </w:p>
        </w:tc>
        <w:tc>
          <w:tcPr>
            <w:tcW w:w="2304" w:type="dxa"/>
            <w:tcBorders>
              <w:top w:val="single" w:sz="6" w:space="0" w:color="D9D9D9"/>
              <w:left w:val="single" w:sz="6" w:space="0" w:color="D9D9D9"/>
              <w:bottom w:val="single" w:sz="6" w:space="0" w:color="D9D9D9"/>
              <w:right w:val="single" w:sz="6" w:space="0" w:color="D9D9D9"/>
            </w:tcBorders>
            <w:shd w:val="clear" w:color="auto" w:fill="1F4E78"/>
            <w:tcMar>
              <w:top w:w="85" w:type="dxa"/>
              <w:left w:w="100" w:type="dxa"/>
              <w:bottom w:w="85" w:type="dxa"/>
              <w:right w:w="100" w:type="dxa"/>
            </w:tcMar>
            <w:vAlign w:val="center"/>
          </w:tcPr>
          <w:p w14:paraId="17B8F572" w14:textId="77777777" w:rsidR="004B7F06" w:rsidRDefault="00000000">
            <w:pPr>
              <w:spacing w:after="0" w:line="240" w:lineRule="auto"/>
              <w:jc w:val="center"/>
            </w:pPr>
            <w:r>
              <w:rPr>
                <w:b/>
                <w:color w:val="FFFFFF"/>
                <w:sz w:val="19"/>
              </w:rPr>
              <w:t>V1</w:t>
            </w:r>
          </w:p>
        </w:tc>
        <w:tc>
          <w:tcPr>
            <w:tcW w:w="2404" w:type="dxa"/>
            <w:tcBorders>
              <w:top w:val="single" w:sz="6" w:space="0" w:color="D9D9D9"/>
              <w:left w:val="single" w:sz="6" w:space="0" w:color="D9D9D9"/>
              <w:bottom w:val="single" w:sz="6" w:space="0" w:color="D9D9D9"/>
              <w:right w:val="single" w:sz="6" w:space="0" w:color="D9D9D9"/>
            </w:tcBorders>
            <w:shd w:val="clear" w:color="auto" w:fill="1F4E78"/>
            <w:tcMar>
              <w:top w:w="85" w:type="dxa"/>
              <w:left w:w="100" w:type="dxa"/>
              <w:bottom w:w="85" w:type="dxa"/>
              <w:right w:w="100" w:type="dxa"/>
            </w:tcMar>
            <w:vAlign w:val="center"/>
          </w:tcPr>
          <w:p w14:paraId="2DACC5FF" w14:textId="77777777" w:rsidR="004B7F06" w:rsidRDefault="00000000">
            <w:pPr>
              <w:spacing w:after="0" w:line="240" w:lineRule="auto"/>
              <w:jc w:val="center"/>
            </w:pPr>
            <w:r>
              <w:rPr>
                <w:b/>
                <w:color w:val="FFFFFF"/>
                <w:sz w:val="19"/>
              </w:rPr>
              <w:t>V2</w:t>
            </w:r>
          </w:p>
        </w:tc>
      </w:tr>
      <w:tr w:rsidR="004B7F06" w14:paraId="72C8B5F2" w14:textId="77777777">
        <w:trPr>
          <w:cantSplit/>
          <w:jc w:val="center"/>
        </w:trPr>
        <w:tc>
          <w:tcPr>
            <w:tcW w:w="5040"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725AE292" w14:textId="77777777" w:rsidR="004B7F06" w:rsidRDefault="00000000">
            <w:pPr>
              <w:spacing w:after="0" w:line="240" w:lineRule="auto"/>
            </w:pPr>
            <w:r>
              <w:rPr>
                <w:color w:val="000000"/>
                <w:sz w:val="19"/>
              </w:rPr>
              <w:t>Trials</w:t>
            </w:r>
          </w:p>
        </w:tc>
        <w:tc>
          <w:tcPr>
            <w:tcW w:w="2304"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23B30283" w14:textId="77777777" w:rsidR="004B7F06" w:rsidRDefault="00000000">
            <w:pPr>
              <w:spacing w:after="0" w:line="240" w:lineRule="auto"/>
            </w:pPr>
            <w:r>
              <w:rPr>
                <w:color w:val="000000"/>
                <w:sz w:val="19"/>
              </w:rPr>
              <w:t>60</w:t>
            </w:r>
          </w:p>
        </w:tc>
        <w:tc>
          <w:tcPr>
            <w:tcW w:w="2404"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25741EA7" w14:textId="77777777" w:rsidR="004B7F06" w:rsidRDefault="00000000">
            <w:pPr>
              <w:spacing w:after="0" w:line="240" w:lineRule="auto"/>
            </w:pPr>
            <w:r>
              <w:rPr>
                <w:color w:val="000000"/>
                <w:sz w:val="19"/>
              </w:rPr>
              <w:t>60</w:t>
            </w:r>
          </w:p>
        </w:tc>
      </w:tr>
      <w:tr w:rsidR="004B7F06" w14:paraId="14C92A2D" w14:textId="77777777">
        <w:trPr>
          <w:cantSplit/>
          <w:jc w:val="center"/>
        </w:trPr>
        <w:tc>
          <w:tcPr>
            <w:tcW w:w="5040" w:type="dxa"/>
            <w:tcBorders>
              <w:top w:val="single" w:sz="6" w:space="0" w:color="D9D9D9"/>
              <w:left w:val="single" w:sz="6" w:space="0" w:color="D9D9D9"/>
              <w:bottom w:val="single" w:sz="6" w:space="0" w:color="D9D9D9"/>
              <w:right w:val="single" w:sz="6" w:space="0" w:color="D9D9D9"/>
            </w:tcBorders>
            <w:shd w:val="clear" w:color="auto" w:fill="F3F7FA"/>
            <w:tcMar>
              <w:top w:w="85" w:type="dxa"/>
              <w:left w:w="100" w:type="dxa"/>
              <w:bottom w:w="85" w:type="dxa"/>
              <w:right w:w="100" w:type="dxa"/>
            </w:tcMar>
            <w:vAlign w:val="center"/>
          </w:tcPr>
          <w:p w14:paraId="18F8F77B" w14:textId="77777777" w:rsidR="004B7F06" w:rsidRDefault="00000000">
            <w:pPr>
              <w:spacing w:after="0" w:line="240" w:lineRule="auto"/>
            </w:pPr>
            <w:r>
              <w:rPr>
                <w:color w:val="000000"/>
                <w:sz w:val="19"/>
              </w:rPr>
              <w:t>Decision accuracy</w:t>
            </w:r>
          </w:p>
        </w:tc>
        <w:tc>
          <w:tcPr>
            <w:tcW w:w="2304" w:type="dxa"/>
            <w:tcBorders>
              <w:top w:val="single" w:sz="6" w:space="0" w:color="D9D9D9"/>
              <w:left w:val="single" w:sz="6" w:space="0" w:color="D9D9D9"/>
              <w:bottom w:val="single" w:sz="6" w:space="0" w:color="D9D9D9"/>
              <w:right w:val="single" w:sz="6" w:space="0" w:color="D9D9D9"/>
            </w:tcBorders>
            <w:shd w:val="clear" w:color="auto" w:fill="F3F7FA"/>
            <w:tcMar>
              <w:top w:w="85" w:type="dxa"/>
              <w:left w:w="100" w:type="dxa"/>
              <w:bottom w:w="85" w:type="dxa"/>
              <w:right w:w="100" w:type="dxa"/>
            </w:tcMar>
            <w:vAlign w:val="center"/>
          </w:tcPr>
          <w:p w14:paraId="223AF92F" w14:textId="77777777" w:rsidR="004B7F06" w:rsidRDefault="00000000">
            <w:pPr>
              <w:spacing w:after="0" w:line="240" w:lineRule="auto"/>
            </w:pPr>
            <w:r>
              <w:rPr>
                <w:color w:val="000000"/>
                <w:sz w:val="19"/>
              </w:rPr>
              <w:t>48.3%</w:t>
            </w:r>
          </w:p>
        </w:tc>
        <w:tc>
          <w:tcPr>
            <w:tcW w:w="2404" w:type="dxa"/>
            <w:tcBorders>
              <w:top w:val="single" w:sz="6" w:space="0" w:color="D9D9D9"/>
              <w:left w:val="single" w:sz="6" w:space="0" w:color="D9D9D9"/>
              <w:bottom w:val="single" w:sz="6" w:space="0" w:color="D9D9D9"/>
              <w:right w:val="single" w:sz="6" w:space="0" w:color="D9D9D9"/>
            </w:tcBorders>
            <w:shd w:val="clear" w:color="auto" w:fill="F3F7FA"/>
            <w:tcMar>
              <w:top w:w="85" w:type="dxa"/>
              <w:left w:w="100" w:type="dxa"/>
              <w:bottom w:w="85" w:type="dxa"/>
              <w:right w:w="100" w:type="dxa"/>
            </w:tcMar>
            <w:vAlign w:val="center"/>
          </w:tcPr>
          <w:p w14:paraId="4B764F33" w14:textId="77777777" w:rsidR="004B7F06" w:rsidRDefault="00000000">
            <w:pPr>
              <w:spacing w:after="0" w:line="240" w:lineRule="auto"/>
            </w:pPr>
            <w:r>
              <w:rPr>
                <w:color w:val="000000"/>
                <w:sz w:val="19"/>
              </w:rPr>
              <w:t>61.7%</w:t>
            </w:r>
          </w:p>
        </w:tc>
      </w:tr>
      <w:tr w:rsidR="004B7F06" w14:paraId="39E1AB05" w14:textId="77777777">
        <w:trPr>
          <w:cantSplit/>
          <w:jc w:val="center"/>
        </w:trPr>
        <w:tc>
          <w:tcPr>
            <w:tcW w:w="5040"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0463C13D" w14:textId="77777777" w:rsidR="004B7F06" w:rsidRDefault="00000000">
            <w:pPr>
              <w:spacing w:after="0" w:line="240" w:lineRule="auto"/>
            </w:pPr>
            <w:r>
              <w:rPr>
                <w:color w:val="000000"/>
                <w:sz w:val="19"/>
              </w:rPr>
              <w:t>Full-record accuracy</w:t>
            </w:r>
          </w:p>
        </w:tc>
        <w:tc>
          <w:tcPr>
            <w:tcW w:w="2304"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01F9002E" w14:textId="77777777" w:rsidR="004B7F06" w:rsidRDefault="00000000">
            <w:pPr>
              <w:spacing w:after="0" w:line="240" w:lineRule="auto"/>
            </w:pPr>
            <w:r>
              <w:rPr>
                <w:color w:val="000000"/>
                <w:sz w:val="19"/>
              </w:rPr>
              <w:t>43.3%</w:t>
            </w:r>
          </w:p>
        </w:tc>
        <w:tc>
          <w:tcPr>
            <w:tcW w:w="2404"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48888EF8" w14:textId="77777777" w:rsidR="004B7F06" w:rsidRDefault="00000000">
            <w:pPr>
              <w:spacing w:after="0" w:line="240" w:lineRule="auto"/>
            </w:pPr>
            <w:r>
              <w:rPr>
                <w:color w:val="000000"/>
                <w:sz w:val="19"/>
              </w:rPr>
              <w:t>55.0%</w:t>
            </w:r>
          </w:p>
        </w:tc>
      </w:tr>
      <w:tr w:rsidR="004B7F06" w14:paraId="1F962234" w14:textId="77777777">
        <w:trPr>
          <w:cantSplit/>
          <w:jc w:val="center"/>
        </w:trPr>
        <w:tc>
          <w:tcPr>
            <w:tcW w:w="5040" w:type="dxa"/>
            <w:tcBorders>
              <w:top w:val="single" w:sz="6" w:space="0" w:color="D9D9D9"/>
              <w:left w:val="single" w:sz="6" w:space="0" w:color="D9D9D9"/>
              <w:bottom w:val="single" w:sz="6" w:space="0" w:color="D9D9D9"/>
              <w:right w:val="single" w:sz="6" w:space="0" w:color="D9D9D9"/>
            </w:tcBorders>
            <w:shd w:val="clear" w:color="auto" w:fill="F3F7FA"/>
            <w:tcMar>
              <w:top w:w="85" w:type="dxa"/>
              <w:left w:w="100" w:type="dxa"/>
              <w:bottom w:w="85" w:type="dxa"/>
              <w:right w:w="100" w:type="dxa"/>
            </w:tcMar>
            <w:vAlign w:val="center"/>
          </w:tcPr>
          <w:p w14:paraId="216AB104" w14:textId="77777777" w:rsidR="004B7F06" w:rsidRDefault="00000000">
            <w:pPr>
              <w:spacing w:after="0" w:line="240" w:lineRule="auto"/>
            </w:pPr>
            <w:r>
              <w:rPr>
                <w:color w:val="000000"/>
                <w:sz w:val="19"/>
              </w:rPr>
              <w:t>Tool-return tokens per call</w:t>
            </w:r>
          </w:p>
        </w:tc>
        <w:tc>
          <w:tcPr>
            <w:tcW w:w="2304" w:type="dxa"/>
            <w:tcBorders>
              <w:top w:val="single" w:sz="6" w:space="0" w:color="D9D9D9"/>
              <w:left w:val="single" w:sz="6" w:space="0" w:color="D9D9D9"/>
              <w:bottom w:val="single" w:sz="6" w:space="0" w:color="D9D9D9"/>
              <w:right w:val="single" w:sz="6" w:space="0" w:color="D9D9D9"/>
            </w:tcBorders>
            <w:shd w:val="clear" w:color="auto" w:fill="F3F7FA"/>
            <w:tcMar>
              <w:top w:w="85" w:type="dxa"/>
              <w:left w:w="100" w:type="dxa"/>
              <w:bottom w:w="85" w:type="dxa"/>
              <w:right w:w="100" w:type="dxa"/>
            </w:tcMar>
            <w:vAlign w:val="center"/>
          </w:tcPr>
          <w:p w14:paraId="1515A3E6" w14:textId="77777777" w:rsidR="004B7F06" w:rsidRDefault="00000000">
            <w:pPr>
              <w:spacing w:after="0" w:line="240" w:lineRule="auto"/>
            </w:pPr>
            <w:r>
              <w:rPr>
                <w:color w:val="000000"/>
                <w:sz w:val="19"/>
              </w:rPr>
              <w:t>58.23</w:t>
            </w:r>
          </w:p>
        </w:tc>
        <w:tc>
          <w:tcPr>
            <w:tcW w:w="2404" w:type="dxa"/>
            <w:tcBorders>
              <w:top w:val="single" w:sz="6" w:space="0" w:color="D9D9D9"/>
              <w:left w:val="single" w:sz="6" w:space="0" w:color="D9D9D9"/>
              <w:bottom w:val="single" w:sz="6" w:space="0" w:color="D9D9D9"/>
              <w:right w:val="single" w:sz="6" w:space="0" w:color="D9D9D9"/>
            </w:tcBorders>
            <w:shd w:val="clear" w:color="auto" w:fill="F3F7FA"/>
            <w:tcMar>
              <w:top w:w="85" w:type="dxa"/>
              <w:left w:w="100" w:type="dxa"/>
              <w:bottom w:w="85" w:type="dxa"/>
              <w:right w:w="100" w:type="dxa"/>
            </w:tcMar>
            <w:vAlign w:val="center"/>
          </w:tcPr>
          <w:p w14:paraId="7A3D5FEE" w14:textId="77777777" w:rsidR="004B7F06" w:rsidRDefault="00000000">
            <w:pPr>
              <w:spacing w:after="0" w:line="240" w:lineRule="auto"/>
            </w:pPr>
            <w:r>
              <w:rPr>
                <w:color w:val="000000"/>
                <w:sz w:val="19"/>
              </w:rPr>
              <w:t>58.45</w:t>
            </w:r>
          </w:p>
        </w:tc>
      </w:tr>
      <w:tr w:rsidR="004B7F06" w14:paraId="6106E582" w14:textId="77777777">
        <w:trPr>
          <w:cantSplit/>
          <w:jc w:val="center"/>
        </w:trPr>
        <w:tc>
          <w:tcPr>
            <w:tcW w:w="5040"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5DAAD85D" w14:textId="77777777" w:rsidR="004B7F06" w:rsidRDefault="00000000">
            <w:pPr>
              <w:spacing w:after="0" w:line="240" w:lineRule="auto"/>
            </w:pPr>
            <w:r>
              <w:rPr>
                <w:color w:val="000000"/>
                <w:sz w:val="19"/>
              </w:rPr>
              <w:t>Interface guardrails passed</w:t>
            </w:r>
          </w:p>
        </w:tc>
        <w:tc>
          <w:tcPr>
            <w:tcW w:w="2304"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7E3B5FD1" w14:textId="77777777" w:rsidR="004B7F06" w:rsidRDefault="00000000">
            <w:pPr>
              <w:spacing w:after="0" w:line="240" w:lineRule="auto"/>
            </w:pPr>
            <w:r>
              <w:rPr>
                <w:color w:val="000000"/>
                <w:sz w:val="19"/>
              </w:rPr>
              <w:t>5/5</w:t>
            </w:r>
          </w:p>
        </w:tc>
        <w:tc>
          <w:tcPr>
            <w:tcW w:w="2404"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46D7D4AE" w14:textId="77777777" w:rsidR="004B7F06" w:rsidRDefault="00000000">
            <w:pPr>
              <w:spacing w:after="0" w:line="240" w:lineRule="auto"/>
            </w:pPr>
            <w:r>
              <w:rPr>
                <w:color w:val="000000"/>
                <w:sz w:val="19"/>
              </w:rPr>
              <w:t>5/5</w:t>
            </w:r>
          </w:p>
        </w:tc>
      </w:tr>
    </w:tbl>
    <w:p w14:paraId="609FA54F" w14:textId="77777777" w:rsidR="004B7F06" w:rsidRDefault="004B7F06">
      <w:pPr>
        <w:pStyle w:val="af2"/>
        <w:spacing w:line="240" w:lineRule="auto"/>
        <w:rPr>
          <w:color w:val="000000"/>
          <w:sz w:val="22"/>
        </w:rPr>
      </w:pPr>
    </w:p>
    <w:p w14:paraId="6795B5EB" w14:textId="77777777" w:rsidR="004B7F06" w:rsidRDefault="00000000">
      <w:pPr>
        <w:pStyle w:val="af2"/>
        <w:spacing w:line="240" w:lineRule="auto"/>
        <w:rPr>
          <w:color w:val="000000"/>
          <w:sz w:val="22"/>
        </w:rPr>
      </w:pPr>
      <w:r>
        <w:rPr>
          <w:color w:val="000000"/>
          <w:sz w:val="22"/>
        </w:rPr>
        <w:t xml:space="preserve">Calls may run together only if none needs an output from another call in that block. </w:t>
      </w:r>
      <w:proofErr w:type="spellStart"/>
      <w:r>
        <w:rPr>
          <w:color w:val="000000"/>
          <w:sz w:val="22"/>
        </w:rPr>
        <w:t>get_claim</w:t>
      </w:r>
      <w:proofErr w:type="spellEnd"/>
      <w:r>
        <w:rPr>
          <w:color w:val="000000"/>
          <w:sz w:val="22"/>
        </w:rPr>
        <w:t xml:space="preserve"> runs first. Once it returns the identifiers, duplicate, policy and hospital checks can run together. Coverage checks for independent line items can then share a turn. Pre-</w:t>
      </w:r>
      <w:proofErr w:type="spellStart"/>
      <w:r>
        <w:rPr>
          <w:color w:val="000000"/>
          <w:sz w:val="22"/>
        </w:rPr>
        <w:t>authorisation</w:t>
      </w:r>
      <w:proofErr w:type="spellEnd"/>
      <w:r>
        <w:rPr>
          <w:color w:val="000000"/>
          <w:sz w:val="22"/>
        </w:rPr>
        <w:t xml:space="preserve"> waits until coverage identifies the procedures that need it. Document checking only needs the claim ID, but we defer it to avoid an unnecessary call after an early escalation. In the 60-trial scripted comparison, both modes achieved a 100.0% full-record pass rate and used 6.10 tool calls per trial. Parallel calling reduced mean turns from 6.10 to 3.85 and estimated input tokens from 8,177.67 to 5,135.25. Estimated input cost for all 60 trials fell from US$0.049071 to US$0.030812. These are scripted estimates using a 1,200-token prefix and a simple proxy of one token per four characters, not live-</w:t>
      </w:r>
      <w:r>
        <w:rPr>
          <w:rFonts w:eastAsia="宋体" w:hint="eastAsia"/>
          <w:color w:val="000000"/>
          <w:sz w:val="22"/>
        </w:rPr>
        <w:t xml:space="preserve"> </w:t>
      </w:r>
      <w:r>
        <w:rPr>
          <w:color w:val="000000"/>
          <w:sz w:val="22"/>
        </w:rPr>
        <w:t>model billing.</w:t>
      </w:r>
    </w:p>
    <w:p w14:paraId="7570D9A0" w14:textId="77777777" w:rsidR="004B7F06" w:rsidRDefault="00000000">
      <w:pPr>
        <w:keepNext/>
        <w:spacing w:before="100" w:after="60" w:line="240" w:lineRule="auto"/>
      </w:pPr>
      <w:r>
        <w:rPr>
          <w:b/>
          <w:color w:val="000000"/>
          <w:sz w:val="20"/>
        </w:rPr>
        <w:t xml:space="preserve">Table </w:t>
      </w:r>
      <w:proofErr w:type="gramStart"/>
      <w:r>
        <w:rPr>
          <w:b/>
          <w:color w:val="000000"/>
          <w:sz w:val="20"/>
        </w:rPr>
        <w:t>3  Sequential</w:t>
      </w:r>
      <w:proofErr w:type="gramEnd"/>
      <w:r>
        <w:rPr>
          <w:b/>
          <w:color w:val="000000"/>
          <w:sz w:val="20"/>
        </w:rPr>
        <w:t xml:space="preserve"> and parallel scripted comparison</w:t>
      </w:r>
    </w:p>
    <w:tbl>
      <w:tblPr>
        <w:tblW w:w="0" w:type="auto"/>
        <w:jc w:val="center"/>
        <w:tblLayout w:type="fixed"/>
        <w:tblLook w:val="04A0" w:firstRow="1" w:lastRow="0" w:firstColumn="1" w:lastColumn="0" w:noHBand="0" w:noVBand="1"/>
      </w:tblPr>
      <w:tblGrid>
        <w:gridCol w:w="5040"/>
        <w:gridCol w:w="2304"/>
        <w:gridCol w:w="2404"/>
      </w:tblGrid>
      <w:tr w:rsidR="004B7F06" w14:paraId="563D5A34" w14:textId="77777777">
        <w:trPr>
          <w:cantSplit/>
          <w:tblHeader/>
          <w:jc w:val="center"/>
        </w:trPr>
        <w:tc>
          <w:tcPr>
            <w:tcW w:w="5040" w:type="dxa"/>
            <w:tcBorders>
              <w:top w:val="single" w:sz="6" w:space="0" w:color="D9D9D9"/>
              <w:left w:val="single" w:sz="6" w:space="0" w:color="D9D9D9"/>
              <w:bottom w:val="single" w:sz="6" w:space="0" w:color="D9D9D9"/>
              <w:right w:val="single" w:sz="6" w:space="0" w:color="D9D9D9"/>
            </w:tcBorders>
            <w:shd w:val="clear" w:color="auto" w:fill="1F4E78"/>
            <w:tcMar>
              <w:top w:w="85" w:type="dxa"/>
              <w:left w:w="100" w:type="dxa"/>
              <w:bottom w:w="85" w:type="dxa"/>
              <w:right w:w="100" w:type="dxa"/>
            </w:tcMar>
            <w:vAlign w:val="center"/>
          </w:tcPr>
          <w:p w14:paraId="0559C67D" w14:textId="77777777" w:rsidR="004B7F06" w:rsidRDefault="00000000">
            <w:pPr>
              <w:spacing w:after="0" w:line="240" w:lineRule="auto"/>
              <w:jc w:val="center"/>
            </w:pPr>
            <w:r>
              <w:rPr>
                <w:b/>
                <w:color w:val="FFFFFF"/>
                <w:sz w:val="19"/>
              </w:rPr>
              <w:t>Measure</w:t>
            </w:r>
          </w:p>
        </w:tc>
        <w:tc>
          <w:tcPr>
            <w:tcW w:w="2304" w:type="dxa"/>
            <w:tcBorders>
              <w:top w:val="single" w:sz="6" w:space="0" w:color="D9D9D9"/>
              <w:left w:val="single" w:sz="6" w:space="0" w:color="D9D9D9"/>
              <w:bottom w:val="single" w:sz="6" w:space="0" w:color="D9D9D9"/>
              <w:right w:val="single" w:sz="6" w:space="0" w:color="D9D9D9"/>
            </w:tcBorders>
            <w:shd w:val="clear" w:color="auto" w:fill="1F4E78"/>
            <w:tcMar>
              <w:top w:w="85" w:type="dxa"/>
              <w:left w:w="100" w:type="dxa"/>
              <w:bottom w:w="85" w:type="dxa"/>
              <w:right w:w="100" w:type="dxa"/>
            </w:tcMar>
            <w:vAlign w:val="center"/>
          </w:tcPr>
          <w:p w14:paraId="60206A85" w14:textId="77777777" w:rsidR="004B7F06" w:rsidRDefault="00000000">
            <w:pPr>
              <w:spacing w:after="0" w:line="240" w:lineRule="auto"/>
              <w:jc w:val="center"/>
            </w:pPr>
            <w:r>
              <w:rPr>
                <w:b/>
                <w:color w:val="FFFFFF"/>
                <w:sz w:val="19"/>
              </w:rPr>
              <w:t>Sequential</w:t>
            </w:r>
          </w:p>
        </w:tc>
        <w:tc>
          <w:tcPr>
            <w:tcW w:w="2404" w:type="dxa"/>
            <w:tcBorders>
              <w:top w:val="single" w:sz="6" w:space="0" w:color="D9D9D9"/>
              <w:left w:val="single" w:sz="6" w:space="0" w:color="D9D9D9"/>
              <w:bottom w:val="single" w:sz="6" w:space="0" w:color="D9D9D9"/>
              <w:right w:val="single" w:sz="6" w:space="0" w:color="D9D9D9"/>
            </w:tcBorders>
            <w:shd w:val="clear" w:color="auto" w:fill="1F4E78"/>
            <w:tcMar>
              <w:top w:w="85" w:type="dxa"/>
              <w:left w:w="100" w:type="dxa"/>
              <w:bottom w:w="85" w:type="dxa"/>
              <w:right w:w="100" w:type="dxa"/>
            </w:tcMar>
            <w:vAlign w:val="center"/>
          </w:tcPr>
          <w:p w14:paraId="56A36A99" w14:textId="77777777" w:rsidR="004B7F06" w:rsidRDefault="00000000">
            <w:pPr>
              <w:spacing w:after="0" w:line="240" w:lineRule="auto"/>
              <w:jc w:val="center"/>
            </w:pPr>
            <w:r>
              <w:rPr>
                <w:b/>
                <w:color w:val="FFFFFF"/>
                <w:sz w:val="19"/>
              </w:rPr>
              <w:t>Parallel</w:t>
            </w:r>
          </w:p>
        </w:tc>
      </w:tr>
      <w:tr w:rsidR="004B7F06" w14:paraId="01242687" w14:textId="77777777">
        <w:trPr>
          <w:cantSplit/>
          <w:jc w:val="center"/>
        </w:trPr>
        <w:tc>
          <w:tcPr>
            <w:tcW w:w="5040"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0ABA68F1" w14:textId="77777777" w:rsidR="004B7F06" w:rsidRDefault="00000000">
            <w:pPr>
              <w:spacing w:after="0" w:line="240" w:lineRule="auto"/>
            </w:pPr>
            <w:r>
              <w:rPr>
                <w:color w:val="000000"/>
                <w:sz w:val="19"/>
              </w:rPr>
              <w:t>Trials</w:t>
            </w:r>
          </w:p>
        </w:tc>
        <w:tc>
          <w:tcPr>
            <w:tcW w:w="2304"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2C58962E" w14:textId="77777777" w:rsidR="004B7F06" w:rsidRDefault="00000000">
            <w:pPr>
              <w:spacing w:after="0" w:line="240" w:lineRule="auto"/>
            </w:pPr>
            <w:r>
              <w:rPr>
                <w:color w:val="000000"/>
                <w:sz w:val="19"/>
              </w:rPr>
              <w:t>60</w:t>
            </w:r>
          </w:p>
        </w:tc>
        <w:tc>
          <w:tcPr>
            <w:tcW w:w="2404"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5D863821" w14:textId="77777777" w:rsidR="004B7F06" w:rsidRDefault="00000000">
            <w:pPr>
              <w:spacing w:after="0" w:line="240" w:lineRule="auto"/>
            </w:pPr>
            <w:r>
              <w:rPr>
                <w:color w:val="000000"/>
                <w:sz w:val="19"/>
              </w:rPr>
              <w:t>60</w:t>
            </w:r>
          </w:p>
        </w:tc>
      </w:tr>
      <w:tr w:rsidR="004B7F06" w14:paraId="4E15F046" w14:textId="77777777">
        <w:trPr>
          <w:cantSplit/>
          <w:jc w:val="center"/>
        </w:trPr>
        <w:tc>
          <w:tcPr>
            <w:tcW w:w="5040" w:type="dxa"/>
            <w:tcBorders>
              <w:top w:val="single" w:sz="6" w:space="0" w:color="D9D9D9"/>
              <w:left w:val="single" w:sz="6" w:space="0" w:color="D9D9D9"/>
              <w:bottom w:val="single" w:sz="6" w:space="0" w:color="D9D9D9"/>
              <w:right w:val="single" w:sz="6" w:space="0" w:color="D9D9D9"/>
            </w:tcBorders>
            <w:shd w:val="clear" w:color="auto" w:fill="F3F7FA"/>
            <w:tcMar>
              <w:top w:w="85" w:type="dxa"/>
              <w:left w:w="100" w:type="dxa"/>
              <w:bottom w:w="85" w:type="dxa"/>
              <w:right w:w="100" w:type="dxa"/>
            </w:tcMar>
            <w:vAlign w:val="center"/>
          </w:tcPr>
          <w:p w14:paraId="62E6C908" w14:textId="77777777" w:rsidR="004B7F06" w:rsidRDefault="00000000">
            <w:pPr>
              <w:spacing w:after="0" w:line="240" w:lineRule="auto"/>
            </w:pPr>
            <w:r>
              <w:rPr>
                <w:color w:val="000000"/>
                <w:sz w:val="19"/>
              </w:rPr>
              <w:t>Full-record pass rate</w:t>
            </w:r>
          </w:p>
        </w:tc>
        <w:tc>
          <w:tcPr>
            <w:tcW w:w="2304" w:type="dxa"/>
            <w:tcBorders>
              <w:top w:val="single" w:sz="6" w:space="0" w:color="D9D9D9"/>
              <w:left w:val="single" w:sz="6" w:space="0" w:color="D9D9D9"/>
              <w:bottom w:val="single" w:sz="6" w:space="0" w:color="D9D9D9"/>
              <w:right w:val="single" w:sz="6" w:space="0" w:color="D9D9D9"/>
            </w:tcBorders>
            <w:shd w:val="clear" w:color="auto" w:fill="F3F7FA"/>
            <w:tcMar>
              <w:top w:w="85" w:type="dxa"/>
              <w:left w:w="100" w:type="dxa"/>
              <w:bottom w:w="85" w:type="dxa"/>
              <w:right w:w="100" w:type="dxa"/>
            </w:tcMar>
            <w:vAlign w:val="center"/>
          </w:tcPr>
          <w:p w14:paraId="4ABB1664" w14:textId="77777777" w:rsidR="004B7F06" w:rsidRDefault="00000000">
            <w:pPr>
              <w:spacing w:after="0" w:line="240" w:lineRule="auto"/>
            </w:pPr>
            <w:r>
              <w:rPr>
                <w:color w:val="000000"/>
                <w:sz w:val="19"/>
              </w:rPr>
              <w:t>100.0%</w:t>
            </w:r>
          </w:p>
        </w:tc>
        <w:tc>
          <w:tcPr>
            <w:tcW w:w="2404" w:type="dxa"/>
            <w:tcBorders>
              <w:top w:val="single" w:sz="6" w:space="0" w:color="D9D9D9"/>
              <w:left w:val="single" w:sz="6" w:space="0" w:color="D9D9D9"/>
              <w:bottom w:val="single" w:sz="6" w:space="0" w:color="D9D9D9"/>
              <w:right w:val="single" w:sz="6" w:space="0" w:color="D9D9D9"/>
            </w:tcBorders>
            <w:shd w:val="clear" w:color="auto" w:fill="F3F7FA"/>
            <w:tcMar>
              <w:top w:w="85" w:type="dxa"/>
              <w:left w:w="100" w:type="dxa"/>
              <w:bottom w:w="85" w:type="dxa"/>
              <w:right w:w="100" w:type="dxa"/>
            </w:tcMar>
            <w:vAlign w:val="center"/>
          </w:tcPr>
          <w:p w14:paraId="0656E182" w14:textId="77777777" w:rsidR="004B7F06" w:rsidRDefault="00000000">
            <w:pPr>
              <w:spacing w:after="0" w:line="240" w:lineRule="auto"/>
            </w:pPr>
            <w:r>
              <w:rPr>
                <w:color w:val="000000"/>
                <w:sz w:val="19"/>
              </w:rPr>
              <w:t>100.0%</w:t>
            </w:r>
          </w:p>
        </w:tc>
      </w:tr>
      <w:tr w:rsidR="004B7F06" w14:paraId="76E27A3B" w14:textId="77777777">
        <w:trPr>
          <w:cantSplit/>
          <w:jc w:val="center"/>
        </w:trPr>
        <w:tc>
          <w:tcPr>
            <w:tcW w:w="5040"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3AAF822D" w14:textId="77777777" w:rsidR="004B7F06" w:rsidRDefault="00000000">
            <w:pPr>
              <w:spacing w:after="0" w:line="240" w:lineRule="auto"/>
            </w:pPr>
            <w:r>
              <w:rPr>
                <w:color w:val="000000"/>
                <w:sz w:val="19"/>
              </w:rPr>
              <w:t>Mean tool calls</w:t>
            </w:r>
          </w:p>
        </w:tc>
        <w:tc>
          <w:tcPr>
            <w:tcW w:w="2304"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7A21BC87" w14:textId="77777777" w:rsidR="004B7F06" w:rsidRDefault="00000000">
            <w:pPr>
              <w:spacing w:after="0" w:line="240" w:lineRule="auto"/>
            </w:pPr>
            <w:r>
              <w:rPr>
                <w:color w:val="000000"/>
                <w:sz w:val="19"/>
              </w:rPr>
              <w:t>6.10</w:t>
            </w:r>
          </w:p>
        </w:tc>
        <w:tc>
          <w:tcPr>
            <w:tcW w:w="2404"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7B4A927B" w14:textId="77777777" w:rsidR="004B7F06" w:rsidRDefault="00000000">
            <w:pPr>
              <w:spacing w:after="0" w:line="240" w:lineRule="auto"/>
            </w:pPr>
            <w:r>
              <w:rPr>
                <w:color w:val="000000"/>
                <w:sz w:val="19"/>
              </w:rPr>
              <w:t>6.10</w:t>
            </w:r>
          </w:p>
        </w:tc>
      </w:tr>
      <w:tr w:rsidR="004B7F06" w14:paraId="0C9E33C3" w14:textId="77777777">
        <w:trPr>
          <w:cantSplit/>
          <w:jc w:val="center"/>
        </w:trPr>
        <w:tc>
          <w:tcPr>
            <w:tcW w:w="5040" w:type="dxa"/>
            <w:tcBorders>
              <w:top w:val="single" w:sz="6" w:space="0" w:color="D9D9D9"/>
              <w:left w:val="single" w:sz="6" w:space="0" w:color="D9D9D9"/>
              <w:bottom w:val="single" w:sz="6" w:space="0" w:color="D9D9D9"/>
              <w:right w:val="single" w:sz="6" w:space="0" w:color="D9D9D9"/>
            </w:tcBorders>
            <w:shd w:val="clear" w:color="auto" w:fill="F3F7FA"/>
            <w:tcMar>
              <w:top w:w="85" w:type="dxa"/>
              <w:left w:w="100" w:type="dxa"/>
              <w:bottom w:w="85" w:type="dxa"/>
              <w:right w:w="100" w:type="dxa"/>
            </w:tcMar>
            <w:vAlign w:val="center"/>
          </w:tcPr>
          <w:p w14:paraId="69782BE2" w14:textId="77777777" w:rsidR="004B7F06" w:rsidRDefault="00000000">
            <w:pPr>
              <w:spacing w:after="0" w:line="240" w:lineRule="auto"/>
            </w:pPr>
            <w:r>
              <w:rPr>
                <w:color w:val="000000"/>
                <w:sz w:val="19"/>
              </w:rPr>
              <w:t>Mean turns</w:t>
            </w:r>
          </w:p>
        </w:tc>
        <w:tc>
          <w:tcPr>
            <w:tcW w:w="2304" w:type="dxa"/>
            <w:tcBorders>
              <w:top w:val="single" w:sz="6" w:space="0" w:color="D9D9D9"/>
              <w:left w:val="single" w:sz="6" w:space="0" w:color="D9D9D9"/>
              <w:bottom w:val="single" w:sz="6" w:space="0" w:color="D9D9D9"/>
              <w:right w:val="single" w:sz="6" w:space="0" w:color="D9D9D9"/>
            </w:tcBorders>
            <w:shd w:val="clear" w:color="auto" w:fill="F3F7FA"/>
            <w:tcMar>
              <w:top w:w="85" w:type="dxa"/>
              <w:left w:w="100" w:type="dxa"/>
              <w:bottom w:w="85" w:type="dxa"/>
              <w:right w:w="100" w:type="dxa"/>
            </w:tcMar>
            <w:vAlign w:val="center"/>
          </w:tcPr>
          <w:p w14:paraId="42386015" w14:textId="77777777" w:rsidR="004B7F06" w:rsidRDefault="00000000">
            <w:pPr>
              <w:spacing w:after="0" w:line="240" w:lineRule="auto"/>
            </w:pPr>
            <w:r>
              <w:rPr>
                <w:color w:val="000000"/>
                <w:sz w:val="19"/>
              </w:rPr>
              <w:t>6.10</w:t>
            </w:r>
          </w:p>
        </w:tc>
        <w:tc>
          <w:tcPr>
            <w:tcW w:w="2404" w:type="dxa"/>
            <w:tcBorders>
              <w:top w:val="single" w:sz="6" w:space="0" w:color="D9D9D9"/>
              <w:left w:val="single" w:sz="6" w:space="0" w:color="D9D9D9"/>
              <w:bottom w:val="single" w:sz="6" w:space="0" w:color="D9D9D9"/>
              <w:right w:val="single" w:sz="6" w:space="0" w:color="D9D9D9"/>
            </w:tcBorders>
            <w:shd w:val="clear" w:color="auto" w:fill="F3F7FA"/>
            <w:tcMar>
              <w:top w:w="85" w:type="dxa"/>
              <w:left w:w="100" w:type="dxa"/>
              <w:bottom w:w="85" w:type="dxa"/>
              <w:right w:w="100" w:type="dxa"/>
            </w:tcMar>
            <w:vAlign w:val="center"/>
          </w:tcPr>
          <w:p w14:paraId="07CADD73" w14:textId="77777777" w:rsidR="004B7F06" w:rsidRDefault="00000000">
            <w:pPr>
              <w:spacing w:after="0" w:line="240" w:lineRule="auto"/>
            </w:pPr>
            <w:r>
              <w:rPr>
                <w:color w:val="000000"/>
                <w:sz w:val="19"/>
              </w:rPr>
              <w:t>3.85</w:t>
            </w:r>
          </w:p>
        </w:tc>
      </w:tr>
      <w:tr w:rsidR="004B7F06" w14:paraId="490FE8A0" w14:textId="77777777">
        <w:trPr>
          <w:cantSplit/>
          <w:jc w:val="center"/>
        </w:trPr>
        <w:tc>
          <w:tcPr>
            <w:tcW w:w="5040"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2C346F0C" w14:textId="77777777" w:rsidR="004B7F06" w:rsidRDefault="00000000">
            <w:pPr>
              <w:spacing w:after="0" w:line="240" w:lineRule="auto"/>
            </w:pPr>
            <w:r>
              <w:rPr>
                <w:color w:val="000000"/>
                <w:sz w:val="19"/>
              </w:rPr>
              <w:t>Estimated input tokens</w:t>
            </w:r>
          </w:p>
        </w:tc>
        <w:tc>
          <w:tcPr>
            <w:tcW w:w="2304"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7294E377" w14:textId="77777777" w:rsidR="004B7F06" w:rsidRDefault="00000000">
            <w:pPr>
              <w:spacing w:after="0" w:line="240" w:lineRule="auto"/>
            </w:pPr>
            <w:r>
              <w:rPr>
                <w:color w:val="000000"/>
                <w:sz w:val="19"/>
              </w:rPr>
              <w:t>8,177.67</w:t>
            </w:r>
          </w:p>
        </w:tc>
        <w:tc>
          <w:tcPr>
            <w:tcW w:w="2404"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54E750B4" w14:textId="77777777" w:rsidR="004B7F06" w:rsidRDefault="00000000">
            <w:pPr>
              <w:spacing w:after="0" w:line="240" w:lineRule="auto"/>
            </w:pPr>
            <w:r>
              <w:rPr>
                <w:color w:val="000000"/>
                <w:sz w:val="19"/>
              </w:rPr>
              <w:t>5,135.25</w:t>
            </w:r>
          </w:p>
        </w:tc>
      </w:tr>
      <w:tr w:rsidR="004B7F06" w14:paraId="14D63870" w14:textId="77777777">
        <w:trPr>
          <w:cantSplit/>
          <w:jc w:val="center"/>
        </w:trPr>
        <w:tc>
          <w:tcPr>
            <w:tcW w:w="5040" w:type="dxa"/>
            <w:tcBorders>
              <w:top w:val="single" w:sz="6" w:space="0" w:color="D9D9D9"/>
              <w:left w:val="single" w:sz="6" w:space="0" w:color="D9D9D9"/>
              <w:bottom w:val="single" w:sz="6" w:space="0" w:color="D9D9D9"/>
              <w:right w:val="single" w:sz="6" w:space="0" w:color="D9D9D9"/>
            </w:tcBorders>
            <w:shd w:val="clear" w:color="auto" w:fill="F3F7FA"/>
            <w:tcMar>
              <w:top w:w="85" w:type="dxa"/>
              <w:left w:w="100" w:type="dxa"/>
              <w:bottom w:w="85" w:type="dxa"/>
              <w:right w:w="100" w:type="dxa"/>
            </w:tcMar>
            <w:vAlign w:val="center"/>
          </w:tcPr>
          <w:p w14:paraId="025C16CC" w14:textId="77777777" w:rsidR="004B7F06" w:rsidRDefault="00000000">
            <w:pPr>
              <w:spacing w:after="0" w:line="240" w:lineRule="auto"/>
            </w:pPr>
            <w:r>
              <w:rPr>
                <w:color w:val="000000"/>
                <w:sz w:val="19"/>
              </w:rPr>
              <w:t>Estimated total input cost</w:t>
            </w:r>
          </w:p>
        </w:tc>
        <w:tc>
          <w:tcPr>
            <w:tcW w:w="2304" w:type="dxa"/>
            <w:tcBorders>
              <w:top w:val="single" w:sz="6" w:space="0" w:color="D9D9D9"/>
              <w:left w:val="single" w:sz="6" w:space="0" w:color="D9D9D9"/>
              <w:bottom w:val="single" w:sz="6" w:space="0" w:color="D9D9D9"/>
              <w:right w:val="single" w:sz="6" w:space="0" w:color="D9D9D9"/>
            </w:tcBorders>
            <w:shd w:val="clear" w:color="auto" w:fill="F3F7FA"/>
            <w:tcMar>
              <w:top w:w="85" w:type="dxa"/>
              <w:left w:w="100" w:type="dxa"/>
              <w:bottom w:w="85" w:type="dxa"/>
              <w:right w:w="100" w:type="dxa"/>
            </w:tcMar>
            <w:vAlign w:val="center"/>
          </w:tcPr>
          <w:p w14:paraId="21E34D54" w14:textId="77777777" w:rsidR="004B7F06" w:rsidRDefault="00000000">
            <w:pPr>
              <w:spacing w:after="0" w:line="240" w:lineRule="auto"/>
            </w:pPr>
            <w:r>
              <w:rPr>
                <w:color w:val="000000"/>
                <w:sz w:val="19"/>
              </w:rPr>
              <w:t>US$0.049071</w:t>
            </w:r>
          </w:p>
        </w:tc>
        <w:tc>
          <w:tcPr>
            <w:tcW w:w="2404" w:type="dxa"/>
            <w:tcBorders>
              <w:top w:val="single" w:sz="6" w:space="0" w:color="D9D9D9"/>
              <w:left w:val="single" w:sz="6" w:space="0" w:color="D9D9D9"/>
              <w:bottom w:val="single" w:sz="6" w:space="0" w:color="D9D9D9"/>
              <w:right w:val="single" w:sz="6" w:space="0" w:color="D9D9D9"/>
            </w:tcBorders>
            <w:shd w:val="clear" w:color="auto" w:fill="F3F7FA"/>
            <w:tcMar>
              <w:top w:w="85" w:type="dxa"/>
              <w:left w:w="100" w:type="dxa"/>
              <w:bottom w:w="85" w:type="dxa"/>
              <w:right w:w="100" w:type="dxa"/>
            </w:tcMar>
            <w:vAlign w:val="center"/>
          </w:tcPr>
          <w:p w14:paraId="281A525B" w14:textId="77777777" w:rsidR="004B7F06" w:rsidRDefault="00000000">
            <w:pPr>
              <w:spacing w:after="0" w:line="240" w:lineRule="auto"/>
            </w:pPr>
            <w:r>
              <w:rPr>
                <w:color w:val="000000"/>
                <w:sz w:val="19"/>
              </w:rPr>
              <w:t>US$0.030812</w:t>
            </w:r>
          </w:p>
        </w:tc>
      </w:tr>
    </w:tbl>
    <w:p w14:paraId="793FF02F" w14:textId="77777777" w:rsidR="004B7F06" w:rsidRDefault="004B7F06">
      <w:pPr>
        <w:spacing w:line="240" w:lineRule="auto"/>
      </w:pPr>
    </w:p>
    <w:p w14:paraId="24EE3090" w14:textId="77777777" w:rsidR="004B7F06" w:rsidRDefault="00000000">
      <w:pPr>
        <w:numPr>
          <w:ilvl w:val="0"/>
          <w:numId w:val="8"/>
        </w:numPr>
        <w:spacing w:line="240" w:lineRule="auto"/>
        <w:rPr>
          <w:color w:val="000000"/>
        </w:rPr>
      </w:pPr>
      <w:r>
        <w:rPr>
          <w:rFonts w:ascii="Times New Roman Bold" w:hAnsi="Times New Roman Bold" w:cs="Times New Roman Bold"/>
          <w:b/>
          <w:bCs/>
          <w:sz w:val="24"/>
          <w:szCs w:val="24"/>
        </w:rPr>
        <w:t>What the evidence showed</w:t>
      </w:r>
    </w:p>
    <w:p w14:paraId="60C9D6F5" w14:textId="77777777" w:rsidR="004B7F06" w:rsidRDefault="00000000">
      <w:pPr>
        <w:pStyle w:val="af2"/>
        <w:spacing w:line="240" w:lineRule="auto"/>
        <w:rPr>
          <w:color w:val="000000"/>
          <w:sz w:val="22"/>
        </w:rPr>
      </w:pPr>
      <w:r>
        <w:rPr>
          <w:color w:val="000000"/>
          <w:sz w:val="22"/>
        </w:rPr>
        <w:t>This evaluation adopted a 40-case test set consisting of 33 regular and 7 negative cases. The scripted backend delivered consistent judgment results across all trials, verifying the stability and determinism of the evaluation framework. However, real-model testing revealed substantial performance differences among tested models.</w:t>
      </w:r>
    </w:p>
    <w:p w14:paraId="3A485C41" w14:textId="77777777" w:rsidR="004B7F06" w:rsidRDefault="004B7F06">
      <w:pPr>
        <w:pStyle w:val="af2"/>
        <w:spacing w:line="240" w:lineRule="auto"/>
        <w:rPr>
          <w:color w:val="000000"/>
          <w:sz w:val="22"/>
        </w:rPr>
      </w:pPr>
    </w:p>
    <w:p w14:paraId="05080EFF" w14:textId="77777777" w:rsidR="004B7F06" w:rsidRDefault="00000000">
      <w:pPr>
        <w:pStyle w:val="af2"/>
        <w:spacing w:line="240" w:lineRule="auto"/>
        <w:rPr>
          <w:color w:val="000000"/>
          <w:sz w:val="22"/>
        </w:rPr>
      </w:pPr>
      <w:r>
        <w:rPr>
          <w:color w:val="000000"/>
          <w:sz w:val="22"/>
        </w:rPr>
        <w:t xml:space="preserve">OpenAI/gpt-5.6-luna took the lead with 80.0% record accuracy and 83.3% decision accuracy. It was followed by z-ai/glm-5.3-flash (73.3%), deepseek-v4-flash (66.7%), inception/mercury-2.5 (63.3%), and </w:t>
      </w:r>
      <w:proofErr w:type="spellStart"/>
      <w:r>
        <w:rPr>
          <w:color w:val="000000"/>
          <w:sz w:val="22"/>
        </w:rPr>
        <w:t>qwen</w:t>
      </w:r>
      <w:proofErr w:type="spellEnd"/>
      <w:r>
        <w:rPr>
          <w:color w:val="000000"/>
          <w:sz w:val="22"/>
        </w:rPr>
        <w:t>/qwen-2.5-7b-instruct (50.0% record accuracy, 60.0% decision accuracy). The full 20-percentage-point performance gap indicates model selection exerts a far greater impact on outcomes than prompt version adjustments.</w:t>
      </w:r>
    </w:p>
    <w:p w14:paraId="2133F6E6" w14:textId="77777777" w:rsidR="004B7F06" w:rsidRDefault="004B7F06">
      <w:pPr>
        <w:pStyle w:val="af2"/>
        <w:spacing w:line="240" w:lineRule="auto"/>
        <w:rPr>
          <w:color w:val="000000"/>
          <w:sz w:val="22"/>
        </w:rPr>
      </w:pPr>
    </w:p>
    <w:p w14:paraId="61939A1D" w14:textId="77777777" w:rsidR="004B7F06" w:rsidRDefault="00000000">
      <w:pPr>
        <w:pStyle w:val="af2"/>
        <w:spacing w:line="240" w:lineRule="auto"/>
        <w:rPr>
          <w:color w:val="000000"/>
          <w:sz w:val="22"/>
        </w:rPr>
      </w:pPr>
      <w:r>
        <w:rPr>
          <w:color w:val="000000"/>
          <w:sz w:val="22"/>
        </w:rPr>
        <w:lastRenderedPageBreak/>
        <w:t xml:space="preserve">The core distinction between these models lies not in their final outputs, but in how they handle cyclic tasks. Qwen-2.5-7B achieves the fastest tool invocation speed and most streamlined workflow: it averages 5.65 tool calls per run with zero errors or redundant calls, taking only 5.85 seconds per trial. Nevertheless, it has the lowest overall accuracy, which suggests the model runs operations without faults but skips essential verification steps. Deepseek-v4-flash and mercury-2.5 show opposite </w:t>
      </w:r>
      <w:proofErr w:type="spellStart"/>
      <w:r>
        <w:rPr>
          <w:color w:val="000000"/>
          <w:sz w:val="22"/>
        </w:rPr>
        <w:t>behaviour</w:t>
      </w:r>
      <w:proofErr w:type="spellEnd"/>
      <w:r>
        <w:rPr>
          <w:color w:val="000000"/>
          <w:sz w:val="22"/>
        </w:rPr>
        <w:t>, with 8 and 3 repeated calls respectively, indicating they repeatedly re</w:t>
      </w:r>
      <w:r>
        <w:rPr>
          <w:rFonts w:hint="eastAsia"/>
          <w:color w:val="000000"/>
          <w:sz w:val="22"/>
        </w:rPr>
        <w:t>-</w:t>
      </w:r>
      <w:r>
        <w:rPr>
          <w:color w:val="000000"/>
          <w:sz w:val="22"/>
        </w:rPr>
        <w:t>initiate queries instead of reasoning along logical chains. Gpt-5.6-luna encountered 15 tool call errors but produced no repeated calls, choosing to create new tool requests rather than get trapped in loops. Glm-5.3-flash delivers the most balanced overall performance, with merely one tool error and no redundant calls.</w:t>
      </w:r>
    </w:p>
    <w:p w14:paraId="768C2C17" w14:textId="77777777" w:rsidR="004B7F06" w:rsidRDefault="004B7F06">
      <w:pPr>
        <w:pStyle w:val="af2"/>
        <w:spacing w:line="240" w:lineRule="auto"/>
        <w:rPr>
          <w:color w:val="000000"/>
          <w:sz w:val="22"/>
        </w:rPr>
      </w:pPr>
    </w:p>
    <w:p w14:paraId="7A845B39" w14:textId="77777777" w:rsidR="004B7F06" w:rsidRDefault="00000000">
      <w:pPr>
        <w:pStyle w:val="af2"/>
        <w:spacing w:line="240" w:lineRule="auto"/>
        <w:rPr>
          <w:color w:val="000000"/>
          <w:sz w:val="22"/>
        </w:rPr>
      </w:pPr>
      <w:r>
        <w:rPr>
          <w:color w:val="000000"/>
          <w:sz w:val="22"/>
        </w:rPr>
        <w:t>Negative test cases uncovered flaws hidden by average metrics. Multiple models failed prompt injection defense, boundary value verification, duplicate claim screening and total amount checking in targeted edge cases. D7 reproduction tests further proved that action deduplication and compact typed returns greatly reduce interaction turns, cost and token consumption while improving pass rates. Without action deduplication, looping execution takes 8 turns at a cost of $0.00208, whereas enabling this mechanism reduces it to 2 turns and $0.000296. Lacking compact typed returns lowers the pass rate from 100% to 88.3% and doubles average return tokens from 28.09 to 58.03.</w:t>
      </w:r>
    </w:p>
    <w:p w14:paraId="42AC9710" w14:textId="77777777" w:rsidR="004B7F06" w:rsidRDefault="00000000">
      <w:pPr>
        <w:pStyle w:val="af2"/>
        <w:spacing w:line="240" w:lineRule="auto"/>
        <w:rPr>
          <w:color w:val="000000"/>
          <w:sz w:val="22"/>
        </w:rPr>
      </w:pPr>
      <w:r>
        <w:rPr>
          <w:color w:val="000000"/>
          <w:sz w:val="22"/>
        </w:rPr>
        <w:t>Overall, the dedicated evaluation framework effectively identifies model defects that conventional average indicators cannot capture.</w:t>
      </w:r>
    </w:p>
    <w:p w14:paraId="722C164E" w14:textId="77777777" w:rsidR="004B7F06" w:rsidRDefault="004B7F06">
      <w:pPr>
        <w:spacing w:line="240" w:lineRule="auto"/>
        <w:rPr>
          <w:color w:val="000000"/>
          <w:lang w:eastAsia="zh-CN"/>
        </w:rPr>
      </w:pPr>
    </w:p>
    <w:p w14:paraId="206091D8" w14:textId="77777777" w:rsidR="004B7F06" w:rsidRDefault="00000000">
      <w:pPr>
        <w:pStyle w:val="af2"/>
        <w:numPr>
          <w:ilvl w:val="0"/>
          <w:numId w:val="8"/>
        </w:numPr>
        <w:spacing w:line="240" w:lineRule="auto"/>
        <w:rPr>
          <w:rFonts w:ascii="Times New Roman Bold" w:hAnsi="Times New Roman Bold" w:cs="Times New Roman Bold"/>
          <w:b/>
          <w:bCs/>
          <w:color w:val="000000"/>
          <w:sz w:val="22"/>
        </w:rPr>
      </w:pPr>
      <w:r>
        <w:rPr>
          <w:rFonts w:ascii="Times New Roman Bold" w:hAnsi="Times New Roman Bold" w:cs="Times New Roman Bold"/>
          <w:b/>
          <w:bCs/>
          <w:color w:val="000000"/>
          <w:sz w:val="22"/>
        </w:rPr>
        <w:t>What It Costs</w:t>
      </w:r>
    </w:p>
    <w:p w14:paraId="33C7C756" w14:textId="77777777" w:rsidR="004B7F06" w:rsidRDefault="004B7F06">
      <w:pPr>
        <w:pStyle w:val="af2"/>
        <w:spacing w:line="240" w:lineRule="auto"/>
        <w:rPr>
          <w:color w:val="000000"/>
          <w:sz w:val="22"/>
        </w:rPr>
      </w:pPr>
    </w:p>
    <w:p w14:paraId="300553FC" w14:textId="77777777" w:rsidR="0066543D" w:rsidRDefault="0066543D" w:rsidP="0066543D">
      <w:pPr>
        <w:rPr>
          <w:rFonts w:hint="eastAsia"/>
        </w:rPr>
      </w:pPr>
      <w:r>
        <w:t xml:space="preserve">At 8,000 claims per month, GPT-5.6 Luna has the lowest estimated cost to serve among the five tested models: US$12,177 per month, compared with US$60,800 for fully manual review. This is an economic comparison, not approval for autonomous deployment. The estimate combines model token charges with a human-fallback proxy of US$7.60 per unsuccessful claim, based on 12 minutes at US$38 per hour. We use complete-record accuracy, which requires both the decision and structured record to be correct. The proxy assumes every incomplete record </w:t>
      </w:r>
      <w:proofErr w:type="gramStart"/>
      <w:r>
        <w:t>needs</w:t>
      </w:r>
      <w:proofErr w:type="gramEnd"/>
      <w:r>
        <w:t xml:space="preserve"> review; actual intervention rates were not observed.</w:t>
      </w:r>
    </w:p>
    <w:p w14:paraId="5773C97B" w14:textId="77777777" w:rsidR="0066543D" w:rsidRDefault="0066543D" w:rsidP="0066543D">
      <w:pPr>
        <w:rPr>
          <w:rFonts w:hint="eastAsia"/>
        </w:rPr>
      </w:pPr>
      <w:r>
        <w:t xml:space="preserve">Four levers explain the result. Tool-block size (B) was 225 tokens per turn, so repeated turns repeatedly expose the same instructions. Turn count (T) fell from 6.10 to 3.85 when independent calls were </w:t>
      </w:r>
      <w:proofErr w:type="spellStart"/>
      <w:r>
        <w:t>parallelised</w:t>
      </w:r>
      <w:proofErr w:type="spellEnd"/>
      <w:r>
        <w:t xml:space="preserve"> in a separate scripted test, reducing repeated context by 36.9%. Observation size (D) fell from 58.03 to 28.09 tokens per call after a typed-return rewrite, a 51.6% reduction. Success rate (P) is economically dominant: in the descriptor comparison it rose from 48.3% to 61.7%, while Luna achieved 80.0% complete-record accuracy in its 60 live trials. The D and P changes occurred alongside interface changes, so they should not be interpreted as isolated causal effects.</w:t>
      </w:r>
    </w:p>
    <w:p w14:paraId="100552D9" w14:textId="77777777" w:rsidR="0066543D" w:rsidRDefault="0066543D" w:rsidP="0066543D">
      <w:pPr>
        <w:rPr>
          <w:rFonts w:hint="eastAsia"/>
        </w:rPr>
      </w:pPr>
      <w:r>
        <w:t>Luna's average AI charge was about US$0.00216 per claim; expected fallback added US$1.52. The resulting monthly estimate is US$12,177.28. GLM, DeepSeek, Mercury and Qwen were estimated at US$16,221.47, US$21,289.50, US$22,299.61 and US$27,373.47 respectively. Model-token price differences are small beside fallback costs, which is why Luna ranks first despite not having the cheapest token charge. Full inputs, formulas and model outputs remain in the D6 repository workbook and evidence files.</w:t>
      </w:r>
    </w:p>
    <w:p w14:paraId="3747F62C" w14:textId="77777777" w:rsidR="0066543D" w:rsidRDefault="0066543D" w:rsidP="0066543D">
      <w:pPr>
        <w:rPr>
          <w:rFonts w:hint="eastAsia"/>
        </w:rPr>
      </w:pPr>
      <w:r>
        <w:lastRenderedPageBreak/>
        <w:t xml:space="preserve">Holding Luna's measured token cost constant, monthly cost is US$18,257 at 70% success, US$12,177 at 80%, and US$6,097 at 90%. </w:t>
      </w:r>
      <w:proofErr w:type="gramStart"/>
      <w:r>
        <w:t>Thus</w:t>
      </w:r>
      <w:proofErr w:type="gramEnd"/>
      <w:r>
        <w:t xml:space="preserve"> a ten-percentage-point change in success changes expected monthly fallback cost by US$6,080. Against the manual baseline, up to US$48,622.72 per month remains for unmeasured operating costs before the estimated saving disappears. Qwen's token charge is US$0.001684. Matching Luna's US$1.522160 cost per claim requires 79.99% complete-record accuracy: 1 - (1.522160 - 0.001684)/7.60. Qwen measured 55.0% and falls short; this is not a deployment threshold. Hosting, security, monitoring, maintenance and compliance were not quantified. Caching was not measured, and no separate reasoning-model tier was evaluated, so neither saving nor premium is included. Human confirmation remains necessary for consequential claim decisions.</w:t>
      </w:r>
    </w:p>
    <w:p w14:paraId="64BAB890" w14:textId="77777777" w:rsidR="004B7F06" w:rsidRDefault="004B7F06">
      <w:pPr>
        <w:pStyle w:val="af2"/>
        <w:spacing w:line="240" w:lineRule="auto"/>
        <w:rPr>
          <w:color w:val="000000"/>
          <w:sz w:val="22"/>
        </w:rPr>
      </w:pPr>
    </w:p>
    <w:p w14:paraId="6A475F2D" w14:textId="77777777" w:rsidR="004B7F06" w:rsidRDefault="00000000">
      <w:pPr>
        <w:pStyle w:val="af2"/>
        <w:numPr>
          <w:ilvl w:val="0"/>
          <w:numId w:val="8"/>
        </w:numPr>
        <w:spacing w:line="240" w:lineRule="auto"/>
        <w:rPr>
          <w:rFonts w:ascii="Times New Roman Bold" w:hAnsi="Times New Roman Bold" w:cs="Times New Roman Bold"/>
          <w:b/>
          <w:bCs/>
          <w:color w:val="000000"/>
          <w:szCs w:val="24"/>
        </w:rPr>
      </w:pPr>
      <w:r>
        <w:rPr>
          <w:rFonts w:ascii="Times New Roman Bold" w:hAnsi="Times New Roman Bold" w:cs="Times New Roman Bold"/>
          <w:b/>
          <w:bCs/>
          <w:color w:val="000000"/>
          <w:szCs w:val="24"/>
        </w:rPr>
        <w:t>The two failures</w:t>
      </w:r>
    </w:p>
    <w:p w14:paraId="4F1B2CA5" w14:textId="77777777" w:rsidR="004B7F06" w:rsidRDefault="004B7F06">
      <w:pPr>
        <w:pStyle w:val="af2"/>
        <w:spacing w:line="240" w:lineRule="auto"/>
        <w:rPr>
          <w:color w:val="000000"/>
          <w:sz w:val="22"/>
        </w:rPr>
      </w:pPr>
    </w:p>
    <w:p w14:paraId="608C93FA" w14:textId="77777777" w:rsidR="004B7F06" w:rsidRDefault="00000000">
      <w:pPr>
        <w:pStyle w:val="af2"/>
        <w:spacing w:line="240" w:lineRule="auto"/>
        <w:rPr>
          <w:color w:val="000000"/>
          <w:sz w:val="22"/>
        </w:rPr>
      </w:pPr>
      <w:r>
        <w:rPr>
          <w:color w:val="000000"/>
          <w:sz w:val="22"/>
        </w:rPr>
        <w:t>D7 exposed two different failure modes. The first was a loop-control failure. In the before condition, the agent repeated an identical action instead of progressing, producing no answer after eight turns. The run was eventually contained by the step cap, but this was a safety net rather than a real fix: it consumed 20,800 input tokens and cost US$0.00208, with a 0% pass rate. We detected the problem by inspecting the turn trace and identifying duplicate consecutive actions. The fix was implemented in the code layer using action de-duplication, which blocks the second identical call before another model turn is paid for. After the fix, the run completed in two turns, produced an answer, used 2,840 total tokens, cost US$0.000296, and achieved a 100% pass rate. This reduced both wasted computation and the risk of an uncontrolled tool loop.</w:t>
      </w:r>
    </w:p>
    <w:p w14:paraId="0C15B617" w14:textId="77777777" w:rsidR="004B7F06" w:rsidRDefault="004B7F06">
      <w:pPr>
        <w:pStyle w:val="af2"/>
        <w:spacing w:line="240" w:lineRule="auto"/>
        <w:rPr>
          <w:color w:val="000000"/>
          <w:sz w:val="22"/>
        </w:rPr>
      </w:pPr>
    </w:p>
    <w:p w14:paraId="37F742C8" w14:textId="77777777" w:rsidR="004B7F06" w:rsidRDefault="00000000">
      <w:pPr>
        <w:pStyle w:val="af2"/>
        <w:spacing w:line="240" w:lineRule="auto"/>
        <w:rPr>
          <w:color w:val="000000"/>
          <w:sz w:val="22"/>
        </w:rPr>
      </w:pPr>
      <w:r>
        <w:rPr>
          <w:color w:val="000000"/>
          <w:sz w:val="22"/>
        </w:rPr>
        <w:t>The second failure was at the tool-interface layer. The original interface used a compact typed coverage filter that could return a stale recommendation; before filtering, 60 trials achieved an 88.3% pass rate and returned an average of 58.03 tokens. The revised interface used a filtered typed return shape, so stale recommendations could not reach the model as valid observations. Pass rate increased to 100%, while average return tokens fell to 28.09 and observation cost fell from US$0.00000580 to US$0.00000281 per trial. This belongs in the interface layer because the defect was in the structure and validation of tool returns, not in prompting or loop control.</w:t>
      </w:r>
    </w:p>
    <w:p w14:paraId="23C9D5DD" w14:textId="77777777" w:rsidR="004B7F06" w:rsidRDefault="00000000">
      <w:pPr>
        <w:pStyle w:val="af2"/>
        <w:spacing w:line="240" w:lineRule="auto"/>
        <w:jc w:val="both"/>
        <w:rPr>
          <w:color w:val="000000"/>
          <w:sz w:val="22"/>
        </w:rPr>
      </w:pPr>
      <w:r>
        <w:rPr>
          <w:color w:val="000000"/>
          <w:sz w:val="22"/>
        </w:rPr>
        <w:t> </w:t>
      </w:r>
    </w:p>
    <w:p w14:paraId="111E45A5" w14:textId="77777777" w:rsidR="004B7F06" w:rsidRDefault="00000000">
      <w:pPr>
        <w:pStyle w:val="af2"/>
        <w:numPr>
          <w:ilvl w:val="0"/>
          <w:numId w:val="8"/>
        </w:numPr>
        <w:spacing w:line="240" w:lineRule="auto"/>
        <w:rPr>
          <w:rFonts w:ascii="Times New Roman Bold" w:hAnsi="Times New Roman Bold" w:cs="Times New Roman Bold"/>
          <w:b/>
          <w:bCs/>
          <w:color w:val="000000"/>
          <w:szCs w:val="24"/>
        </w:rPr>
      </w:pPr>
      <w:r>
        <w:rPr>
          <w:rFonts w:ascii="Times New Roman Bold" w:hAnsi="Times New Roman Bold" w:cs="Times New Roman Bold"/>
          <w:b/>
          <w:bCs/>
          <w:color w:val="000000"/>
          <w:szCs w:val="24"/>
        </w:rPr>
        <w:t>What we would not deploy</w:t>
      </w:r>
    </w:p>
    <w:p w14:paraId="516293EC" w14:textId="77777777" w:rsidR="004B7F06" w:rsidRDefault="004B7F06">
      <w:pPr>
        <w:pStyle w:val="af2"/>
        <w:spacing w:line="240" w:lineRule="auto"/>
        <w:rPr>
          <w:color w:val="000000"/>
          <w:sz w:val="22"/>
        </w:rPr>
      </w:pPr>
    </w:p>
    <w:p w14:paraId="4DD19B6D" w14:textId="77777777" w:rsidR="004B7F06" w:rsidRDefault="00000000">
      <w:pPr>
        <w:pStyle w:val="af2"/>
        <w:spacing w:line="240" w:lineRule="auto"/>
        <w:jc w:val="both"/>
        <w:rPr>
          <w:color w:val="000000"/>
          <w:sz w:val="22"/>
        </w:rPr>
      </w:pPr>
      <w:r>
        <w:rPr>
          <w:color w:val="000000"/>
          <w:sz w:val="22"/>
        </w:rPr>
        <w:t>We would not use this system to approve or reject claims without human confirmation. GPT-5.6 Luna achieved 80% complete-record accuracy across 60 trials, while Qwen achieved 55%. In the CLM-8910 test, Qwen found that the policy had lapsed but still recommended approval after seven tool calls. Correct evidence retrieval therefore did not guarantee a safe decision.</w:t>
      </w:r>
    </w:p>
    <w:p w14:paraId="7D448481" w14:textId="77777777" w:rsidR="004B7F06" w:rsidRDefault="004B7F06">
      <w:pPr>
        <w:pStyle w:val="af2"/>
        <w:spacing w:line="240" w:lineRule="auto"/>
        <w:jc w:val="both"/>
        <w:rPr>
          <w:color w:val="000000"/>
          <w:sz w:val="22"/>
        </w:rPr>
      </w:pPr>
    </w:p>
    <w:p w14:paraId="489C35E2" w14:textId="77777777" w:rsidR="004B7F06" w:rsidRDefault="00000000">
      <w:pPr>
        <w:pStyle w:val="af2"/>
        <w:spacing w:line="240" w:lineRule="auto"/>
        <w:jc w:val="both"/>
        <w:rPr>
          <w:color w:val="000000"/>
          <w:sz w:val="22"/>
        </w:rPr>
      </w:pPr>
      <w:r>
        <w:rPr>
          <w:color w:val="000000"/>
          <w:sz w:val="22"/>
        </w:rPr>
        <w:t xml:space="preserve">Before deployment, clear rules for lapsed policies, duplicates, invalid service dates, suspicious instructions and claims above the remaining cover should be coded into the system. Unclear cases must go to a </w:t>
      </w:r>
      <w:proofErr w:type="gramStart"/>
      <w:r>
        <w:rPr>
          <w:color w:val="000000"/>
          <w:sz w:val="22"/>
        </w:rPr>
        <w:t>claims</w:t>
      </w:r>
      <w:proofErr w:type="gramEnd"/>
      <w:r>
        <w:rPr>
          <w:color w:val="000000"/>
          <w:sz w:val="22"/>
        </w:rPr>
        <w:t xml:space="preserve"> assessor.</w:t>
      </w:r>
    </w:p>
    <w:p w14:paraId="2BCC0408" w14:textId="77777777" w:rsidR="004B7F06" w:rsidRDefault="004B7F06">
      <w:pPr>
        <w:pStyle w:val="af2"/>
        <w:spacing w:line="240" w:lineRule="auto"/>
        <w:jc w:val="both"/>
        <w:rPr>
          <w:color w:val="000000"/>
          <w:sz w:val="22"/>
        </w:rPr>
      </w:pPr>
    </w:p>
    <w:p w14:paraId="4CC37415" w14:textId="77777777" w:rsidR="004B7F06" w:rsidRDefault="00000000">
      <w:pPr>
        <w:pStyle w:val="af2"/>
        <w:spacing w:line="240" w:lineRule="auto"/>
        <w:jc w:val="both"/>
        <w:rPr>
          <w:color w:val="000000"/>
          <w:sz w:val="22"/>
        </w:rPr>
      </w:pPr>
      <w:r>
        <w:rPr>
          <w:color w:val="000000"/>
          <w:sz w:val="22"/>
        </w:rPr>
        <w:t>Luna’s estimated monthly cost of US$12,177 was calculated by applying its average trial token usage and model pricing to an expected volume of 8,000 claims. However, this does not include hosting, security, monitoring, maintenance or compliance costs. We would therefore begin with a read-only assistant in shadow mode and mandatory human review.</w:t>
      </w:r>
    </w:p>
    <w:p w14:paraId="014926EB" w14:textId="77777777" w:rsidR="004B7F06" w:rsidRDefault="004B7F06">
      <w:pPr>
        <w:pStyle w:val="af2"/>
        <w:spacing w:line="240" w:lineRule="auto"/>
        <w:jc w:val="both"/>
        <w:rPr>
          <w:color w:val="000000"/>
          <w:sz w:val="22"/>
        </w:rPr>
      </w:pPr>
    </w:p>
    <w:p w14:paraId="6E66BE50" w14:textId="77777777" w:rsidR="004B7F06" w:rsidRDefault="004B7F06">
      <w:pPr>
        <w:spacing w:line="240" w:lineRule="auto"/>
        <w:rPr>
          <w:color w:val="000000"/>
          <w:lang w:eastAsia="zh-CN"/>
        </w:rPr>
      </w:pPr>
    </w:p>
    <w:p w14:paraId="76A00510" w14:textId="77777777" w:rsidR="004B7F06" w:rsidRDefault="004B7F06">
      <w:pPr>
        <w:spacing w:line="240" w:lineRule="auto"/>
        <w:rPr>
          <w:color w:val="000000"/>
          <w:lang w:eastAsia="zh-CN"/>
        </w:rPr>
      </w:pPr>
    </w:p>
    <w:p w14:paraId="73EF21E2" w14:textId="77777777" w:rsidR="004B7F06" w:rsidRDefault="004B7F06">
      <w:pPr>
        <w:spacing w:line="240" w:lineRule="auto"/>
        <w:rPr>
          <w:color w:val="000000"/>
        </w:rPr>
      </w:pPr>
    </w:p>
    <w:sectPr w:rsidR="004B7F06">
      <w:pgSz w:w="12240" w:h="15840"/>
      <w:pgMar w:top="1152" w:right="1181" w:bottom="1080" w:left="118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E40557" w14:textId="77777777" w:rsidR="00EF698A" w:rsidRDefault="00EF698A">
      <w:pPr>
        <w:spacing w:line="240" w:lineRule="auto"/>
      </w:pPr>
      <w:r>
        <w:separator/>
      </w:r>
    </w:p>
  </w:endnote>
  <w:endnote w:type="continuationSeparator" w:id="0">
    <w:p w14:paraId="40AB79B3" w14:textId="77777777" w:rsidR="00EF698A" w:rsidRDefault="00EF698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1"/>
    <w:family w:val="modern"/>
    <w:pitch w:val="default"/>
    <w:sig w:usb0="E0002EFF" w:usb1="C0007843" w:usb2="00000009" w:usb3="00000000" w:csb0="400001FF" w:csb1="FFFF0000"/>
  </w:font>
  <w:font w:name="Cambria">
    <w:panose1 w:val="02040503050406030204"/>
    <w:charset w:val="00"/>
    <w:family w:val="roman"/>
    <w:pitch w:val="variable"/>
    <w:sig w:usb0="E00006FF" w:usb1="420024FF" w:usb2="02000000" w:usb3="00000000" w:csb0="0000019F" w:csb1="00000000"/>
  </w:font>
  <w:font w:name="Times New Roman Bold">
    <w:panose1 w:val="02020803070505020304"/>
    <w:charset w:val="00"/>
    <w:family w:val="auto"/>
    <w:pitch w:val="default"/>
    <w:sig w:usb0="00000000" w:usb1="00000000" w:usb2="00000009" w:usb3="00000000" w:csb0="400001FF" w:csb1="FFFF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800F0B" w14:textId="77777777" w:rsidR="00EF698A" w:rsidRDefault="00EF698A">
      <w:pPr>
        <w:spacing w:after="0"/>
      </w:pPr>
      <w:r>
        <w:separator/>
      </w:r>
    </w:p>
  </w:footnote>
  <w:footnote w:type="continuationSeparator" w:id="0">
    <w:p w14:paraId="7574F7C6" w14:textId="77777777" w:rsidR="00EF698A" w:rsidRDefault="00EF698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DAE80C3"/>
    <w:multiLevelType w:val="singleLevel"/>
    <w:tmpl w:val="ADAE80C3"/>
    <w:lvl w:ilvl="0">
      <w:start w:val="1"/>
      <w:numFmt w:val="decimal"/>
      <w:suff w:val="space"/>
      <w:lvlText w:val="%1."/>
      <w:lvlJc w:val="left"/>
    </w:lvl>
  </w:abstractNum>
  <w:abstractNum w:abstractNumId="1" w15:restartNumberingAfterBreak="0">
    <w:nsid w:val="F7570A8D"/>
    <w:multiLevelType w:val="singleLevel"/>
    <w:tmpl w:val="F7570A8D"/>
    <w:lvl w:ilvl="0">
      <w:start w:val="3"/>
      <w:numFmt w:val="decimal"/>
      <w:suff w:val="space"/>
      <w:lvlText w:val="%1."/>
      <w:lvlJc w:val="left"/>
    </w:lvl>
  </w:abstractNum>
  <w:abstractNum w:abstractNumId="2"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3"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4"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5"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6"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7"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num w:numId="1" w16cid:durableId="188494206">
    <w:abstractNumId w:val="3"/>
  </w:num>
  <w:num w:numId="2" w16cid:durableId="1115564121">
    <w:abstractNumId w:val="6"/>
  </w:num>
  <w:num w:numId="3" w16cid:durableId="1314918389">
    <w:abstractNumId w:val="7"/>
  </w:num>
  <w:num w:numId="4" w16cid:durableId="1461344831">
    <w:abstractNumId w:val="4"/>
  </w:num>
  <w:num w:numId="5" w16cid:durableId="280302450">
    <w:abstractNumId w:val="2"/>
  </w:num>
  <w:num w:numId="6" w16cid:durableId="1435325163">
    <w:abstractNumId w:val="5"/>
  </w:num>
  <w:num w:numId="7" w16cid:durableId="614993132">
    <w:abstractNumId w:val="0"/>
  </w:num>
  <w:num w:numId="8" w16cid:durableId="5112643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19"/>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15074B"/>
    <w:rsid w:val="001976AD"/>
    <w:rsid w:val="002520FA"/>
    <w:rsid w:val="0029639D"/>
    <w:rsid w:val="00315D2F"/>
    <w:rsid w:val="00326F90"/>
    <w:rsid w:val="00360AA4"/>
    <w:rsid w:val="004B7F06"/>
    <w:rsid w:val="0066543D"/>
    <w:rsid w:val="00AA1D8D"/>
    <w:rsid w:val="00B47730"/>
    <w:rsid w:val="00CB0664"/>
    <w:rsid w:val="00D61868"/>
    <w:rsid w:val="00EF698A"/>
    <w:rsid w:val="00FC693F"/>
    <w:rsid w:val="00FE4E56"/>
    <w:rsid w:val="2B05172A"/>
    <w:rsid w:val="7621489A"/>
    <w:rsid w:val="FFBED6D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27D621"/>
  <w14:defaultImageDpi w14:val="300"/>
  <w15:docId w15:val="{F97BA1C4-8CCB-486E-A38D-48FBFEC3D2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200" w:line="276" w:lineRule="auto"/>
    </w:pPr>
    <w:rPr>
      <w:rFonts w:eastAsiaTheme="minorEastAsia" w:cstheme="minorBidi"/>
      <w:sz w:val="22"/>
      <w:szCs w:val="22"/>
      <w:lang w:eastAsia="en-US"/>
    </w:rPr>
  </w:style>
  <w:style w:type="paragraph" w:styleId="1">
    <w:name w:val="heading 1"/>
    <w:basedOn w:val="a1"/>
    <w:next w:val="a1"/>
    <w:link w:val="10"/>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eastAsia="en-US"/>
    </w:rPr>
  </w:style>
  <w:style w:type="paragraph" w:styleId="33">
    <w:name w:val="List 3"/>
    <w:basedOn w:val="a1"/>
    <w:uiPriority w:val="99"/>
    <w:unhideWhenUsed/>
    <w:qFormat/>
    <w:pPr>
      <w:ind w:left="1080" w:hanging="360"/>
      <w:contextualSpacing/>
    </w:pPr>
  </w:style>
  <w:style w:type="paragraph" w:styleId="2">
    <w:name w:val="List Number 2"/>
    <w:basedOn w:val="a1"/>
    <w:uiPriority w:val="99"/>
    <w:unhideWhenUsed/>
    <w:qFormat/>
    <w:pPr>
      <w:numPr>
        <w:numId w:val="1"/>
      </w:numPr>
      <w:contextualSpacing/>
    </w:pPr>
  </w:style>
  <w:style w:type="paragraph" w:styleId="a">
    <w:name w:val="List Number"/>
    <w:basedOn w:val="a1"/>
    <w:uiPriority w:val="99"/>
    <w:unhideWhenUsed/>
    <w:qFormat/>
    <w:pPr>
      <w:numPr>
        <w:numId w:val="2"/>
      </w:numPr>
      <w:contextualSpacing/>
    </w:p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qFormat/>
    <w:pPr>
      <w:numPr>
        <w:numId w:val="3"/>
      </w:numPr>
      <w:contextualSpacing/>
    </w:pPr>
  </w:style>
  <w:style w:type="paragraph" w:styleId="34">
    <w:name w:val="Body Text 3"/>
    <w:basedOn w:val="a1"/>
    <w:link w:val="35"/>
    <w:uiPriority w:val="99"/>
    <w:unhideWhenUsed/>
    <w:qFormat/>
    <w:pPr>
      <w:spacing w:after="120"/>
    </w:pPr>
    <w:rPr>
      <w:sz w:val="16"/>
      <w:szCs w:val="16"/>
    </w:rPr>
  </w:style>
  <w:style w:type="paragraph" w:styleId="30">
    <w:name w:val="List Bullet 3"/>
    <w:basedOn w:val="a1"/>
    <w:uiPriority w:val="99"/>
    <w:unhideWhenUsed/>
    <w:qFormat/>
    <w:pPr>
      <w:numPr>
        <w:numId w:val="4"/>
      </w:numPr>
      <w:contextualSpacing/>
    </w:pPr>
  </w:style>
  <w:style w:type="paragraph" w:styleId="a8">
    <w:name w:val="Body Text"/>
    <w:basedOn w:val="a1"/>
    <w:link w:val="a9"/>
    <w:uiPriority w:val="99"/>
    <w:unhideWhenUsed/>
    <w:qFormat/>
    <w:pPr>
      <w:spacing w:after="120"/>
    </w:pPr>
  </w:style>
  <w:style w:type="paragraph" w:styleId="3">
    <w:name w:val="List Number 3"/>
    <w:basedOn w:val="a1"/>
    <w:uiPriority w:val="99"/>
    <w:unhideWhenUsed/>
    <w:qFormat/>
    <w:pPr>
      <w:numPr>
        <w:numId w:val="5"/>
      </w:numPr>
      <w:contextualSpacing/>
    </w:pPr>
  </w:style>
  <w:style w:type="paragraph" w:styleId="23">
    <w:name w:val="List 2"/>
    <w:basedOn w:val="a1"/>
    <w:uiPriority w:val="99"/>
    <w:unhideWhenUsed/>
    <w:qFormat/>
    <w:pPr>
      <w:ind w:left="720" w:hanging="360"/>
      <w:contextualSpacing/>
    </w:pPr>
  </w:style>
  <w:style w:type="paragraph" w:styleId="aa">
    <w:name w:val="List Continue"/>
    <w:basedOn w:val="a1"/>
    <w:uiPriority w:val="99"/>
    <w:unhideWhenUsed/>
    <w:qFormat/>
    <w:pPr>
      <w:spacing w:after="120"/>
      <w:ind w:left="360"/>
      <w:contextualSpacing/>
    </w:pPr>
  </w:style>
  <w:style w:type="paragraph" w:styleId="20">
    <w:name w:val="List Bullet 2"/>
    <w:basedOn w:val="a1"/>
    <w:uiPriority w:val="99"/>
    <w:unhideWhenUsed/>
    <w:qFormat/>
    <w:pPr>
      <w:numPr>
        <w:numId w:val="6"/>
      </w:numPr>
      <w:contextualSpacing/>
    </w:pPr>
  </w:style>
  <w:style w:type="paragraph" w:styleId="ab">
    <w:name w:val="footer"/>
    <w:basedOn w:val="a1"/>
    <w:link w:val="ac"/>
    <w:uiPriority w:val="99"/>
    <w:unhideWhenUsed/>
    <w:qFormat/>
    <w:pPr>
      <w:tabs>
        <w:tab w:val="center" w:pos="4680"/>
        <w:tab w:val="right" w:pos="9360"/>
      </w:tabs>
      <w:spacing w:after="0" w:line="240" w:lineRule="auto"/>
    </w:pPr>
  </w:style>
  <w:style w:type="paragraph" w:styleId="ad">
    <w:name w:val="header"/>
    <w:basedOn w:val="a1"/>
    <w:link w:val="ae"/>
    <w:uiPriority w:val="99"/>
    <w:unhideWhenUsed/>
    <w:qFormat/>
    <w:pPr>
      <w:tabs>
        <w:tab w:val="center" w:pos="4680"/>
        <w:tab w:val="right" w:pos="9360"/>
      </w:tabs>
      <w:spacing w:after="0" w:line="240" w:lineRule="auto"/>
    </w:pPr>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 w:val="24"/>
      <w:szCs w:val="24"/>
    </w:rPr>
  </w:style>
  <w:style w:type="paragraph" w:styleId="af1">
    <w:name w:val="List"/>
    <w:basedOn w:val="a1"/>
    <w:uiPriority w:val="99"/>
    <w:unhideWhenUsed/>
    <w:qFormat/>
    <w:pPr>
      <w:ind w:left="360" w:hanging="360"/>
      <w:contextualSpacing/>
    </w:pPr>
  </w:style>
  <w:style w:type="paragraph" w:styleId="24">
    <w:name w:val="Body Text 2"/>
    <w:basedOn w:val="a1"/>
    <w:link w:val="25"/>
    <w:uiPriority w:val="99"/>
    <w:unhideWhenUsed/>
    <w:qFormat/>
    <w:pPr>
      <w:spacing w:after="120" w:line="480" w:lineRule="auto"/>
    </w:pPr>
  </w:style>
  <w:style w:type="paragraph" w:styleId="26">
    <w:name w:val="List Continue 2"/>
    <w:basedOn w:val="a1"/>
    <w:uiPriority w:val="99"/>
    <w:unhideWhenUsed/>
    <w:qFormat/>
    <w:pPr>
      <w:spacing w:after="120"/>
      <w:ind w:left="720"/>
      <w:contextualSpacing/>
    </w:pPr>
  </w:style>
  <w:style w:type="paragraph" w:styleId="af2">
    <w:name w:val="Normal (Web)"/>
    <w:basedOn w:val="a1"/>
    <w:qFormat/>
    <w:pPr>
      <w:spacing w:beforeAutospacing="1" w:after="0" w:afterAutospacing="1"/>
    </w:pPr>
    <w:rPr>
      <w:rFonts w:cs="Times New Roman"/>
      <w:sz w:val="24"/>
      <w:lang w:eastAsia="zh-CN"/>
    </w:rPr>
  </w:style>
  <w:style w:type="paragraph" w:styleId="36">
    <w:name w:val="List Continue 3"/>
    <w:basedOn w:val="a1"/>
    <w:uiPriority w:val="99"/>
    <w:unhideWhenUsed/>
    <w:qFormat/>
    <w:pPr>
      <w:spacing w:after="120"/>
      <w:ind w:left="1080"/>
      <w:contextualSpacing/>
    </w:pPr>
  </w:style>
  <w:style w:type="paragraph" w:styleId="af3">
    <w:name w:val="Title"/>
    <w:basedOn w:val="a1"/>
    <w:next w:val="a1"/>
    <w:link w:val="af4"/>
    <w:uiPriority w:val="10"/>
    <w:qFormat/>
    <w:pPr>
      <w:spacing w:after="300" w:line="240" w:lineRule="auto"/>
      <w:contextualSpacing/>
    </w:pPr>
    <w:rPr>
      <w:rFonts w:asciiTheme="majorHAnsi" w:eastAsiaTheme="majorEastAsia" w:hAnsiTheme="majorHAnsi" w:cstheme="majorBidi"/>
      <w:b/>
      <w:color w:val="000000"/>
      <w:spacing w:val="5"/>
      <w:kern w:val="28"/>
      <w:sz w:val="32"/>
      <w:szCs w:val="52"/>
    </w:rPr>
  </w:style>
  <w:style w:type="table" w:styleId="af5">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6">
    <w:name w:val="Light Shading"/>
    <w:basedOn w:val="a3"/>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7">
    <w:name w:val="Light List"/>
    <w:basedOn w:val="a3"/>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8">
    <w:name w:val="Light Grid"/>
    <w:basedOn w:val="a3"/>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9">
    <w:name w:val="Dark List"/>
    <w:basedOn w:val="a3"/>
    <w:uiPriority w:val="70"/>
    <w:qFormat/>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qFormat/>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qFormat/>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qFormat/>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qFormat/>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qFormat/>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qFormat/>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a">
    <w:name w:val="Colorful Shading"/>
    <w:basedOn w:val="a3"/>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b">
    <w:name w:val="Colorful List"/>
    <w:basedOn w:val="a3"/>
    <w:uiPriority w:val="72"/>
    <w:qFormat/>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qFormat/>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qFormat/>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qFormat/>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qFormat/>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qFormat/>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qFormat/>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c">
    <w:name w:val="Colorful Grid"/>
    <w:basedOn w:val="a3"/>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d">
    <w:name w:val="Strong"/>
    <w:basedOn w:val="a2"/>
    <w:uiPriority w:val="22"/>
    <w:qFormat/>
    <w:rPr>
      <w:b/>
      <w:bCs/>
    </w:rPr>
  </w:style>
  <w:style w:type="character" w:styleId="afe">
    <w:name w:val="Emphasis"/>
    <w:basedOn w:val="a2"/>
    <w:uiPriority w:val="20"/>
    <w:qFormat/>
    <w:rPr>
      <w:i/>
      <w:iCs/>
    </w:rPr>
  </w:style>
  <w:style w:type="character" w:styleId="HTML">
    <w:name w:val="HTML Code"/>
    <w:basedOn w:val="a2"/>
    <w:uiPriority w:val="99"/>
    <w:semiHidden/>
    <w:unhideWhenUsed/>
    <w:qFormat/>
    <w:rPr>
      <w:rFonts w:ascii="Courier New" w:hAnsi="Courier New"/>
      <w:sz w:val="20"/>
    </w:rPr>
  </w:style>
  <w:style w:type="character" w:customStyle="1" w:styleId="ae">
    <w:name w:val="页眉 字符"/>
    <w:basedOn w:val="a2"/>
    <w:link w:val="ad"/>
    <w:uiPriority w:val="99"/>
    <w:qFormat/>
  </w:style>
  <w:style w:type="character" w:customStyle="1" w:styleId="ac">
    <w:name w:val="页脚 字符"/>
    <w:basedOn w:val="a2"/>
    <w:link w:val="ab"/>
    <w:uiPriority w:val="99"/>
    <w:qFormat/>
  </w:style>
  <w:style w:type="paragraph" w:styleId="aff">
    <w:name w:val="No Spacing"/>
    <w:uiPriority w:val="1"/>
    <w:qFormat/>
    <w:rPr>
      <w:rFonts w:asciiTheme="minorHAnsi" w:eastAsiaTheme="minorEastAsia" w:hAnsiTheme="minorHAnsi" w:cstheme="minorBidi"/>
      <w:sz w:val="22"/>
      <w:szCs w:val="22"/>
      <w:lang w:eastAsia="en-US"/>
    </w:rPr>
  </w:style>
  <w:style w:type="character" w:customStyle="1" w:styleId="10">
    <w:name w:val="标题 1 字符"/>
    <w:basedOn w:val="a2"/>
    <w:link w:val="1"/>
    <w:uiPriority w:val="9"/>
    <w:qFormat/>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qFormat/>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qFormat/>
    <w:rPr>
      <w:rFonts w:asciiTheme="majorHAnsi" w:eastAsiaTheme="majorEastAsia" w:hAnsiTheme="majorHAnsi" w:cstheme="majorBidi"/>
      <w:b/>
      <w:bCs/>
      <w:color w:val="4F81BD" w:themeColor="accent1"/>
    </w:rPr>
  </w:style>
  <w:style w:type="character" w:customStyle="1" w:styleId="af4">
    <w:name w:val="标题 字符"/>
    <w:basedOn w:val="a2"/>
    <w:link w:val="af3"/>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qFormat/>
    <w:rPr>
      <w:rFonts w:asciiTheme="majorHAnsi" w:eastAsiaTheme="majorEastAsia" w:hAnsiTheme="majorHAnsi" w:cstheme="majorBidi"/>
      <w:i/>
      <w:iCs/>
      <w:color w:val="4F81BD" w:themeColor="accent1"/>
      <w:spacing w:val="15"/>
      <w:sz w:val="24"/>
      <w:szCs w:val="24"/>
    </w:rPr>
  </w:style>
  <w:style w:type="paragraph" w:styleId="aff0">
    <w:name w:val="List Paragraph"/>
    <w:basedOn w:val="a1"/>
    <w:uiPriority w:val="34"/>
    <w:qFormat/>
    <w:pPr>
      <w:ind w:left="720"/>
      <w:contextualSpacing/>
    </w:pPr>
  </w:style>
  <w:style w:type="character" w:customStyle="1" w:styleId="a9">
    <w:name w:val="正文文本 字符"/>
    <w:basedOn w:val="a2"/>
    <w:link w:val="a8"/>
    <w:uiPriority w:val="99"/>
    <w:qFormat/>
  </w:style>
  <w:style w:type="character" w:customStyle="1" w:styleId="25">
    <w:name w:val="正文文本 2 字符"/>
    <w:basedOn w:val="a2"/>
    <w:link w:val="24"/>
    <w:uiPriority w:val="99"/>
    <w:qFormat/>
  </w:style>
  <w:style w:type="character" w:customStyle="1" w:styleId="35">
    <w:name w:val="正文文本 3 字符"/>
    <w:basedOn w:val="a2"/>
    <w:link w:val="34"/>
    <w:uiPriority w:val="99"/>
    <w:qFormat/>
    <w:rPr>
      <w:sz w:val="16"/>
      <w:szCs w:val="16"/>
    </w:rPr>
  </w:style>
  <w:style w:type="character" w:customStyle="1" w:styleId="a6">
    <w:name w:val="宏文本 字符"/>
    <w:basedOn w:val="a2"/>
    <w:link w:val="a5"/>
    <w:uiPriority w:val="99"/>
    <w:qFormat/>
    <w:rPr>
      <w:rFonts w:ascii="Courier" w:hAnsi="Courier"/>
      <w:sz w:val="20"/>
      <w:szCs w:val="20"/>
    </w:rPr>
  </w:style>
  <w:style w:type="paragraph" w:styleId="aff1">
    <w:name w:val="Quote"/>
    <w:basedOn w:val="a1"/>
    <w:next w:val="a1"/>
    <w:link w:val="aff2"/>
    <w:uiPriority w:val="29"/>
    <w:qFormat/>
    <w:rPr>
      <w:i/>
      <w:iCs/>
      <w:color w:val="000000" w:themeColor="text1"/>
    </w:rPr>
  </w:style>
  <w:style w:type="character" w:customStyle="1" w:styleId="aff2">
    <w:name w:val="引用 字符"/>
    <w:basedOn w:val="a2"/>
    <w:link w:val="aff1"/>
    <w:uiPriority w:val="29"/>
    <w:qFormat/>
    <w:rPr>
      <w:i/>
      <w:iCs/>
      <w:color w:val="000000" w:themeColor="text1"/>
    </w:rPr>
  </w:style>
  <w:style w:type="character" w:customStyle="1" w:styleId="40">
    <w:name w:val="标题 4 字符"/>
    <w:basedOn w:val="a2"/>
    <w:link w:val="4"/>
    <w:uiPriority w:val="9"/>
    <w:semiHidden/>
    <w:qFormat/>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qFormat/>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qFormat/>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qFormat/>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qFormat/>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qFormat/>
    <w:rPr>
      <w:rFonts w:asciiTheme="majorHAnsi" w:eastAsiaTheme="majorEastAsia" w:hAnsiTheme="majorHAnsi" w:cstheme="majorBidi"/>
      <w:i/>
      <w:iCs/>
      <w:color w:val="404040" w:themeColor="text1" w:themeTint="BF"/>
      <w:sz w:val="20"/>
      <w:szCs w:val="20"/>
    </w:rPr>
  </w:style>
  <w:style w:type="paragraph" w:styleId="aff3">
    <w:name w:val="Intense Quote"/>
    <w:basedOn w:val="a1"/>
    <w:next w:val="a1"/>
    <w:link w:val="aff4"/>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4">
    <w:name w:val="明显引用 字符"/>
    <w:basedOn w:val="a2"/>
    <w:link w:val="aff3"/>
    <w:uiPriority w:val="30"/>
    <w:qFormat/>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
    <w:name w:val="TOC 标题1"/>
    <w:basedOn w:val="1"/>
    <w:next w:val="a1"/>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6</Pages>
  <Words>2051</Words>
  <Characters>11693</Characters>
  <Application>Microsoft Office Word</Application>
  <DocSecurity>0</DocSecurity>
  <Lines>97</Lines>
  <Paragraphs>27</Paragraphs>
  <ScaleCrop>false</ScaleCrop>
  <Company/>
  <LinksUpToDate>false</LinksUpToDate>
  <CharactersWithSpaces>13717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PE6201 A2 The Tool Layer</dc:title>
  <dc:subject>Report section 2</dc:subject>
  <dc:creator>Restart</dc:creator>
  <dc:description>generated by python-docx</dc:description>
  <cp:lastModifiedBy>秋羊 陈</cp:lastModifiedBy>
  <cp:revision>4</cp:revision>
  <dcterms:created xsi:type="dcterms:W3CDTF">2026-09-19T03:34:00Z</dcterms:created>
  <dcterms:modified xsi:type="dcterms:W3CDTF">2026-09-20T07:25:00Z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2052-12.1.0.28599</vt:lpwstr>
  </property>
  <property fmtid="{D5CDD505-2E9C-101B-9397-08002B2CF9AE}" pid="3" name="ICV">
    <vt:lpwstr>E353560C02A64A4BA3BCA985E65CE6CB_13</vt:lpwstr>
  </property>
  <property fmtid="{D5CDD505-2E9C-101B-9397-08002B2CF9AE}" pid="4" name="KSOTemplateDocerSaveRecord">
    <vt:lpwstr>eyJoZGlkIjoiNTYzZmM3Y2JkNTRjMjIxMGU2ZjQ0ZTczYjdlYTUzN2QiLCJ1c2VySWQiOiIxNjYxNTk3ODU3In0=</vt:lpwstr>
  </property>
</Properties>
</file>