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91ACB">
      <w:pPr>
        <w:spacing w:after="20"/>
      </w:pPr>
      <w:r>
        <w:rPr>
          <w:b/>
          <w:bCs/>
          <w:color w:val="2E5496"/>
          <w:sz w:val="16"/>
          <w:szCs w:val="16"/>
        </w:rPr>
        <w:t>ASSIGNMENT 2 OF 2 · REQUIRED COVER SHEET · ONE PER TEAM</w:t>
      </w:r>
    </w:p>
    <w:p w14:paraId="4F5649EC">
      <w:pPr>
        <w:spacing w:after="26"/>
      </w:pPr>
      <w:r>
        <w:rPr>
          <w:b/>
          <w:bCs/>
          <w:color w:val="1F3864"/>
          <w:sz w:val="38"/>
          <w:szCs w:val="38"/>
        </w:rPr>
        <w:t>A2 Team Self-Appraisal</w:t>
      </w:r>
    </w:p>
    <w:p w14:paraId="37001780">
      <w:pPr>
        <w:spacing w:after="30"/>
      </w:pPr>
      <w:r>
        <w:rPr>
          <w:b/>
          <w:bCs/>
          <w:color w:val="1F3864"/>
          <w:sz w:val="19"/>
          <w:szCs w:val="19"/>
        </w:rPr>
        <w:t xml:space="preserve">Team ID: </w:t>
      </w:r>
      <w:r>
        <w:rPr>
          <w:sz w:val="19"/>
          <w:szCs w:val="19"/>
        </w:rPr>
        <w:t>_____</w:t>
      </w:r>
      <w:r>
        <w:rPr>
          <w:sz w:val="19"/>
          <w:szCs w:val="19"/>
          <w:u w:val="single"/>
        </w:rPr>
        <w:t>_</w:t>
      </w:r>
      <w:r>
        <w:rPr>
          <w:rFonts w:hint="eastAsia" w:eastAsia="宋体"/>
          <w:sz w:val="19"/>
          <w:szCs w:val="19"/>
          <w:u w:val="single"/>
          <w:lang w:val="en-US" w:eastAsia="zh-CN"/>
        </w:rPr>
        <w:t>Group1</w:t>
      </w:r>
      <w:r>
        <w:rPr>
          <w:sz w:val="19"/>
          <w:szCs w:val="19"/>
          <w:u w:val="single"/>
        </w:rPr>
        <w:t>_________</w:t>
      </w:r>
      <w:r>
        <w:rPr>
          <w:sz w:val="19"/>
          <w:szCs w:val="19"/>
        </w:rPr>
        <w:t xml:space="preserve">_     </w:t>
      </w:r>
      <w:r>
        <w:rPr>
          <w:b/>
          <w:bCs/>
          <w:color w:val="1F3864"/>
          <w:sz w:val="19"/>
          <w:szCs w:val="19"/>
        </w:rPr>
        <w:t>Section</w:t>
      </w:r>
      <w:r>
        <w:rPr>
          <w:b/>
          <w:bCs/>
          <w:color w:val="1F3864"/>
          <w:sz w:val="19"/>
          <w:szCs w:val="19"/>
          <w:u w:val="none"/>
        </w:rPr>
        <w:t>:</w:t>
      </w:r>
      <w:r>
        <w:rPr>
          <w:b/>
          <w:bCs/>
          <w:color w:val="1F3864"/>
          <w:sz w:val="19"/>
          <w:szCs w:val="19"/>
          <w:u w:val="single"/>
        </w:rPr>
        <w:t xml:space="preserve"> </w:t>
      </w:r>
      <w:r>
        <w:rPr>
          <w:sz w:val="19"/>
          <w:szCs w:val="19"/>
          <w:u w:val="single"/>
        </w:rPr>
        <w:t>_</w:t>
      </w:r>
      <w:r>
        <w:rPr>
          <w:rFonts w:hint="eastAsia" w:eastAsia="宋体"/>
          <w:sz w:val="19"/>
          <w:szCs w:val="19"/>
          <w:u w:val="single"/>
          <w:lang w:val="en-US" w:eastAsia="zh-CN"/>
        </w:rPr>
        <w:t>C</w:t>
      </w:r>
      <w:r>
        <w:rPr>
          <w:sz w:val="19"/>
          <w:szCs w:val="19"/>
          <w:u w:val="single"/>
        </w:rPr>
        <w:t>_</w:t>
      </w:r>
      <w:r>
        <w:rPr>
          <w:sz w:val="19"/>
          <w:szCs w:val="19"/>
        </w:rPr>
        <w:t xml:space="preserve">__     </w:t>
      </w:r>
      <w:r>
        <w:rPr>
          <w:b/>
          <w:bCs/>
          <w:color w:val="1F3864"/>
          <w:sz w:val="19"/>
          <w:szCs w:val="19"/>
        </w:rPr>
        <w:t xml:space="preserve">Problem chosen (A / B): </w:t>
      </w:r>
      <w:r>
        <w:rPr>
          <w:sz w:val="19"/>
          <w:szCs w:val="19"/>
          <w:u w:val="single"/>
        </w:rPr>
        <w:t>_</w:t>
      </w:r>
      <w:r>
        <w:rPr>
          <w:rFonts w:hint="eastAsia" w:eastAsia="宋体"/>
          <w:sz w:val="19"/>
          <w:szCs w:val="19"/>
          <w:u w:val="single"/>
          <w:lang w:val="en-US" w:eastAsia="zh-CN"/>
        </w:rPr>
        <w:t>A</w:t>
      </w:r>
      <w:r>
        <w:rPr>
          <w:sz w:val="19"/>
          <w:szCs w:val="19"/>
          <w:u w:val="single"/>
        </w:rPr>
        <w:t>__</w:t>
      </w:r>
      <w:r>
        <w:rPr>
          <w:sz w:val="19"/>
          <w:szCs w:val="19"/>
        </w:rPr>
        <w:t>_</w:t>
      </w:r>
    </w:p>
    <w:p w14:paraId="08D2F1C7">
      <w:pPr>
        <w:spacing w:after="30"/>
        <w:ind w:left="95" w:hanging="95" w:hangingChars="50"/>
        <w:jc w:val="left"/>
      </w:pPr>
      <w:r>
        <w:rPr>
          <w:b/>
          <w:bCs/>
          <w:color w:val="1F3864"/>
          <w:sz w:val="19"/>
          <w:szCs w:val="19"/>
        </w:rPr>
        <w:t xml:space="preserve">Members: </w:t>
      </w:r>
      <w:r>
        <w:rPr>
          <w:sz w:val="19"/>
          <w:szCs w:val="19"/>
        </w:rPr>
        <w:t>__</w:t>
      </w:r>
      <w:r>
        <w:rPr>
          <w:sz w:val="19"/>
          <w:szCs w:val="19"/>
          <w:u w:val="single"/>
        </w:rPr>
        <w:t>_</w:t>
      </w:r>
      <w:r>
        <w:rPr>
          <w:rFonts w:hint="default"/>
          <w:sz w:val="19"/>
          <w:szCs w:val="19"/>
          <w:u w:val="single"/>
          <w:lang w:val="en-US"/>
        </w:rPr>
        <w:t xml:space="preserve">Liu </w:t>
      </w:r>
      <w:r>
        <w:rPr>
          <w:rFonts w:hint="eastAsia" w:eastAsia="宋体"/>
          <w:sz w:val="19"/>
          <w:szCs w:val="19"/>
          <w:u w:val="single"/>
          <w:lang w:val="en-US" w:eastAsia="zh-CN"/>
        </w:rPr>
        <w:t>Wen</w:t>
      </w:r>
      <w:r>
        <w:rPr>
          <w:rFonts w:hint="default" w:eastAsia="宋体"/>
          <w:sz w:val="19"/>
          <w:szCs w:val="19"/>
          <w:u w:val="single"/>
          <w:lang w:val="en-US" w:eastAsia="zh-CN"/>
        </w:rPr>
        <w:t>jing, Wen Xuanyi, Cai Qi, Zhu Xinyi,Nagur Pavan,  Chen Qiuyang</w:t>
      </w:r>
      <w:r>
        <w:rPr>
          <w:sz w:val="19"/>
          <w:szCs w:val="19"/>
          <w:u w:val="single"/>
        </w:rPr>
        <w:t>_____</w:t>
      </w:r>
      <w:r>
        <w:rPr>
          <w:sz w:val="19"/>
          <w:szCs w:val="19"/>
        </w:rPr>
        <w:t>_______________________________________________________________</w:t>
      </w:r>
    </w:p>
    <w:p w14:paraId="4C451CBD">
      <w:pPr>
        <w:spacing w:after="60"/>
      </w:pPr>
      <w:r>
        <w:rPr>
          <w:b/>
          <w:bCs/>
          <w:color w:val="1F3864"/>
          <w:sz w:val="19"/>
          <w:szCs w:val="19"/>
        </w:rPr>
        <w:t xml:space="preserve">Repository URL: </w:t>
      </w:r>
      <w:r>
        <w:rPr>
          <w:rFonts w:hint="eastAsia"/>
          <w:sz w:val="19"/>
          <w:szCs w:val="19"/>
        </w:rPr>
        <w:t>https://github.com/pavannagur123/PE6201-EMERGING-AI-TECHNOLOGIES-GROUP-1</w:t>
      </w:r>
      <w:r>
        <w:rPr>
          <w:sz w:val="19"/>
          <w:szCs w:val="19"/>
        </w:rPr>
        <w:t xml:space="preserve">  </w:t>
      </w:r>
      <w:r>
        <w:rPr>
          <w:b/>
          <w:bCs/>
          <w:color w:val="1F3864"/>
          <w:sz w:val="19"/>
          <w:szCs w:val="19"/>
        </w:rPr>
        <w:t xml:space="preserve">Date: </w:t>
      </w:r>
      <w:r>
        <w:rPr>
          <w:sz w:val="19"/>
          <w:szCs w:val="19"/>
          <w:u w:val="single"/>
        </w:rPr>
        <w:t>__</w:t>
      </w:r>
      <w:r>
        <w:rPr>
          <w:rFonts w:hint="default"/>
          <w:sz w:val="19"/>
          <w:szCs w:val="19"/>
          <w:u w:val="single"/>
          <w:lang w:val="en-US"/>
        </w:rPr>
        <w:t>2026.09.18</w:t>
      </w:r>
      <w:r>
        <w:rPr>
          <w:sz w:val="19"/>
          <w:szCs w:val="19"/>
          <w:u w:val="single"/>
        </w:rPr>
        <w:t>_</w:t>
      </w:r>
      <w:r>
        <w:rPr>
          <w:sz w:val="19"/>
          <w:szCs w:val="19"/>
        </w:rPr>
        <w:t>________</w:t>
      </w:r>
    </w:p>
    <w:p w14:paraId="490225D8">
      <w:pPr>
        <w:spacing w:after="60"/>
      </w:pPr>
      <w:r>
        <w:rPr>
          <w:color w:val="595959"/>
          <w:sz w:val="18"/>
          <w:szCs w:val="18"/>
        </w:rPr>
        <w:t>ONE SHEET PER TEAM, not one per member. Complete it together, in one sitting, after the work is done — it takes about twenty minutes. CHECK IT INTO YOUR A2 SUBMISSION FOLDER alongside the rest of the submission; do not email it. This sheet is required and is not graded, but a missing self-appraisal is treated as an incomplete submission.</w:t>
      </w:r>
    </w:p>
    <w:p w14:paraId="634BDC98">
      <w:pPr>
        <w:spacing w:before="170" w:after="20"/>
      </w:pPr>
      <w:r>
        <w:rPr>
          <w:b/>
          <w:bCs/>
          <w:color w:val="1F3864"/>
          <w:sz w:val="21"/>
          <w:szCs w:val="21"/>
        </w:rPr>
        <w:t>1 · Rate your team against Rubric 1</w:t>
      </w:r>
    </w:p>
    <w:p w14:paraId="2898F47C">
      <w:pPr>
        <w:spacing w:after="40"/>
      </w:pPr>
      <w:r>
        <w:rPr>
          <w:color w:val="595959"/>
          <w:sz w:val="16"/>
          <w:szCs w:val="16"/>
        </w:rPr>
        <w:t>Circle or mark one band per criterion. Be honest rather than generous — a team that marks itself Excellent everywhere tells the marker nothing, and a large gap between your rating and the marker's is the single most useful thing on this page.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8"/>
        <w:gridCol w:w="802"/>
        <w:gridCol w:w="1404"/>
        <w:gridCol w:w="1404"/>
        <w:gridCol w:w="1404"/>
        <w:gridCol w:w="1404"/>
      </w:tblGrid>
      <w:tr w14:paraId="7E33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01C79D81">
            <w:pPr>
              <w:spacing w:before="40" w:after="40"/>
            </w:pPr>
            <w:r>
              <w:rPr>
                <w:b/>
                <w:bCs/>
                <w:color w:val="1F3864"/>
                <w:sz w:val="17"/>
                <w:szCs w:val="17"/>
              </w:rPr>
              <w:t>Criterion</w:t>
            </w:r>
          </w:p>
        </w:tc>
        <w:tc>
          <w:tcPr>
            <w:tcW w:w="800" w:type="dxa"/>
            <w:vAlign w:val="center"/>
          </w:tcPr>
          <w:p w14:paraId="7940C841">
            <w:pPr>
              <w:spacing w:before="40" w:after="40"/>
              <w:jc w:val="center"/>
            </w:pPr>
            <w:r>
              <w:rPr>
                <w:b/>
                <w:bCs/>
                <w:color w:val="1F3864"/>
                <w:sz w:val="17"/>
                <w:szCs w:val="17"/>
              </w:rPr>
              <w:t>Weight</w:t>
            </w:r>
          </w:p>
        </w:tc>
        <w:tc>
          <w:tcPr>
            <w:tcW w:w="1400" w:type="dxa"/>
            <w:vAlign w:val="center"/>
          </w:tcPr>
          <w:p w14:paraId="7D94CF2C">
            <w:pPr>
              <w:spacing w:before="40" w:after="40"/>
              <w:jc w:val="center"/>
            </w:pPr>
            <w:r>
              <w:rPr>
                <w:b/>
                <w:bCs/>
                <w:color w:val="1F3864"/>
                <w:sz w:val="17"/>
                <w:szCs w:val="17"/>
              </w:rPr>
              <w:t>Excellent (4)</w:t>
            </w:r>
          </w:p>
        </w:tc>
        <w:tc>
          <w:tcPr>
            <w:tcW w:w="1400" w:type="dxa"/>
            <w:vAlign w:val="center"/>
          </w:tcPr>
          <w:p w14:paraId="108EB174">
            <w:pPr>
              <w:spacing w:before="40" w:after="40"/>
              <w:jc w:val="center"/>
            </w:pPr>
            <w:r>
              <w:rPr>
                <w:b/>
                <w:bCs/>
                <w:color w:val="1F3864"/>
                <w:sz w:val="17"/>
                <w:szCs w:val="17"/>
              </w:rPr>
              <w:t>Proficient (3)</w:t>
            </w:r>
          </w:p>
        </w:tc>
        <w:tc>
          <w:tcPr>
            <w:tcW w:w="1400" w:type="dxa"/>
            <w:vAlign w:val="center"/>
          </w:tcPr>
          <w:p w14:paraId="7370FEA4">
            <w:pPr>
              <w:spacing w:before="40" w:after="40"/>
              <w:jc w:val="center"/>
            </w:pPr>
            <w:r>
              <w:rPr>
                <w:b/>
                <w:bCs/>
                <w:color w:val="1F3864"/>
                <w:sz w:val="17"/>
                <w:szCs w:val="17"/>
              </w:rPr>
              <w:t>Developing (2)</w:t>
            </w:r>
          </w:p>
        </w:tc>
        <w:tc>
          <w:tcPr>
            <w:tcW w:w="1400" w:type="dxa"/>
            <w:vAlign w:val="center"/>
          </w:tcPr>
          <w:p w14:paraId="387C7BA2">
            <w:pPr>
              <w:spacing w:before="40" w:after="40"/>
              <w:jc w:val="center"/>
            </w:pPr>
            <w:r>
              <w:rPr>
                <w:b/>
                <w:bCs/>
                <w:color w:val="1F3864"/>
                <w:sz w:val="17"/>
                <w:szCs w:val="17"/>
              </w:rPr>
              <w:t>Limited (1)</w:t>
            </w:r>
          </w:p>
        </w:tc>
      </w:tr>
      <w:tr w14:paraId="4214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35EFA849">
            <w:pPr>
              <w:spacing w:before="40" w:after="40"/>
            </w:pPr>
            <w:r>
              <w:rPr>
                <w:color w:val="1A1A1A"/>
                <w:sz w:val="18"/>
                <w:szCs w:val="18"/>
              </w:rPr>
              <w:t>Conceptual Understanding</w:t>
            </w:r>
          </w:p>
        </w:tc>
        <w:tc>
          <w:tcPr>
            <w:tcW w:w="800" w:type="dxa"/>
            <w:vAlign w:val="center"/>
          </w:tcPr>
          <w:p w14:paraId="6F4EDE67">
            <w:pPr>
              <w:spacing w:before="40" w:after="40"/>
              <w:jc w:val="center"/>
            </w:pPr>
            <w:r>
              <w:rPr>
                <w:color w:val="1A1A1A"/>
                <w:sz w:val="18"/>
                <w:szCs w:val="18"/>
              </w:rPr>
              <w:t>25%</w:t>
            </w:r>
          </w:p>
        </w:tc>
        <w:tc>
          <w:tcPr>
            <w:tcW w:w="1400" w:type="dxa"/>
            <w:vAlign w:val="center"/>
          </w:tcPr>
          <w:p w14:paraId="7C41A155">
            <w:pPr>
              <w:spacing w:before="40" w:after="40"/>
              <w:jc w:val="center"/>
            </w:pPr>
          </w:p>
        </w:tc>
        <w:tc>
          <w:tcPr>
            <w:tcW w:w="1400" w:type="dxa"/>
            <w:vAlign w:val="center"/>
          </w:tcPr>
          <w:p w14:paraId="437F687D">
            <w:pPr>
              <w:spacing w:before="40" w:after="40"/>
              <w:jc w:val="center"/>
            </w:pPr>
            <w:r>
              <w:rPr>
                <w:rFonts w:hint="default" w:ascii="Arial" w:hAnsi="Arial" w:cs="Arial"/>
                <w:lang w:val="en-US"/>
              </w:rPr>
              <w:t>√</w:t>
            </w:r>
          </w:p>
        </w:tc>
        <w:tc>
          <w:tcPr>
            <w:tcW w:w="1400" w:type="dxa"/>
            <w:vAlign w:val="center"/>
          </w:tcPr>
          <w:p w14:paraId="74C54BC2">
            <w:pPr>
              <w:spacing w:before="40" w:after="40"/>
              <w:jc w:val="center"/>
            </w:pPr>
          </w:p>
        </w:tc>
        <w:tc>
          <w:tcPr>
            <w:tcW w:w="1400" w:type="dxa"/>
            <w:vAlign w:val="center"/>
          </w:tcPr>
          <w:p w14:paraId="60E53609">
            <w:pPr>
              <w:spacing w:before="40" w:after="40"/>
              <w:jc w:val="center"/>
            </w:pPr>
          </w:p>
        </w:tc>
      </w:tr>
      <w:tr w14:paraId="6012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7E347D9D">
            <w:pPr>
              <w:spacing w:before="40" w:after="40"/>
            </w:pPr>
            <w:r>
              <w:rPr>
                <w:color w:val="1A1A1A"/>
                <w:sz w:val="18"/>
                <w:szCs w:val="18"/>
              </w:rPr>
              <w:t>Technical Execution</w:t>
            </w:r>
          </w:p>
        </w:tc>
        <w:tc>
          <w:tcPr>
            <w:tcW w:w="800" w:type="dxa"/>
            <w:vAlign w:val="center"/>
          </w:tcPr>
          <w:p w14:paraId="2F6F5DCE">
            <w:pPr>
              <w:spacing w:before="40" w:after="40"/>
              <w:jc w:val="center"/>
            </w:pPr>
            <w:r>
              <w:rPr>
                <w:color w:val="1A1A1A"/>
                <w:sz w:val="18"/>
                <w:szCs w:val="18"/>
              </w:rPr>
              <w:t>30%</w:t>
            </w:r>
          </w:p>
        </w:tc>
        <w:tc>
          <w:tcPr>
            <w:tcW w:w="1400" w:type="dxa"/>
            <w:vAlign w:val="center"/>
          </w:tcPr>
          <w:p w14:paraId="20ECEDB3">
            <w:pPr>
              <w:spacing w:before="40" w:after="40"/>
              <w:jc w:val="center"/>
            </w:pPr>
          </w:p>
        </w:tc>
        <w:tc>
          <w:tcPr>
            <w:tcW w:w="1400" w:type="dxa"/>
            <w:vAlign w:val="center"/>
          </w:tcPr>
          <w:p w14:paraId="4C7BE2D7">
            <w:pPr>
              <w:spacing w:before="40" w:after="40"/>
              <w:jc w:val="center"/>
            </w:pPr>
            <w:r>
              <w:rPr>
                <w:rFonts w:hint="default" w:ascii="Arial" w:hAnsi="Arial" w:cs="Arial"/>
                <w:lang w:val="en-US"/>
              </w:rPr>
              <w:t>√</w:t>
            </w:r>
          </w:p>
        </w:tc>
        <w:tc>
          <w:tcPr>
            <w:tcW w:w="1400" w:type="dxa"/>
            <w:vAlign w:val="center"/>
          </w:tcPr>
          <w:p w14:paraId="1D3C33EB">
            <w:pPr>
              <w:spacing w:before="40" w:after="40"/>
              <w:jc w:val="center"/>
            </w:pPr>
          </w:p>
        </w:tc>
        <w:tc>
          <w:tcPr>
            <w:tcW w:w="1400" w:type="dxa"/>
            <w:vAlign w:val="center"/>
          </w:tcPr>
          <w:p w14:paraId="34BEC8C9">
            <w:pPr>
              <w:spacing w:before="40" w:after="40"/>
              <w:jc w:val="center"/>
            </w:pPr>
          </w:p>
        </w:tc>
      </w:tr>
      <w:tr w14:paraId="38AB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33BEE625">
            <w:pPr>
              <w:spacing w:before="40" w:after="40"/>
            </w:pPr>
            <w:r>
              <w:rPr>
                <w:color w:val="1A1A1A"/>
                <w:sz w:val="18"/>
                <w:szCs w:val="18"/>
              </w:rPr>
              <w:t>Reasoning &amp; Justification</w:t>
            </w:r>
          </w:p>
        </w:tc>
        <w:tc>
          <w:tcPr>
            <w:tcW w:w="800" w:type="dxa"/>
            <w:vAlign w:val="center"/>
          </w:tcPr>
          <w:p w14:paraId="5E7AA443">
            <w:pPr>
              <w:spacing w:before="40" w:after="40"/>
              <w:jc w:val="center"/>
            </w:pPr>
            <w:r>
              <w:rPr>
                <w:color w:val="1A1A1A"/>
                <w:sz w:val="18"/>
                <w:szCs w:val="18"/>
              </w:rPr>
              <w:t>25%</w:t>
            </w:r>
          </w:p>
        </w:tc>
        <w:tc>
          <w:tcPr>
            <w:tcW w:w="1400" w:type="dxa"/>
            <w:vAlign w:val="center"/>
          </w:tcPr>
          <w:p w14:paraId="668C3F99">
            <w:pPr>
              <w:spacing w:before="40" w:after="40"/>
              <w:jc w:val="center"/>
            </w:pPr>
          </w:p>
        </w:tc>
        <w:tc>
          <w:tcPr>
            <w:tcW w:w="1400" w:type="dxa"/>
            <w:vAlign w:val="center"/>
          </w:tcPr>
          <w:p w14:paraId="32F396C9">
            <w:pPr>
              <w:spacing w:before="40" w:after="40"/>
              <w:jc w:val="center"/>
            </w:pPr>
            <w:r>
              <w:rPr>
                <w:rFonts w:hint="default" w:ascii="Arial" w:hAnsi="Arial" w:cs="Arial"/>
                <w:lang w:val="en-US"/>
              </w:rPr>
              <w:t>√</w:t>
            </w:r>
          </w:p>
        </w:tc>
        <w:tc>
          <w:tcPr>
            <w:tcW w:w="1400" w:type="dxa"/>
            <w:vAlign w:val="center"/>
          </w:tcPr>
          <w:p w14:paraId="6C4E1E06">
            <w:pPr>
              <w:spacing w:before="40" w:after="40"/>
              <w:jc w:val="center"/>
            </w:pPr>
          </w:p>
        </w:tc>
        <w:tc>
          <w:tcPr>
            <w:tcW w:w="1400" w:type="dxa"/>
            <w:vAlign w:val="center"/>
          </w:tcPr>
          <w:p w14:paraId="02A6E913">
            <w:pPr>
              <w:spacing w:before="40" w:after="40"/>
              <w:jc w:val="center"/>
            </w:pPr>
          </w:p>
        </w:tc>
      </w:tr>
      <w:tr w14:paraId="233F6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vAlign w:val="center"/>
          </w:tcPr>
          <w:p w14:paraId="596A3E78">
            <w:pPr>
              <w:spacing w:before="40" w:after="40"/>
            </w:pPr>
            <w:r>
              <w:rPr>
                <w:color w:val="1A1A1A"/>
                <w:sz w:val="18"/>
                <w:szCs w:val="18"/>
              </w:rPr>
              <w:t>Communication &amp; Clarity</w:t>
            </w:r>
          </w:p>
        </w:tc>
        <w:tc>
          <w:tcPr>
            <w:tcW w:w="800" w:type="dxa"/>
            <w:vAlign w:val="center"/>
          </w:tcPr>
          <w:p w14:paraId="2DEA000C">
            <w:pPr>
              <w:spacing w:before="40" w:after="40"/>
              <w:jc w:val="center"/>
            </w:pPr>
            <w:r>
              <w:rPr>
                <w:color w:val="1A1A1A"/>
                <w:sz w:val="18"/>
                <w:szCs w:val="18"/>
              </w:rPr>
              <w:t>20%</w:t>
            </w:r>
          </w:p>
        </w:tc>
        <w:tc>
          <w:tcPr>
            <w:tcW w:w="1400" w:type="dxa"/>
            <w:vAlign w:val="center"/>
          </w:tcPr>
          <w:p w14:paraId="0F7778DE">
            <w:pPr>
              <w:spacing w:before="40" w:after="40"/>
              <w:jc w:val="center"/>
              <w:rPr>
                <w:rFonts w:hint="default"/>
                <w:lang w:val="en-US"/>
              </w:rPr>
            </w:pPr>
            <w:r>
              <w:rPr>
                <w:rFonts w:hint="default" w:ascii="Arial" w:hAnsi="Arial" w:cs="Arial"/>
                <w:lang w:val="en-US"/>
              </w:rPr>
              <w:t>√</w:t>
            </w:r>
          </w:p>
        </w:tc>
        <w:tc>
          <w:tcPr>
            <w:tcW w:w="1400" w:type="dxa"/>
            <w:vAlign w:val="center"/>
          </w:tcPr>
          <w:p w14:paraId="4BD79FC5">
            <w:pPr>
              <w:spacing w:before="40" w:after="40"/>
              <w:jc w:val="center"/>
            </w:pPr>
          </w:p>
        </w:tc>
        <w:tc>
          <w:tcPr>
            <w:tcW w:w="1400" w:type="dxa"/>
            <w:vAlign w:val="center"/>
          </w:tcPr>
          <w:p w14:paraId="1D262F41">
            <w:pPr>
              <w:spacing w:before="40" w:after="40"/>
              <w:jc w:val="center"/>
            </w:pPr>
          </w:p>
        </w:tc>
        <w:tc>
          <w:tcPr>
            <w:tcW w:w="1400" w:type="dxa"/>
            <w:vAlign w:val="center"/>
          </w:tcPr>
          <w:p w14:paraId="2D823126">
            <w:pPr>
              <w:spacing w:before="40" w:after="40"/>
              <w:jc w:val="center"/>
            </w:pPr>
          </w:p>
        </w:tc>
      </w:tr>
    </w:tbl>
    <w:p w14:paraId="21A45FD5">
      <w:pPr>
        <w:spacing w:before="170" w:after="20"/>
      </w:pPr>
      <w:r>
        <w:rPr>
          <w:b/>
          <w:bCs/>
          <w:color w:val="1F3864"/>
          <w:sz w:val="21"/>
          <w:szCs w:val="21"/>
        </w:rPr>
        <w:t>2 · The one decision you would defend hardest</w:t>
      </w:r>
    </w:p>
    <w:p w14:paraId="450BCA57">
      <w:pPr>
        <w:spacing w:after="40"/>
      </w:pPr>
      <w:r>
        <w:rPr>
          <w:color w:val="595959"/>
          <w:sz w:val="16"/>
          <w:szCs w:val="16"/>
        </w:rPr>
        <w:t>Name a single design decision — a tool you cut, the autonomy setting you chose, the dependency rule behind your parallel calls, the model you settled on — and say what evidence made it. Four or five sentences.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D25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Pr>
          <w:p w14:paraId="4FA43197">
            <w:pPr>
              <w:spacing w:before="40" w:after="40"/>
              <w:rPr>
                <w:rFonts w:ascii="Calibri" w:hAnsi="Calibri" w:eastAsia="Calibri" w:cs="Calibri"/>
                <w:color w:val="1A1A1A"/>
                <w:sz w:val="18"/>
                <w:szCs w:val="18"/>
              </w:rPr>
            </w:pPr>
            <w:r>
              <w:rPr>
                <w:rFonts w:ascii="Calibri" w:hAnsi="Calibri" w:eastAsia="Calibri" w:cs="Calibri"/>
                <w:color w:val="1A1A1A"/>
                <w:sz w:val="18"/>
                <w:szCs w:val="18"/>
              </w:rPr>
              <w:t>We chose the dependency rule allowing parallel tool calls only when no tool’s input depends on the output of another within the same turn. This design reduces the total number of agent turns and token consumption without breaking the logical validity of tool execution. Our benchmark evidence shows parallel execution cuts average turn count and lowers overall inference cost compared to sequential calling. We rejected unrestricted parallel calls because they risk invalid inputs when one tool relies on prior results. This rule balances efficiency and correctness for our claim-processing agent.</w:t>
            </w:r>
          </w:p>
          <w:p w14:paraId="3F1639D5"/>
          <w:p w14:paraId="7C4A8AFE"/>
          <w:p w14:paraId="7D9E796F"/>
          <w:p w14:paraId="77DC6D65"/>
        </w:tc>
      </w:tr>
    </w:tbl>
    <w:p w14:paraId="7CF8B845">
      <w:pPr>
        <w:spacing w:before="170" w:after="20"/>
      </w:pPr>
      <w:r>
        <w:rPr>
          <w:b/>
          <w:bCs/>
          <w:color w:val="1F3864"/>
          <w:sz w:val="21"/>
          <w:szCs w:val="21"/>
        </w:rPr>
        <w:t>3 · The one you are least sure about</w:t>
      </w:r>
    </w:p>
    <w:p w14:paraId="0833F5BA">
      <w:pPr>
        <w:spacing w:after="40"/>
      </w:pPr>
      <w:r>
        <w:rPr>
          <w:color w:val="595959"/>
          <w:sz w:val="16"/>
          <w:szCs w:val="16"/>
        </w:rPr>
        <w:t>Every team has one. Naming it costs you nothing here and it is often the most interesting thing in the submission.</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32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Pr>
          <w:p w14:paraId="04BD08A2">
            <w:pPr>
              <w:spacing w:before="40" w:after="40"/>
              <w:rPr>
                <w:rFonts w:ascii="Calibri" w:hAnsi="Calibri" w:eastAsia="Calibri" w:cs="Calibri"/>
                <w:color w:val="1A1A1A"/>
                <w:sz w:val="18"/>
                <w:szCs w:val="18"/>
              </w:rPr>
            </w:pPr>
            <w:r>
              <w:rPr>
                <w:rFonts w:ascii="Calibri" w:hAnsi="Calibri" w:eastAsia="Calibri" w:cs="Calibri"/>
                <w:color w:val="1A1A1A"/>
                <w:sz w:val="18"/>
                <w:szCs w:val="18"/>
              </w:rPr>
              <w:t>We are least confident about the model’s ability to consistently follow early-exit control flow after detecting a lapsed policy. Even when the model correctly identifies a terminated policy, it may keep running downstream tool checks and approve invalid claims. This failure appears in our negative test cases but its frequency across different models remains unclear. We cannot fully predict whether this agent reasoning flaw will persist under varied prompt wording. More model variants and negative examples would be required to quantify this risk.</w:t>
            </w:r>
          </w:p>
          <w:p w14:paraId="43FC916C"/>
          <w:p w14:paraId="753B294A"/>
          <w:p w14:paraId="2361B228"/>
        </w:tc>
      </w:tr>
    </w:tbl>
    <w:p w14:paraId="258B83DE">
      <w:pPr>
        <w:spacing w:before="170" w:after="20"/>
      </w:pPr>
      <w:r>
        <w:rPr>
          <w:b/>
          <w:bCs/>
          <w:color w:val="1F3864"/>
          <w:sz w:val="21"/>
          <w:szCs w:val="21"/>
        </w:rPr>
        <w:t>4 · Your headline numbers</w:t>
      </w:r>
    </w:p>
    <w:p w14:paraId="3D41A0FC">
      <w:pPr>
        <w:spacing w:after="40"/>
      </w:pPr>
      <w:r>
        <w:rPr>
          <w:color w:val="595959"/>
          <w:sz w:val="16"/>
          <w:szCs w:val="16"/>
        </w:rPr>
        <w:t>Copy these from your repository. If any cell is empty, that is worth noticing before you submit rather than after.</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2"/>
        <w:gridCol w:w="1585"/>
        <w:gridCol w:w="2931"/>
        <w:gridCol w:w="1578"/>
      </w:tblGrid>
      <w:tr w14:paraId="03454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5B1AED44">
            <w:pPr>
              <w:spacing w:before="40" w:after="40"/>
            </w:pPr>
          </w:p>
        </w:tc>
        <w:tc>
          <w:tcPr>
            <w:tcW w:w="1600" w:type="dxa"/>
            <w:vAlign w:val="center"/>
          </w:tcPr>
          <w:p w14:paraId="1DE51D55">
            <w:pPr>
              <w:spacing w:before="40" w:after="40"/>
              <w:jc w:val="center"/>
            </w:pPr>
            <w:r>
              <w:rPr>
                <w:b/>
                <w:bCs/>
                <w:color w:val="1F3864"/>
                <w:sz w:val="17"/>
                <w:szCs w:val="17"/>
              </w:rPr>
              <w:t>Value</w:t>
            </w:r>
          </w:p>
        </w:tc>
        <w:tc>
          <w:tcPr>
            <w:tcW w:w="3000" w:type="dxa"/>
            <w:vAlign w:val="center"/>
          </w:tcPr>
          <w:p w14:paraId="0562BCE2">
            <w:pPr>
              <w:spacing w:before="40" w:after="40"/>
              <w:jc w:val="center"/>
            </w:pPr>
          </w:p>
        </w:tc>
        <w:tc>
          <w:tcPr>
            <w:tcW w:w="1600" w:type="dxa"/>
            <w:vAlign w:val="center"/>
          </w:tcPr>
          <w:p w14:paraId="6C6D8796">
            <w:pPr>
              <w:spacing w:before="40" w:after="40"/>
              <w:jc w:val="center"/>
            </w:pPr>
            <w:r>
              <w:rPr>
                <w:b/>
                <w:bCs/>
                <w:color w:val="1F3864"/>
                <w:sz w:val="17"/>
                <w:szCs w:val="17"/>
              </w:rPr>
              <w:t>Value</w:t>
            </w:r>
          </w:p>
        </w:tc>
      </w:tr>
      <w:tr w14:paraId="33EB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37FA16F0">
            <w:pPr>
              <w:spacing w:before="40" w:after="40"/>
            </w:pPr>
            <w:r>
              <w:rPr>
                <w:color w:val="1A1A1A"/>
                <w:sz w:val="18"/>
                <w:szCs w:val="18"/>
              </w:rPr>
              <w:t>Evaluation cases</w:t>
            </w:r>
          </w:p>
        </w:tc>
        <w:tc>
          <w:tcPr>
            <w:tcW w:w="1600" w:type="dxa"/>
            <w:vAlign w:val="center"/>
          </w:tcPr>
          <w:p w14:paraId="274EE67E">
            <w:pPr>
              <w:spacing w:before="40" w:after="40"/>
              <w:jc w:val="center"/>
              <w:rPr>
                <w:rFonts w:hint="default" w:eastAsia="宋体"/>
                <w:lang w:val="en-US" w:eastAsia="zh-CN"/>
              </w:rPr>
            </w:pPr>
            <w:r>
              <w:rPr>
                <w:rFonts w:hint="eastAsia" w:eastAsia="宋体"/>
                <w:lang w:val="en-US" w:eastAsia="zh-CN"/>
              </w:rPr>
              <w:t>40</w:t>
            </w:r>
          </w:p>
        </w:tc>
        <w:tc>
          <w:tcPr>
            <w:tcW w:w="3000" w:type="dxa"/>
            <w:vAlign w:val="center"/>
          </w:tcPr>
          <w:p w14:paraId="5842AAD6">
            <w:pPr>
              <w:spacing w:before="40" w:after="40"/>
              <w:jc w:val="center"/>
            </w:pPr>
            <w:r>
              <w:rPr>
                <w:color w:val="1A1A1A"/>
                <w:sz w:val="18"/>
                <w:szCs w:val="18"/>
              </w:rPr>
              <w:t>Guardrail cases</w:t>
            </w:r>
          </w:p>
        </w:tc>
        <w:tc>
          <w:tcPr>
            <w:tcW w:w="1600" w:type="dxa"/>
            <w:vAlign w:val="center"/>
          </w:tcPr>
          <w:p w14:paraId="234DBD45">
            <w:pPr>
              <w:spacing w:before="40" w:after="40"/>
              <w:jc w:val="center"/>
              <w:rPr>
                <w:rFonts w:hint="default" w:eastAsia="宋体"/>
                <w:lang w:val="en-US" w:eastAsia="zh-CN"/>
              </w:rPr>
            </w:pPr>
            <w:r>
              <w:rPr>
                <w:rFonts w:hint="eastAsia" w:eastAsia="宋体"/>
                <w:lang w:val="en-US" w:eastAsia="zh-CN"/>
              </w:rPr>
              <w:t>10</w:t>
            </w:r>
          </w:p>
        </w:tc>
      </w:tr>
      <w:tr w14:paraId="32C4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586261B6">
            <w:pPr>
              <w:spacing w:before="40" w:after="40"/>
            </w:pPr>
            <w:r>
              <w:rPr>
                <w:color w:val="1A1A1A"/>
                <w:sz w:val="18"/>
                <w:szCs w:val="18"/>
              </w:rPr>
              <w:t>Negative cases</w:t>
            </w:r>
          </w:p>
        </w:tc>
        <w:tc>
          <w:tcPr>
            <w:tcW w:w="1600" w:type="dxa"/>
            <w:vAlign w:val="center"/>
          </w:tcPr>
          <w:p w14:paraId="6287D009">
            <w:pPr>
              <w:spacing w:before="40" w:after="40"/>
              <w:jc w:val="center"/>
              <w:rPr>
                <w:rFonts w:hint="default" w:eastAsia="宋体"/>
                <w:lang w:val="en-US" w:eastAsia="zh-CN"/>
              </w:rPr>
            </w:pPr>
            <w:r>
              <w:rPr>
                <w:rFonts w:hint="eastAsia" w:eastAsia="宋体"/>
                <w:lang w:val="en-US" w:eastAsia="zh-CN"/>
              </w:rPr>
              <w:t>10</w:t>
            </w:r>
          </w:p>
        </w:tc>
        <w:tc>
          <w:tcPr>
            <w:tcW w:w="3000" w:type="dxa"/>
            <w:vAlign w:val="center"/>
          </w:tcPr>
          <w:p w14:paraId="70BD7EA8">
            <w:pPr>
              <w:spacing w:before="40" w:after="40"/>
              <w:jc w:val="center"/>
            </w:pPr>
            <w:r>
              <w:rPr>
                <w:color w:val="1A1A1A"/>
                <w:sz w:val="18"/>
                <w:szCs w:val="18"/>
              </w:rPr>
              <w:t>Trials per case</w:t>
            </w:r>
          </w:p>
        </w:tc>
        <w:tc>
          <w:tcPr>
            <w:tcW w:w="1600" w:type="dxa"/>
            <w:vAlign w:val="center"/>
          </w:tcPr>
          <w:p w14:paraId="14FB33D0">
            <w:pPr>
              <w:spacing w:before="40" w:after="40"/>
              <w:jc w:val="center"/>
              <w:rPr>
                <w:rFonts w:hint="default" w:eastAsia="宋体"/>
                <w:lang w:val="en-US" w:eastAsia="zh-CN"/>
              </w:rPr>
            </w:pPr>
            <w:r>
              <w:rPr>
                <w:rFonts w:hint="eastAsia" w:eastAsia="宋体"/>
                <w:lang w:val="en-US" w:eastAsia="zh-CN"/>
              </w:rPr>
              <w:t>1 ordinary/3 negative</w:t>
            </w:r>
          </w:p>
        </w:tc>
      </w:tr>
      <w:tr w14:paraId="1394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3A5E3961">
            <w:pPr>
              <w:spacing w:before="40" w:after="40"/>
            </w:pPr>
            <w:r>
              <w:rPr>
                <w:color w:val="1A1A1A"/>
                <w:sz w:val="18"/>
                <w:szCs w:val="18"/>
              </w:rPr>
              <w:t>Pass rate (best model)</w:t>
            </w:r>
          </w:p>
        </w:tc>
        <w:tc>
          <w:tcPr>
            <w:tcW w:w="1600" w:type="dxa"/>
            <w:vAlign w:val="center"/>
          </w:tcPr>
          <w:p w14:paraId="2815489C">
            <w:pPr>
              <w:spacing w:before="40" w:after="40"/>
              <w:jc w:val="center"/>
              <w:rPr>
                <w:rFonts w:hint="default" w:eastAsia="宋体"/>
                <w:lang w:val="en-US" w:eastAsia="zh-CN"/>
              </w:rPr>
            </w:pPr>
            <w:r>
              <w:rPr>
                <w:rFonts w:hint="eastAsia" w:eastAsia="宋体"/>
                <w:lang w:val="en-US" w:eastAsia="zh-CN"/>
              </w:rPr>
              <w:t>80%</w:t>
            </w:r>
          </w:p>
        </w:tc>
        <w:tc>
          <w:tcPr>
            <w:tcW w:w="3000" w:type="dxa"/>
            <w:vAlign w:val="center"/>
          </w:tcPr>
          <w:p w14:paraId="7D2C4BFF">
            <w:pPr>
              <w:spacing w:before="40" w:after="40"/>
              <w:jc w:val="center"/>
            </w:pPr>
            <w:r>
              <w:rPr>
                <w:color w:val="1A1A1A"/>
                <w:sz w:val="18"/>
                <w:szCs w:val="18"/>
              </w:rPr>
              <w:t>Pass rate on negatives only</w:t>
            </w:r>
          </w:p>
        </w:tc>
        <w:tc>
          <w:tcPr>
            <w:tcW w:w="1600" w:type="dxa"/>
            <w:vAlign w:val="center"/>
          </w:tcPr>
          <w:p w14:paraId="3F11ED3F">
            <w:pPr>
              <w:spacing w:before="40" w:after="40"/>
              <w:jc w:val="center"/>
              <w:rPr>
                <w:rFonts w:hint="default" w:eastAsia="宋体"/>
                <w:lang w:val="en-US" w:eastAsia="zh-CN"/>
              </w:rPr>
            </w:pPr>
            <w:r>
              <w:rPr>
                <w:rFonts w:hint="eastAsia" w:eastAsia="宋体"/>
                <w:lang w:val="en-US" w:eastAsia="zh-CN"/>
              </w:rPr>
              <w:t>36.7%-</w:t>
            </w:r>
            <w:bookmarkStart w:id="0" w:name="_GoBack"/>
            <w:bookmarkEnd w:id="0"/>
            <w:r>
              <w:rPr>
                <w:rFonts w:hint="eastAsia" w:eastAsia="宋体"/>
                <w:lang w:val="en-US" w:eastAsia="zh-CN"/>
              </w:rPr>
              <w:t>Qwen V2</w:t>
            </w:r>
          </w:p>
        </w:tc>
      </w:tr>
      <w:tr w14:paraId="51DB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1BA23B45">
            <w:pPr>
              <w:spacing w:before="40" w:after="40"/>
            </w:pPr>
            <w:r>
              <w:rPr>
                <w:color w:val="1A1A1A"/>
                <w:sz w:val="18"/>
                <w:szCs w:val="18"/>
              </w:rPr>
              <w:t>Models in the battery</w:t>
            </w:r>
          </w:p>
        </w:tc>
        <w:tc>
          <w:tcPr>
            <w:tcW w:w="1600" w:type="dxa"/>
            <w:vAlign w:val="center"/>
          </w:tcPr>
          <w:p w14:paraId="4375EB84">
            <w:pPr>
              <w:spacing w:before="40" w:after="40"/>
              <w:jc w:val="center"/>
              <w:rPr>
                <w:rFonts w:hint="default" w:eastAsia="宋体"/>
                <w:lang w:val="en-US" w:eastAsia="zh-CN"/>
              </w:rPr>
            </w:pPr>
            <w:r>
              <w:rPr>
                <w:rFonts w:hint="eastAsia" w:eastAsia="宋体"/>
                <w:lang w:val="en-US" w:eastAsia="zh-CN"/>
              </w:rPr>
              <w:t>5</w:t>
            </w:r>
          </w:p>
        </w:tc>
        <w:tc>
          <w:tcPr>
            <w:tcW w:w="3000" w:type="dxa"/>
            <w:vAlign w:val="center"/>
          </w:tcPr>
          <w:p w14:paraId="6CCA5753">
            <w:pPr>
              <w:spacing w:before="40" w:after="40"/>
              <w:jc w:val="center"/>
            </w:pPr>
            <w:r>
              <w:rPr>
                <w:color w:val="1A1A1A"/>
                <w:sz w:val="18"/>
                <w:szCs w:val="18"/>
              </w:rPr>
              <w:t>Median turns per run</w:t>
            </w:r>
          </w:p>
        </w:tc>
        <w:tc>
          <w:tcPr>
            <w:tcW w:w="1600" w:type="dxa"/>
            <w:vAlign w:val="center"/>
          </w:tcPr>
          <w:p w14:paraId="408A3A83">
            <w:pPr>
              <w:spacing w:before="40" w:after="40"/>
              <w:jc w:val="center"/>
              <w:rPr>
                <w:rFonts w:hint="default" w:eastAsia="宋体"/>
                <w:lang w:val="en-US" w:eastAsia="zh-CN"/>
              </w:rPr>
            </w:pPr>
            <w:r>
              <w:rPr>
                <w:rFonts w:hint="eastAsia" w:eastAsia="宋体"/>
                <w:lang w:val="en-US" w:eastAsia="zh-CN"/>
              </w:rPr>
              <w:t>6</w:t>
            </w:r>
          </w:p>
        </w:tc>
      </w:tr>
      <w:tr w14:paraId="6839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24B8EEAF">
            <w:pPr>
              <w:spacing w:before="40" w:after="40"/>
            </w:pPr>
            <w:r>
              <w:rPr>
                <w:color w:val="1A1A1A"/>
                <w:sz w:val="18"/>
                <w:szCs w:val="18"/>
              </w:rPr>
              <w:t>Turns saved by parallel calls</w:t>
            </w:r>
          </w:p>
        </w:tc>
        <w:tc>
          <w:tcPr>
            <w:tcW w:w="1600" w:type="dxa"/>
            <w:vAlign w:val="center"/>
          </w:tcPr>
          <w:p w14:paraId="13537B7F">
            <w:pPr>
              <w:spacing w:before="40" w:after="40"/>
              <w:jc w:val="center"/>
              <w:rPr>
                <w:rFonts w:hint="default" w:eastAsia="宋体"/>
                <w:lang w:val="en-US" w:eastAsia="zh-CN"/>
              </w:rPr>
            </w:pPr>
            <w:r>
              <w:rPr>
                <w:rFonts w:hint="eastAsia" w:eastAsia="宋体"/>
                <w:lang w:val="en-US" w:eastAsia="zh-CN"/>
              </w:rPr>
              <w:t>2.25(36.9%)</w:t>
            </w:r>
          </w:p>
        </w:tc>
        <w:tc>
          <w:tcPr>
            <w:tcW w:w="3000" w:type="dxa"/>
            <w:vAlign w:val="center"/>
          </w:tcPr>
          <w:p w14:paraId="0D0134A1">
            <w:pPr>
              <w:spacing w:before="40" w:after="40"/>
              <w:jc w:val="center"/>
            </w:pPr>
            <w:r>
              <w:rPr>
                <w:color w:val="1A1A1A"/>
                <w:sz w:val="18"/>
                <w:szCs w:val="18"/>
              </w:rPr>
              <w:t>Cost per successful task</w:t>
            </w:r>
          </w:p>
        </w:tc>
        <w:tc>
          <w:tcPr>
            <w:tcW w:w="1600" w:type="dxa"/>
            <w:vAlign w:val="center"/>
          </w:tcPr>
          <w:p w14:paraId="0B6720EB">
            <w:pPr>
              <w:spacing w:before="40" w:after="40"/>
              <w:jc w:val="center"/>
              <w:rPr>
                <w:rFonts w:hint="default" w:eastAsia="宋体"/>
                <w:lang w:val="en-US" w:eastAsia="zh-CN"/>
              </w:rPr>
            </w:pPr>
            <w:r>
              <w:rPr>
                <w:rFonts w:hint="eastAsia" w:eastAsia="宋体"/>
                <w:lang w:val="en-US" w:eastAsia="zh-CN"/>
              </w:rPr>
              <w:t>US$1.5222</w:t>
            </w:r>
          </w:p>
        </w:tc>
      </w:tr>
      <w:tr w14:paraId="523F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vAlign w:val="center"/>
          </w:tcPr>
          <w:p w14:paraId="20325AD9">
            <w:pPr>
              <w:spacing w:before="40" w:after="40"/>
            </w:pPr>
            <w:r>
              <w:rPr>
                <w:color w:val="1A1A1A"/>
                <w:sz w:val="18"/>
                <w:szCs w:val="18"/>
              </w:rPr>
              <w:t>Monthly cost at problem volume</w:t>
            </w:r>
          </w:p>
        </w:tc>
        <w:tc>
          <w:tcPr>
            <w:tcW w:w="1600" w:type="dxa"/>
            <w:vAlign w:val="center"/>
          </w:tcPr>
          <w:p w14:paraId="11738CBD">
            <w:pPr>
              <w:spacing w:before="40" w:after="40"/>
              <w:jc w:val="center"/>
            </w:pPr>
            <w:r>
              <w:rPr>
                <w:rFonts w:hint="eastAsia" w:eastAsia="宋体"/>
                <w:lang w:val="en-US" w:eastAsia="zh-CN"/>
              </w:rPr>
              <w:t>US$12177.28</w:t>
            </w:r>
          </w:p>
        </w:tc>
        <w:tc>
          <w:tcPr>
            <w:tcW w:w="3000" w:type="dxa"/>
            <w:vAlign w:val="center"/>
          </w:tcPr>
          <w:p w14:paraId="2514B465">
            <w:pPr>
              <w:spacing w:before="40" w:after="40"/>
              <w:jc w:val="center"/>
            </w:pPr>
            <w:r>
              <w:rPr>
                <w:color w:val="1A1A1A"/>
                <w:sz w:val="18"/>
                <w:szCs w:val="18"/>
              </w:rPr>
              <w:t>Break-even success rate</w:t>
            </w:r>
          </w:p>
        </w:tc>
        <w:tc>
          <w:tcPr>
            <w:tcW w:w="1600" w:type="dxa"/>
            <w:vAlign w:val="center"/>
          </w:tcPr>
          <w:p w14:paraId="20C4394E">
            <w:pPr>
              <w:spacing w:before="40" w:after="40"/>
              <w:jc w:val="center"/>
              <w:rPr>
                <w:rFonts w:hint="default" w:eastAsia="宋体"/>
                <w:lang w:val="en-US" w:eastAsia="zh-CN"/>
              </w:rPr>
            </w:pPr>
            <w:r>
              <w:rPr>
                <w:rFonts w:hint="eastAsia" w:eastAsia="宋体"/>
                <w:lang w:val="en-US" w:eastAsia="zh-CN"/>
              </w:rPr>
              <w:t>79.99%</w:t>
            </w:r>
          </w:p>
        </w:tc>
      </w:tr>
    </w:tbl>
    <w:p w14:paraId="55CEEA9C">
      <w:pPr>
        <w:spacing w:before="170" w:after="20"/>
      </w:pPr>
      <w:r>
        <w:rPr>
          <w:b/>
          <w:bCs/>
          <w:color w:val="1F3864"/>
          <w:sz w:val="21"/>
          <w:szCs w:val="21"/>
        </w:rPr>
        <w:t>5 · Contribution</w:t>
      </w:r>
    </w:p>
    <w:p w14:paraId="3C0E7F2E">
      <w:pPr>
        <w:spacing w:after="40"/>
      </w:pPr>
      <w:r>
        <w:rPr>
          <w:color w:val="595959"/>
          <w:sz w:val="16"/>
          <w:szCs w:val="16"/>
        </w:rPr>
        <w:t>Who owned what. This should match CONTRIBUTIONS.md and the commit history. It is not used to scale marks — the team receives the team score — but it is one of the two signals the non-contribution clause relies on.</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48"/>
        <w:gridCol w:w="3329"/>
        <w:gridCol w:w="2949"/>
      </w:tblGrid>
      <w:tr w14:paraId="0EDB6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8" w:type="dxa"/>
            <w:vAlign w:val="center"/>
          </w:tcPr>
          <w:p w14:paraId="33A144D6">
            <w:pPr>
              <w:spacing w:before="40" w:after="40"/>
            </w:pPr>
            <w:r>
              <w:rPr>
                <w:b/>
                <w:bCs/>
                <w:color w:val="1F3864"/>
                <w:sz w:val="17"/>
                <w:szCs w:val="17"/>
              </w:rPr>
              <w:t>Member</w:t>
            </w:r>
          </w:p>
        </w:tc>
        <w:tc>
          <w:tcPr>
            <w:tcW w:w="3329" w:type="dxa"/>
            <w:vAlign w:val="center"/>
          </w:tcPr>
          <w:p w14:paraId="62D84AF8">
            <w:pPr>
              <w:spacing w:before="40" w:after="40"/>
              <w:jc w:val="center"/>
            </w:pPr>
            <w:r>
              <w:rPr>
                <w:b/>
                <w:bCs/>
                <w:color w:val="1F3864"/>
                <w:sz w:val="17"/>
                <w:szCs w:val="17"/>
              </w:rPr>
              <w:t>Owned</w:t>
            </w:r>
          </w:p>
        </w:tc>
        <w:tc>
          <w:tcPr>
            <w:tcW w:w="2949" w:type="dxa"/>
            <w:vAlign w:val="center"/>
          </w:tcPr>
          <w:p w14:paraId="17C060B3">
            <w:pPr>
              <w:spacing w:before="40" w:after="40"/>
              <w:jc w:val="center"/>
            </w:pPr>
            <w:r>
              <w:rPr>
                <w:b/>
                <w:bCs/>
                <w:color w:val="1F3864"/>
                <w:sz w:val="17"/>
                <w:szCs w:val="17"/>
              </w:rPr>
              <w:t>Also contributed to</w:t>
            </w:r>
          </w:p>
        </w:tc>
      </w:tr>
      <w:tr w14:paraId="139F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8" w:type="dxa"/>
            <w:vAlign w:val="center"/>
          </w:tcPr>
          <w:p w14:paraId="24F617C0">
            <w:pPr>
              <w:spacing w:before="40" w:after="40"/>
              <w:rPr>
                <w:rFonts w:hint="default"/>
                <w:lang w:val="en-US"/>
              </w:rPr>
            </w:pPr>
            <w:r>
              <w:rPr>
                <w:rFonts w:hint="default"/>
                <w:lang w:val="en-US"/>
              </w:rPr>
              <w:t>Liu Wenjing</w:t>
            </w:r>
          </w:p>
        </w:tc>
        <w:tc>
          <w:tcPr>
            <w:tcW w:w="3329" w:type="dxa"/>
            <w:vAlign w:val="center"/>
          </w:tcPr>
          <w:p w14:paraId="4B75B24E">
            <w:pPr>
              <w:spacing w:before="40" w:after="40"/>
              <w:jc w:val="center"/>
              <w:rPr>
                <w:rFonts w:hint="default" w:eastAsia="宋体"/>
                <w:lang w:val="en-US" w:eastAsia="zh-CN"/>
              </w:rPr>
            </w:pPr>
            <w:r>
              <w:rPr>
                <w:rFonts w:hint="eastAsia" w:eastAsia="宋体"/>
                <w:lang w:val="en-US" w:eastAsia="zh-CN"/>
              </w:rPr>
              <w:t>D1&amp;D2(a)&amp;D2(c)</w:t>
            </w:r>
          </w:p>
        </w:tc>
        <w:tc>
          <w:tcPr>
            <w:tcW w:w="2949" w:type="dxa"/>
            <w:vAlign w:val="center"/>
          </w:tcPr>
          <w:p w14:paraId="4CF926EE">
            <w:pPr>
              <w:spacing w:before="40" w:after="40"/>
              <w:jc w:val="center"/>
              <w:rPr>
                <w:rFonts w:hint="default" w:eastAsia="宋体"/>
                <w:lang w:val="en-US" w:eastAsia="zh-CN"/>
              </w:rPr>
            </w:pPr>
            <w:r>
              <w:rPr>
                <w:rFonts w:hint="default"/>
                <w:lang w:val="en-US"/>
              </w:rPr>
              <w:t>D5</w:t>
            </w:r>
            <w:r>
              <w:rPr>
                <w:rFonts w:hint="eastAsia" w:eastAsia="宋体"/>
                <w:lang w:val="en-US" w:eastAsia="zh-CN"/>
              </w:rPr>
              <w:t xml:space="preserve"> &amp; report</w:t>
            </w:r>
          </w:p>
        </w:tc>
      </w:tr>
      <w:tr w14:paraId="2605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8" w:type="dxa"/>
            <w:vAlign w:val="center"/>
          </w:tcPr>
          <w:p w14:paraId="2A37A3BA">
            <w:pPr>
              <w:spacing w:before="40" w:after="40"/>
              <w:rPr>
                <w:rFonts w:hint="default"/>
                <w:lang w:val="en-US"/>
              </w:rPr>
            </w:pPr>
            <w:r>
              <w:rPr>
                <w:rFonts w:hint="default"/>
                <w:lang w:val="en-US"/>
              </w:rPr>
              <w:t>Wen Xuanyi</w:t>
            </w:r>
          </w:p>
        </w:tc>
        <w:tc>
          <w:tcPr>
            <w:tcW w:w="3329" w:type="dxa"/>
            <w:vAlign w:val="center"/>
          </w:tcPr>
          <w:p w14:paraId="1F171CC5">
            <w:pPr>
              <w:spacing w:before="40" w:after="40"/>
              <w:jc w:val="center"/>
            </w:pPr>
            <w:r>
              <w:rPr>
                <w:rFonts w:hint="eastAsia" w:eastAsia="宋体"/>
                <w:lang w:val="en-US" w:eastAsia="zh-CN"/>
              </w:rPr>
              <w:t>D1&amp;D2(a)&amp;D2(c)</w:t>
            </w:r>
          </w:p>
        </w:tc>
        <w:tc>
          <w:tcPr>
            <w:tcW w:w="2949" w:type="dxa"/>
            <w:vAlign w:val="center"/>
          </w:tcPr>
          <w:p w14:paraId="6ACF8AAA">
            <w:pPr>
              <w:spacing w:before="40" w:after="40"/>
              <w:jc w:val="center"/>
            </w:pPr>
            <w:r>
              <w:rPr>
                <w:rFonts w:hint="default"/>
                <w:lang w:val="en-US"/>
              </w:rPr>
              <w:t>D5</w:t>
            </w:r>
            <w:r>
              <w:rPr>
                <w:rFonts w:hint="eastAsia" w:eastAsia="宋体"/>
                <w:lang w:val="en-US" w:eastAsia="zh-CN"/>
              </w:rPr>
              <w:t xml:space="preserve"> &amp; report</w:t>
            </w:r>
          </w:p>
        </w:tc>
      </w:tr>
      <w:tr w14:paraId="1545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748" w:type="dxa"/>
            <w:vAlign w:val="center"/>
          </w:tcPr>
          <w:p w14:paraId="424E4437">
            <w:pPr>
              <w:spacing w:before="40" w:after="40"/>
              <w:rPr>
                <w:rFonts w:hint="default"/>
                <w:lang w:val="en-US"/>
              </w:rPr>
            </w:pPr>
            <w:r>
              <w:rPr>
                <w:rFonts w:hint="default"/>
                <w:lang w:val="en-US"/>
              </w:rPr>
              <w:t>Cai Qi</w:t>
            </w:r>
          </w:p>
        </w:tc>
        <w:tc>
          <w:tcPr>
            <w:tcW w:w="3329" w:type="dxa"/>
            <w:vAlign w:val="center"/>
          </w:tcPr>
          <w:p w14:paraId="5BD1055C">
            <w:pPr>
              <w:spacing w:before="40" w:after="40"/>
              <w:jc w:val="center"/>
              <w:rPr>
                <w:rFonts w:hint="default"/>
                <w:lang w:val="en-US"/>
              </w:rPr>
            </w:pPr>
            <w:r>
              <w:rPr>
                <w:rFonts w:hint="default"/>
                <w:lang w:val="en-US"/>
              </w:rPr>
              <w:t>D2(b)</w:t>
            </w:r>
          </w:p>
        </w:tc>
        <w:tc>
          <w:tcPr>
            <w:tcW w:w="2949" w:type="dxa"/>
            <w:vAlign w:val="center"/>
          </w:tcPr>
          <w:p w14:paraId="195839B3">
            <w:pPr>
              <w:spacing w:before="40" w:after="40"/>
              <w:jc w:val="center"/>
              <w:rPr>
                <w:rFonts w:hint="default"/>
                <w:lang w:val="en-US"/>
              </w:rPr>
            </w:pPr>
            <w:r>
              <w:rPr>
                <w:rFonts w:hint="default"/>
                <w:lang w:val="en-US"/>
              </w:rPr>
              <w:t>D3 &amp; D5</w:t>
            </w:r>
            <w:r>
              <w:rPr>
                <w:rFonts w:hint="eastAsia" w:eastAsia="宋体"/>
                <w:lang w:val="en-US" w:eastAsia="zh-CN"/>
              </w:rPr>
              <w:t xml:space="preserve"> &amp; report</w:t>
            </w:r>
          </w:p>
        </w:tc>
      </w:tr>
      <w:tr w14:paraId="26C5B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8" w:type="dxa"/>
            <w:vAlign w:val="center"/>
          </w:tcPr>
          <w:p w14:paraId="72F0EA2F">
            <w:pPr>
              <w:spacing w:before="40" w:after="40"/>
              <w:rPr>
                <w:rFonts w:hint="default"/>
                <w:lang w:val="en-US"/>
              </w:rPr>
            </w:pPr>
            <w:r>
              <w:rPr>
                <w:rFonts w:hint="default"/>
                <w:lang w:val="en-US"/>
              </w:rPr>
              <w:t>Zhu Xinyi</w:t>
            </w:r>
          </w:p>
        </w:tc>
        <w:tc>
          <w:tcPr>
            <w:tcW w:w="3329" w:type="dxa"/>
            <w:vAlign w:val="center"/>
          </w:tcPr>
          <w:p w14:paraId="1119C705">
            <w:pPr>
              <w:spacing w:before="40" w:after="40"/>
              <w:jc w:val="center"/>
              <w:rPr>
                <w:rFonts w:hint="default"/>
                <w:lang w:val="en-US"/>
              </w:rPr>
            </w:pPr>
            <w:r>
              <w:rPr>
                <w:rFonts w:hint="default"/>
                <w:lang w:val="en-US"/>
              </w:rPr>
              <w:t>D3</w:t>
            </w:r>
          </w:p>
        </w:tc>
        <w:tc>
          <w:tcPr>
            <w:tcW w:w="2949" w:type="dxa"/>
            <w:vAlign w:val="center"/>
          </w:tcPr>
          <w:p w14:paraId="271C032E">
            <w:pPr>
              <w:spacing w:before="40" w:after="40"/>
              <w:jc w:val="center"/>
            </w:pPr>
            <w:r>
              <w:rPr>
                <w:rFonts w:hint="default"/>
                <w:lang w:val="en-US"/>
              </w:rPr>
              <w:t>D2(b) &amp; D5</w:t>
            </w:r>
            <w:r>
              <w:rPr>
                <w:rFonts w:hint="eastAsia" w:eastAsia="宋体"/>
                <w:lang w:val="en-US" w:eastAsia="zh-CN"/>
              </w:rPr>
              <w:t xml:space="preserve"> &amp; report</w:t>
            </w:r>
          </w:p>
        </w:tc>
      </w:tr>
      <w:tr w14:paraId="135A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8" w:type="dxa"/>
            <w:vAlign w:val="center"/>
          </w:tcPr>
          <w:p w14:paraId="517A8799">
            <w:pPr>
              <w:spacing w:before="40" w:after="40"/>
              <w:rPr>
                <w:rFonts w:hint="default"/>
                <w:lang w:val="en-US"/>
              </w:rPr>
            </w:pPr>
            <w:r>
              <w:rPr>
                <w:rFonts w:hint="default"/>
                <w:lang w:val="en-US"/>
              </w:rPr>
              <w:t>Nagur Pavan</w:t>
            </w:r>
          </w:p>
        </w:tc>
        <w:tc>
          <w:tcPr>
            <w:tcW w:w="3329" w:type="dxa"/>
            <w:vAlign w:val="center"/>
          </w:tcPr>
          <w:p w14:paraId="6C067B5C">
            <w:pPr>
              <w:spacing w:before="40" w:after="40"/>
              <w:jc w:val="center"/>
              <w:rPr>
                <w:rFonts w:hint="default"/>
                <w:lang w:val="en-US"/>
              </w:rPr>
            </w:pPr>
            <w:r>
              <w:rPr>
                <w:rFonts w:hint="default"/>
                <w:lang w:val="en-US"/>
              </w:rPr>
              <w:t>D4</w:t>
            </w:r>
          </w:p>
        </w:tc>
        <w:tc>
          <w:tcPr>
            <w:tcW w:w="2949" w:type="dxa"/>
            <w:vAlign w:val="center"/>
          </w:tcPr>
          <w:p w14:paraId="30F02779">
            <w:pPr>
              <w:spacing w:before="40" w:after="40"/>
              <w:jc w:val="center"/>
            </w:pPr>
            <w:r>
              <w:rPr>
                <w:rFonts w:hint="default"/>
                <w:lang w:val="en-US"/>
              </w:rPr>
              <w:t>D5</w:t>
            </w:r>
            <w:r>
              <w:rPr>
                <w:rFonts w:hint="eastAsia" w:eastAsia="宋体"/>
                <w:lang w:val="en-US" w:eastAsia="zh-CN"/>
              </w:rPr>
              <w:t xml:space="preserve"> &amp; report</w:t>
            </w:r>
          </w:p>
        </w:tc>
      </w:tr>
      <w:tr w14:paraId="2825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8" w:type="dxa"/>
            <w:vAlign w:val="center"/>
          </w:tcPr>
          <w:p w14:paraId="5C6DEB41">
            <w:pPr>
              <w:spacing w:before="40" w:after="40"/>
              <w:rPr>
                <w:rFonts w:hint="default"/>
                <w:lang w:val="en-US"/>
              </w:rPr>
            </w:pPr>
            <w:r>
              <w:rPr>
                <w:rFonts w:hint="default"/>
                <w:lang w:val="en-US"/>
              </w:rPr>
              <w:t>Chen Qiuyang</w:t>
            </w:r>
          </w:p>
        </w:tc>
        <w:tc>
          <w:tcPr>
            <w:tcW w:w="3329" w:type="dxa"/>
            <w:vAlign w:val="center"/>
          </w:tcPr>
          <w:p w14:paraId="39B71212">
            <w:pPr>
              <w:spacing w:before="40" w:after="40"/>
              <w:jc w:val="center"/>
            </w:pPr>
            <w:r>
              <w:rPr>
                <w:rFonts w:hint="default"/>
                <w:lang w:val="en-US"/>
              </w:rPr>
              <w:t>D6</w:t>
            </w:r>
          </w:p>
        </w:tc>
        <w:tc>
          <w:tcPr>
            <w:tcW w:w="2949" w:type="dxa"/>
            <w:vAlign w:val="center"/>
          </w:tcPr>
          <w:p w14:paraId="2CF8D33B">
            <w:pPr>
              <w:spacing w:before="40" w:after="40"/>
              <w:jc w:val="center"/>
              <w:rPr>
                <w:rFonts w:hint="default"/>
                <w:lang w:val="en-US"/>
              </w:rPr>
            </w:pPr>
            <w:r>
              <w:rPr>
                <w:rFonts w:hint="default"/>
                <w:lang w:val="en-US"/>
              </w:rPr>
              <w:t>D5</w:t>
            </w:r>
            <w:r>
              <w:rPr>
                <w:rFonts w:hint="eastAsia" w:eastAsia="宋体"/>
                <w:lang w:val="en-US" w:eastAsia="zh-CN"/>
              </w:rPr>
              <w:t xml:space="preserve"> &amp; report</w:t>
            </w:r>
          </w:p>
        </w:tc>
      </w:tr>
    </w:tbl>
    <w:p w14:paraId="7AD419DA">
      <w:pPr>
        <w:spacing w:after="40"/>
      </w:pPr>
      <w:r>
        <w:rPr>
          <w:color w:val="595959"/>
          <w:sz w:val="16"/>
          <w:szCs w:val="16"/>
        </w:rPr>
        <w:t>Every member has completed NTU's Group Project peer rating:   [    ] yes   [    ] not yet</w:t>
      </w:r>
    </w:p>
    <w:p w14:paraId="0F00B638">
      <w:pPr>
        <w:spacing w:before="170" w:after="20"/>
      </w:pPr>
      <w:r>
        <w:rPr>
          <w:b/>
          <w:bCs/>
          <w:color w:val="1F3864"/>
          <w:sz w:val="21"/>
          <w:szCs w:val="21"/>
        </w:rPr>
        <w:t>6 · Declaration</w:t>
      </w:r>
    </w:p>
    <w:p w14:paraId="245703D8">
      <w:pPr>
        <w:spacing w:after="40"/>
      </w:pPr>
      <w:r>
        <w:rPr>
          <w:color w:val="595959"/>
          <w:sz w:val="16"/>
          <w:szCs w:val="16"/>
        </w:rPr>
        <w:t>Every member ticks every box. One sheet, signed by the team.</w:t>
      </w:r>
    </w:p>
    <w:p w14:paraId="56EC4040">
      <w:pPr>
        <w:spacing w:after="30"/>
      </w:pPr>
      <w:r>
        <w:rPr>
          <w:b/>
          <w:bCs/>
          <w:color w:val="1F3864"/>
          <w:sz w:val="19"/>
          <w:szCs w:val="19"/>
        </w:rPr>
        <w:t xml:space="preserve">[ </w:t>
      </w:r>
      <w:r>
        <w:rPr>
          <w:rFonts w:hint="default" w:ascii="Arial" w:hAnsi="Arial" w:cs="Arial"/>
          <w:b/>
          <w:bCs/>
          <w:color w:val="1F3864"/>
          <w:sz w:val="19"/>
          <w:szCs w:val="19"/>
        </w:rPr>
        <w:t>√</w:t>
      </w:r>
      <w:r>
        <w:rPr>
          <w:b/>
          <w:bCs/>
          <w:color w:val="1F3864"/>
          <w:sz w:val="19"/>
          <w:szCs w:val="19"/>
        </w:rPr>
        <w:t xml:space="preserve"> ]     </w:t>
      </w:r>
      <w:r>
        <w:rPr>
          <w:color w:val="1A1A1A"/>
          <w:sz w:val="18"/>
          <w:szCs w:val="18"/>
        </w:rPr>
        <w:t>Every member of this team can explain every block of code we submit — what it does, and why it is there. (Block, not line: this is about function, not syntax.)</w:t>
      </w:r>
    </w:p>
    <w:p w14:paraId="09E71C2C">
      <w:pPr>
        <w:spacing w:after="30"/>
      </w:pPr>
      <w:r>
        <w:rPr>
          <w:b/>
          <w:bCs/>
          <w:color w:val="1F3864"/>
          <w:sz w:val="19"/>
          <w:szCs w:val="19"/>
        </w:rPr>
        <w:t xml:space="preserve">[ </w:t>
      </w:r>
      <w:r>
        <w:rPr>
          <w:rFonts w:hint="default" w:ascii="Arial" w:hAnsi="Arial" w:cs="Arial"/>
          <w:b/>
          <w:bCs/>
          <w:color w:val="1F3864"/>
          <w:sz w:val="19"/>
          <w:szCs w:val="19"/>
        </w:rPr>
        <w:t>√</w:t>
      </w:r>
      <w:r>
        <w:rPr>
          <w:b/>
          <w:bCs/>
          <w:color w:val="1F3864"/>
          <w:sz w:val="19"/>
          <w:szCs w:val="19"/>
        </w:rPr>
        <w:t xml:space="preserve"> ]     </w:t>
      </w:r>
      <w:r>
        <w:rPr>
          <w:color w:val="1A1A1A"/>
          <w:sz w:val="18"/>
          <w:szCs w:val="18"/>
        </w:rPr>
        <w:t>The pass rates, token counts, turn counts and costs we report are measurements we ran ourselves. None of them were supplied by an AI assistant.</w:t>
      </w:r>
    </w:p>
    <w:p w14:paraId="3C981740">
      <w:pPr>
        <w:spacing w:after="30"/>
      </w:pPr>
      <w:r>
        <w:rPr>
          <w:b/>
          <w:bCs/>
          <w:color w:val="1F3864"/>
          <w:sz w:val="19"/>
          <w:szCs w:val="19"/>
        </w:rPr>
        <w:t xml:space="preserve">[ </w:t>
      </w:r>
      <w:r>
        <w:rPr>
          <w:rFonts w:hint="default" w:ascii="Arial" w:hAnsi="Arial" w:cs="Arial"/>
          <w:b/>
          <w:bCs/>
          <w:color w:val="1F3864"/>
          <w:sz w:val="19"/>
          <w:szCs w:val="19"/>
        </w:rPr>
        <w:t>√</w:t>
      </w:r>
      <w:r>
        <w:rPr>
          <w:b/>
          <w:bCs/>
          <w:color w:val="1F3864"/>
          <w:sz w:val="19"/>
          <w:szCs w:val="19"/>
        </w:rPr>
        <w:t xml:space="preserve"> ]     </w:t>
      </w:r>
      <w:r>
        <w:rPr>
          <w:color w:val="1A1A1A"/>
          <w:sz w:val="18"/>
          <w:szCs w:val="18"/>
        </w:rPr>
        <w:t>Our submitted harness runs end to end on the scripted backend, with no key and no network.</w:t>
      </w:r>
    </w:p>
    <w:p w14:paraId="4E5EF33A">
      <w:pPr>
        <w:spacing w:after="30"/>
      </w:pPr>
      <w:r>
        <w:rPr>
          <w:b/>
          <w:bCs/>
          <w:color w:val="1F3864"/>
          <w:sz w:val="19"/>
          <w:szCs w:val="19"/>
        </w:rPr>
        <w:t xml:space="preserve">[ </w:t>
      </w:r>
      <w:r>
        <w:rPr>
          <w:rFonts w:hint="default" w:ascii="Arial" w:hAnsi="Arial" w:cs="Arial"/>
          <w:b/>
          <w:bCs/>
          <w:color w:val="1F3864"/>
          <w:sz w:val="19"/>
          <w:szCs w:val="19"/>
        </w:rPr>
        <w:t>√</w:t>
      </w:r>
      <w:r>
        <w:rPr>
          <w:b/>
          <w:bCs/>
          <w:color w:val="1F3864"/>
          <w:sz w:val="19"/>
          <w:szCs w:val="19"/>
        </w:rPr>
        <w:t xml:space="preserve"> ]     </w:t>
      </w:r>
      <w:r>
        <w:rPr>
          <w:color w:val="1A1A1A"/>
          <w:sz w:val="18"/>
          <w:szCs w:val="18"/>
        </w:rPr>
        <w:t>No part of this submission is drawn from any member's End-of-Course Project, and no part of it will be submitted as part of one.</w:t>
      </w:r>
    </w:p>
    <w:p w14:paraId="278612A1">
      <w:pPr>
        <w:spacing w:after="30"/>
      </w:pPr>
      <w:r>
        <w:rPr>
          <w:b/>
          <w:bCs/>
          <w:color w:val="1F3864"/>
          <w:sz w:val="19"/>
          <w:szCs w:val="19"/>
        </w:rPr>
        <w:t xml:space="preserve">[ </w:t>
      </w:r>
      <w:r>
        <w:rPr>
          <w:rFonts w:hint="default" w:ascii="Arial" w:hAnsi="Arial" w:cs="Arial"/>
          <w:b/>
          <w:bCs/>
          <w:color w:val="1F3864"/>
          <w:sz w:val="19"/>
          <w:szCs w:val="19"/>
        </w:rPr>
        <w:t>√</w:t>
      </w:r>
      <w:r>
        <w:rPr>
          <w:b/>
          <w:bCs/>
          <w:color w:val="1F3864"/>
          <w:sz w:val="19"/>
          <w:szCs w:val="19"/>
        </w:rPr>
        <w:t xml:space="preserve"> ]     </w:t>
      </w:r>
      <w:r>
        <w:rPr>
          <w:color w:val="1A1A1A"/>
          <w:sz w:val="18"/>
          <w:szCs w:val="18"/>
        </w:rPr>
        <w:t>This is our own work, and all sources, tools and assistance are attributed.</w:t>
      </w:r>
    </w:p>
    <w:p w14:paraId="47C6BC47">
      <w:pPr>
        <w:spacing w:before="60" w:after="40"/>
      </w:pPr>
      <w:r>
        <w:rPr>
          <w:b/>
          <w:bCs/>
          <w:color w:val="1F3864"/>
          <w:sz w:val="19"/>
          <w:szCs w:val="19"/>
        </w:rPr>
        <w:t xml:space="preserve">Signed on behalf of the team: </w:t>
      </w:r>
      <w:r>
        <w:rPr>
          <w:rFonts w:hint="eastAsia" w:eastAsia="宋体"/>
          <w:sz w:val="19"/>
          <w:szCs w:val="19"/>
          <w:lang w:val="en-US" w:eastAsia="zh-CN"/>
        </w:rPr>
        <w:t>WEN XUANYI</w:t>
      </w:r>
      <w:r>
        <w:rPr>
          <w:sz w:val="19"/>
          <w:szCs w:val="19"/>
        </w:rPr>
        <w:t xml:space="preserve">        </w:t>
      </w:r>
      <w:r>
        <w:rPr>
          <w:b/>
          <w:bCs/>
          <w:color w:val="1F3864"/>
          <w:sz w:val="19"/>
          <w:szCs w:val="19"/>
        </w:rPr>
        <w:t xml:space="preserve">Date: </w:t>
      </w:r>
      <w:r>
        <w:rPr>
          <w:sz w:val="19"/>
          <w:szCs w:val="19"/>
        </w:rPr>
        <w:t>__</w:t>
      </w:r>
      <w:r>
        <w:rPr>
          <w:sz w:val="19"/>
          <w:szCs w:val="19"/>
          <w:u w:val="single"/>
        </w:rPr>
        <w:t>_</w:t>
      </w:r>
      <w:r>
        <w:rPr>
          <w:rFonts w:hint="default"/>
          <w:sz w:val="19"/>
          <w:szCs w:val="19"/>
          <w:u w:val="single"/>
          <w:lang w:val="en-US"/>
        </w:rPr>
        <w:t>2026.9.18</w:t>
      </w:r>
      <w:r>
        <w:rPr>
          <w:sz w:val="19"/>
          <w:szCs w:val="19"/>
          <w:u w:val="single"/>
        </w:rPr>
        <w:t>____</w:t>
      </w:r>
      <w:r>
        <w:rPr>
          <w:sz w:val="19"/>
          <w:szCs w:val="19"/>
        </w:rPr>
        <w:t>_________</w:t>
      </w:r>
    </w:p>
    <w:p w14:paraId="0A56F7A6">
      <w:pPr>
        <w:spacing w:before="170" w:after="40"/>
      </w:pPr>
      <w:r>
        <w:rPr>
          <w:b/>
          <w:bCs/>
          <w:color w:val="1F3864"/>
          <w:sz w:val="20"/>
          <w:szCs w:val="20"/>
        </w:rPr>
        <w:t>How this is used</w:t>
      </w:r>
    </w:p>
    <w:p w14:paraId="497EFB2F">
      <w:pPr>
        <w:spacing w:after="40"/>
      </w:pPr>
      <w:r>
        <w:rPr>
          <w:color w:val="1A1A1A"/>
          <w:sz w:val="18"/>
          <w:szCs w:val="18"/>
        </w:rPr>
        <w:t>This sheet is not marked and cannot lower your grade. It is read alongside your submission for two reasons. First, how a team reads its own work is usually the fastest route to feedback that is actually useful. Second, where a team's self-rating and the marking diverge sharply, that gap gets an explicit comment — which is where the most useful feedback tends to sit.</w:t>
      </w:r>
    </w:p>
    <w:sectPr>
      <w:headerReference r:id="rId5" w:type="first"/>
      <w:headerReference r:id="rId3" w:type="default"/>
      <w:footerReference r:id="rId6" w:type="default"/>
      <w:headerReference r:id="rId4" w:type="even"/>
      <w:pgSz w:w="11906" w:h="16838"/>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67C5E">
    <w:pPr>
      <w:pBdr>
        <w:top w:val="single" w:color="BFC9DA" w:sz="6" w:space="0"/>
      </w:pBdr>
      <w:spacing w:before="40"/>
    </w:pPr>
    <w:r>
      <w:rPr>
        <w:color w:val="595959"/>
        <w:sz w:val="15"/>
        <w:szCs w:val="15"/>
      </w:rPr>
      <w:t>Nanyang Technological University · MSc Enterprise AI · T1 AY2026–27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E0B42">
    <w:pPr>
      <w:pBdr>
        <w:bottom w:val="single" w:color="BFC9DA" w:sz="6" w:space="0"/>
      </w:pBdr>
      <w:spacing w:after="60"/>
    </w:pPr>
    <w:r>
      <w:rPr>
        <w:b/>
        <w:bCs/>
        <w:color w:val="1F3864"/>
        <w:sz w:val="15"/>
        <w:szCs w:val="15"/>
      </w:rPr>
      <w:t>PE6201 · EMERGING AI TECHNOLOGIES</w:t>
    </w:r>
    <w:r>
      <w:ptab w:relativeTo="margin" w:alignment="right" w:leader="none"/>
    </w:r>
    <w:r>
      <w:rPr>
        <w:color w:val="595959"/>
        <w:sz w:val="15"/>
        <w:szCs w:val="15"/>
      </w:rPr>
      <w:t>A2 · Applied AI System · Team Self-Appraisal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E29C5"/>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0B7C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5D542086"/>
    <w:rsid w:val="61DE5EB6"/>
    <w:rsid w:val="7FC3FB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color w:val="1A1A1A"/>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Calibri" w:hAnsi="Calibri" w:eastAsia="Calibri" w:cs="Calibri"/>
      <w:color w:val="1A1A1A"/>
      <w:sz w:val="20"/>
      <w:szCs w:val="20"/>
    </w:rPr>
  </w:style>
  <w:style w:type="paragraph" w:styleId="9">
    <w:name w:val="footnote text"/>
    <w:link w:val="17"/>
    <w:semiHidden/>
    <w:unhideWhenUsed/>
    <w:qFormat/>
    <w:uiPriority w:val="99"/>
    <w:pPr>
      <w:spacing w:after="0" w:line="240" w:lineRule="auto"/>
    </w:pPr>
    <w:rPr>
      <w:rFonts w:ascii="Calibri" w:hAnsi="Calibri" w:eastAsia="Calibri" w:cs="Calibri"/>
      <w:color w:val="1A1A1A"/>
      <w:sz w:val="20"/>
      <w:szCs w:val="20"/>
    </w:rPr>
  </w:style>
  <w:style w:type="paragraph" w:styleId="10">
    <w:name w:val="Title"/>
    <w:qFormat/>
    <w:uiPriority w:val="0"/>
    <w:rPr>
      <w:rFonts w:ascii="Calibri" w:hAnsi="Calibri" w:eastAsia="Calibri" w:cs="Calibri"/>
      <w:color w:val="1A1A1A"/>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Calibri" w:hAnsi="Calibri" w:eastAsia="Calibri" w:cs="Calibri"/>
      <w:color w:val="1A1A1A"/>
      <w:sz w:val="20"/>
      <w:szCs w:val="20"/>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810</Words>
  <Characters>4001</Characters>
  <TotalTime>44</TotalTime>
  <ScaleCrop>false</ScaleCrop>
  <LinksUpToDate>false</LinksUpToDate>
  <CharactersWithSpaces>4782</CharactersWithSpaces>
  <Application>WPS Office_12.1.0.28599_F1E327BC-269C-435d-A152-05C5408002CA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2411-12-30T00:00:00Z</dcterms:created>
  <dc:creator>Un-named</dc:creator>
  <cp:lastModifiedBy>文璇怡</cp:lastModifiedBy>
  <dcterms:modified xsi:type="dcterms:W3CDTF">2026-09-20T08:23:17Z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5577004A642B4AAFB78EF6BB94167C9D_13</vt:lpwstr>
  </property>
  <property fmtid="{D5CDD505-2E9C-101B-9397-08002B2CF9AE}" pid="4" name="KSOTemplateDocerSaveRecord">
    <vt:lpwstr>eyJoZGlkIjoiNTYzZmM3Y2JkNTRjMjIxMGU2ZjQ0ZTczYjdlYTUzN2QiLCJ1c2VySWQiOiIxNjYxNTk3ODU3In0=</vt:lpwstr>
  </property>
</Properties>
</file>