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A8A6" w14:textId="77777777" w:rsidR="00360AA4" w:rsidRDefault="00000000">
      <w:pPr>
        <w:pStyle w:val="af3"/>
        <w:spacing w:after="180"/>
        <w:rPr>
          <w:rFonts w:ascii="Times New Roman" w:hAnsi="Times New Roman"/>
          <w:lang w:eastAsia="zh-CN"/>
        </w:rPr>
      </w:pPr>
      <w:r>
        <w:rPr>
          <w:rFonts w:ascii="Times New Roman" w:hAnsi="Times New Roman"/>
        </w:rPr>
        <w:t xml:space="preserve">PE6201 A2 </w:t>
      </w:r>
      <w:r>
        <w:rPr>
          <w:rFonts w:ascii="Times New Roman" w:hAnsi="Times New Roman" w:hint="eastAsia"/>
          <w:lang w:eastAsia="zh-CN"/>
        </w:rPr>
        <w:t>Group1 Report</w:t>
      </w:r>
    </w:p>
    <w:p w14:paraId="6D13E67B" w14:textId="77777777" w:rsidR="00360AA4" w:rsidRDefault="00000000">
      <w:pPr>
        <w:pStyle w:val="af2"/>
        <w:numPr>
          <w:ilvl w:val="0"/>
          <w:numId w:val="7"/>
        </w:numPr>
        <w:spacing w:after="0" w:line="240" w:lineRule="auto"/>
        <w:rPr>
          <w:rFonts w:ascii="Times New Roman Bold" w:hAnsi="Times New Roman Bold" w:cs="Times New Roman Bold"/>
          <w:b/>
          <w:bCs/>
          <w:color w:val="000000"/>
          <w:szCs w:val="24"/>
          <w:lang w:eastAsia="zh-CN"/>
        </w:rPr>
      </w:pPr>
      <w:r>
        <w:rPr>
          <w:rFonts w:ascii="Times New Roman Bold" w:hAnsi="Times New Roman Bold" w:cs="Times New Roman Bold"/>
          <w:b/>
          <w:bCs/>
          <w:color w:val="000000"/>
          <w:szCs w:val="24"/>
          <w:lang w:eastAsia="zh-CN"/>
        </w:rPr>
        <w:t>Why an agent</w:t>
      </w:r>
    </w:p>
    <w:p w14:paraId="2F7DF864" w14:textId="77777777" w:rsidR="00360AA4" w:rsidRDefault="00360AA4">
      <w:pPr>
        <w:pStyle w:val="af2"/>
        <w:spacing w:after="0" w:line="240" w:lineRule="auto"/>
        <w:rPr>
          <w:rFonts w:ascii="Times New Roman Bold" w:hAnsi="Times New Roman Bold" w:cs="Times New Roman Bold"/>
          <w:b/>
          <w:bCs/>
          <w:color w:val="000000"/>
          <w:szCs w:val="24"/>
          <w:lang w:eastAsia="zh-CN"/>
        </w:rPr>
      </w:pPr>
    </w:p>
    <w:p w14:paraId="0EAEE9F9" w14:textId="77777777" w:rsidR="00360AA4" w:rsidRDefault="00360AA4">
      <w:pPr>
        <w:pStyle w:val="af2"/>
        <w:spacing w:after="0" w:line="240" w:lineRule="auto"/>
        <w:rPr>
          <w:rFonts w:ascii="Times New Roman Bold" w:hAnsi="Times New Roman Bold" w:cs="Times New Roman Bold"/>
          <w:b/>
          <w:bCs/>
          <w:color w:val="000000"/>
          <w:szCs w:val="24"/>
          <w:lang w:eastAsia="zh-CN"/>
        </w:rPr>
      </w:pPr>
    </w:p>
    <w:p w14:paraId="6752C088" w14:textId="77777777" w:rsidR="00360AA4" w:rsidRDefault="00000000">
      <w:pPr>
        <w:pStyle w:val="af2"/>
        <w:numPr>
          <w:ilvl w:val="0"/>
          <w:numId w:val="7"/>
        </w:numPr>
        <w:spacing w:after="0" w:line="240" w:lineRule="auto"/>
        <w:rPr>
          <w:rFonts w:ascii="Times New Roman Bold" w:hAnsi="Times New Roman Bold" w:cs="Times New Roman Bold"/>
          <w:b/>
          <w:bCs/>
          <w:color w:val="000000"/>
          <w:szCs w:val="24"/>
        </w:rPr>
      </w:pPr>
      <w:r>
        <w:rPr>
          <w:rFonts w:ascii="Times New Roman Bold" w:hAnsi="Times New Roman Bold" w:cs="Times New Roman Bold"/>
          <w:b/>
          <w:bCs/>
          <w:color w:val="000000"/>
          <w:szCs w:val="24"/>
        </w:rPr>
        <w:t>The tool layer</w:t>
      </w:r>
    </w:p>
    <w:p w14:paraId="6CB121C2" w14:textId="77777777" w:rsidR="00360AA4" w:rsidRDefault="00360AA4">
      <w:pPr>
        <w:pStyle w:val="af2"/>
        <w:spacing w:after="0" w:line="240" w:lineRule="auto"/>
        <w:rPr>
          <w:rFonts w:ascii="Times New Roman Bold" w:hAnsi="Times New Roman Bold" w:cs="Times New Roman Bold"/>
          <w:b/>
          <w:bCs/>
          <w:color w:val="000000"/>
          <w:szCs w:val="24"/>
        </w:rPr>
      </w:pPr>
    </w:p>
    <w:p w14:paraId="6268EF15" w14:textId="77777777" w:rsidR="00360AA4" w:rsidRDefault="00000000">
      <w:pPr>
        <w:pStyle w:val="af2"/>
        <w:spacing w:after="0" w:line="240" w:lineRule="auto"/>
        <w:rPr>
          <w:color w:val="000000"/>
          <w:sz w:val="22"/>
        </w:rPr>
      </w:pPr>
      <w:r>
        <w:rPr>
          <w:color w:val="000000"/>
          <w:sz w:val="22"/>
        </w:rPr>
        <w:t>We used eight tools because the job is narrow: give a first response to one claim. Six perform the required claim, policy, coverage, pre-authorisation, hospital and simulated letter checks. We added duplicate and document checks because the routing table requires an escalation for a decided claim and a named request for a missing attachment. We did not add generic search or narrative-interpretation tools. All routing facts are in named fixture</w:t>
      </w:r>
      <w:r>
        <w:rPr>
          <w:rFonts w:hint="eastAsia"/>
          <w:color w:val="000000"/>
          <w:sz w:val="22"/>
          <w:lang w:eastAsia="zh-CN"/>
        </w:rPr>
        <w:t xml:space="preserve">s </w:t>
      </w:r>
      <w:r>
        <w:rPr>
          <w:color w:val="000000"/>
          <w:sz w:val="22"/>
        </w:rPr>
        <w:t>and the narrative is untrusted; broad tools would overlap ID lookups and add prompt cost. This was a design choice, not a removal experiment.</w:t>
      </w:r>
    </w:p>
    <w:p w14:paraId="6EA8F023" w14:textId="77777777" w:rsidR="00360AA4" w:rsidRDefault="00360AA4">
      <w:pPr>
        <w:pStyle w:val="af2"/>
        <w:spacing w:after="0" w:line="240" w:lineRule="auto"/>
        <w:rPr>
          <w:color w:val="000000"/>
          <w:sz w:val="22"/>
        </w:rPr>
      </w:pPr>
    </w:p>
    <w:p w14:paraId="6211640D" w14:textId="77777777" w:rsidR="00360AA4" w:rsidRDefault="00000000">
      <w:pPr>
        <w:keepNext/>
        <w:spacing w:before="100" w:after="60" w:line="240" w:lineRule="auto"/>
      </w:pPr>
      <w:r>
        <w:rPr>
          <w:b/>
          <w:color w:val="000000"/>
          <w:sz w:val="20"/>
        </w:rPr>
        <w:t>Table 1  Tool set and boundaries</w:t>
      </w:r>
    </w:p>
    <w:tbl>
      <w:tblPr>
        <w:tblW w:w="0" w:type="auto"/>
        <w:jc w:val="center"/>
        <w:tblLayout w:type="fixed"/>
        <w:tblLook w:val="04A0" w:firstRow="1" w:lastRow="0" w:firstColumn="1" w:lastColumn="0" w:noHBand="0" w:noVBand="1"/>
      </w:tblPr>
      <w:tblGrid>
        <w:gridCol w:w="2376"/>
        <w:gridCol w:w="3744"/>
        <w:gridCol w:w="3628"/>
      </w:tblGrid>
      <w:tr w:rsidR="00360AA4" w14:paraId="548F0D74"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503831F2" w14:textId="77777777" w:rsidR="00360AA4" w:rsidRDefault="00000000">
            <w:pPr>
              <w:spacing w:after="0" w:line="240" w:lineRule="auto"/>
              <w:jc w:val="center"/>
            </w:pPr>
            <w:r>
              <w:rPr>
                <w:b/>
                <w:color w:val="FFFFFF"/>
                <w:sz w:val="18"/>
              </w:rPr>
              <w:t>Tool</w:t>
            </w:r>
          </w:p>
        </w:tc>
        <w:tc>
          <w:tcPr>
            <w:tcW w:w="374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16E0E7FC" w14:textId="77777777" w:rsidR="00360AA4" w:rsidRDefault="00000000">
            <w:pPr>
              <w:spacing w:after="0" w:line="240" w:lineRule="auto"/>
              <w:jc w:val="center"/>
            </w:pPr>
            <w:r>
              <w:rPr>
                <w:b/>
                <w:color w:val="FFFFFF"/>
                <w:sz w:val="18"/>
              </w:rPr>
              <w:t>Why it is needed</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4D306492" w14:textId="77777777" w:rsidR="00360AA4" w:rsidRDefault="00000000">
            <w:pPr>
              <w:spacing w:after="0" w:line="240" w:lineRule="auto"/>
              <w:jc w:val="center"/>
            </w:pPr>
            <w:r>
              <w:rPr>
                <w:b/>
                <w:color w:val="FFFFFF"/>
                <w:sz w:val="18"/>
              </w:rPr>
              <w:t>Boundary</w:t>
            </w:r>
          </w:p>
        </w:tc>
      </w:tr>
      <w:tr w:rsidR="00360AA4" w14:paraId="1ECBFF61"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F0401DF" w14:textId="77777777" w:rsidR="00360AA4" w:rsidRDefault="00000000">
            <w:pPr>
              <w:spacing w:after="0" w:line="240" w:lineRule="auto"/>
            </w:pPr>
            <w:r>
              <w:rPr>
                <w:color w:val="000000"/>
                <w:sz w:val="18"/>
              </w:rPr>
              <w:t>get_claim</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7C87C9D" w14:textId="77777777" w:rsidR="00360AA4" w:rsidRDefault="00000000">
            <w:pPr>
              <w:spacing w:after="0" w:line="240" w:lineRule="auto"/>
            </w:pPr>
            <w:r>
              <w:rPr>
                <w:color w:val="000000"/>
                <w:sz w:val="18"/>
              </w:rPr>
              <w:t>Starts the assessment and supplies the identifiers used later.</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1615A24" w14:textId="77777777" w:rsidR="00360AA4" w:rsidRDefault="00000000">
            <w:pPr>
              <w:spacing w:after="0" w:line="240" w:lineRule="auto"/>
            </w:pPr>
            <w:r>
              <w:rPr>
                <w:color w:val="000000"/>
                <w:sz w:val="18"/>
              </w:rPr>
              <w:t>Fetches one claim; it does not decide eligibility.</w:t>
            </w:r>
          </w:p>
        </w:tc>
      </w:tr>
      <w:tr w:rsidR="00360AA4" w14:paraId="6CE4E9C4"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3110016" w14:textId="77777777" w:rsidR="00360AA4" w:rsidRDefault="00000000">
            <w:pPr>
              <w:spacing w:after="0" w:line="240" w:lineRule="auto"/>
            </w:pPr>
            <w:r>
              <w:rPr>
                <w:color w:val="000000"/>
                <w:sz w:val="18"/>
              </w:rPr>
              <w:t>lookup_policy</w:t>
            </w:r>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E3D0949" w14:textId="77777777" w:rsidR="00360AA4" w:rsidRDefault="00000000">
            <w:pPr>
              <w:spacing w:after="0" w:line="240" w:lineRule="auto"/>
            </w:pPr>
            <w:r>
              <w:rPr>
                <w:color w:val="000000"/>
                <w:sz w:val="18"/>
              </w:rPr>
              <w:t>Checks status, dates and remaining annual cover.</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5699FF53" w14:textId="77777777" w:rsidR="00360AA4" w:rsidRDefault="00000000">
            <w:pPr>
              <w:spacing w:after="0" w:line="240" w:lineRule="auto"/>
            </w:pPr>
            <w:r>
              <w:rPr>
                <w:color w:val="000000"/>
                <w:sz w:val="18"/>
              </w:rPr>
              <w:t>Claim-level eligibility, unlike line-level coverage.</w:t>
            </w:r>
          </w:p>
        </w:tc>
      </w:tr>
      <w:tr w:rsidR="00360AA4" w14:paraId="6296391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4E90382" w14:textId="77777777" w:rsidR="00360AA4" w:rsidRDefault="00000000">
            <w:pPr>
              <w:spacing w:after="0" w:line="240" w:lineRule="auto"/>
            </w:pPr>
            <w:r>
              <w:rPr>
                <w:color w:val="000000"/>
                <w:sz w:val="18"/>
              </w:rPr>
              <w:t>check_coverage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A385D15" w14:textId="77777777" w:rsidR="00360AA4" w:rsidRDefault="00000000">
            <w:pPr>
              <w:spacing w:after="0" w:line="240" w:lineRule="auto"/>
            </w:pPr>
            <w:r>
              <w:rPr>
                <w:color w:val="000000"/>
                <w:sz w:val="18"/>
              </w:rPr>
              <w:t>Resolves one procedure and whether it needs pre-authorisation.</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7F57B3B6" w14:textId="77777777" w:rsidR="00360AA4" w:rsidRDefault="00000000">
            <w:pPr>
              <w:spacing w:after="0" w:line="240" w:lineRule="auto"/>
            </w:pPr>
            <w:r>
              <w:rPr>
                <w:color w:val="000000"/>
                <w:sz w:val="18"/>
              </w:rPr>
              <w:t>One procedure rule, not a whole-policy check.</w:t>
            </w:r>
          </w:p>
        </w:tc>
      </w:tr>
      <w:tr w:rsidR="00360AA4" w14:paraId="1F0E9738"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3818F774" w14:textId="77777777" w:rsidR="00360AA4" w:rsidRDefault="00000000">
            <w:pPr>
              <w:spacing w:after="0" w:line="240" w:lineRule="auto"/>
            </w:pPr>
            <w:r>
              <w:rPr>
                <w:color w:val="000000"/>
                <w:sz w:val="18"/>
              </w:rPr>
              <w:t>get_preauthorisation</w:t>
            </w:r>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30D9FDA6" w14:textId="77777777" w:rsidR="00360AA4" w:rsidRDefault="00000000">
            <w:pPr>
              <w:spacing w:after="0" w:line="240" w:lineRule="auto"/>
            </w:pPr>
            <w:r>
              <w:rPr>
                <w:color w:val="000000"/>
                <w:sz w:val="18"/>
              </w:rPr>
              <w:t>Tests whether the required authorisation is valid on the service date.</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35E4A159" w14:textId="77777777" w:rsidR="00360AA4" w:rsidRDefault="00000000">
            <w:pPr>
              <w:spacing w:after="0" w:line="240" w:lineRule="auto"/>
            </w:pPr>
            <w:r>
              <w:rPr>
                <w:color w:val="000000"/>
                <w:sz w:val="18"/>
              </w:rPr>
              <w:t>Called only after coverage identifies the need.</w:t>
            </w:r>
          </w:p>
        </w:tc>
      </w:tr>
      <w:tr w:rsidR="00360AA4" w14:paraId="2865E481"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DCC088D" w14:textId="77777777" w:rsidR="00360AA4" w:rsidRDefault="00000000">
            <w:pPr>
              <w:spacing w:after="0" w:line="240" w:lineRule="auto"/>
            </w:pPr>
            <w:r>
              <w:rPr>
                <w:color w:val="000000"/>
                <w:sz w:val="18"/>
              </w:rPr>
              <w:t>lookup_hospital</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770CE74" w14:textId="77777777" w:rsidR="00360AA4" w:rsidRDefault="00000000">
            <w:pPr>
              <w:spacing w:after="0" w:line="240" w:lineRule="auto"/>
            </w:pPr>
            <w:r>
              <w:rPr>
                <w:color w:val="000000"/>
                <w:sz w:val="18"/>
              </w:rPr>
              <w:t>Records the hospital panel-status check.</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DAD320C" w14:textId="77777777" w:rsidR="00360AA4" w:rsidRDefault="00000000">
            <w:pPr>
              <w:spacing w:after="0" w:line="240" w:lineRule="auto"/>
            </w:pPr>
            <w:r>
              <w:rPr>
                <w:color w:val="000000"/>
                <w:sz w:val="18"/>
              </w:rPr>
              <w:t>Returns hospital facts only.</w:t>
            </w:r>
          </w:p>
        </w:tc>
      </w:tr>
      <w:tr w:rsidR="00360AA4" w14:paraId="04F46AB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7FC034D" w14:textId="77777777" w:rsidR="00360AA4" w:rsidRDefault="00000000">
            <w:pPr>
              <w:spacing w:after="0" w:line="240" w:lineRule="auto"/>
            </w:pPr>
            <w:r>
              <w:rPr>
                <w:color w:val="000000"/>
                <w:sz w:val="18"/>
              </w:rPr>
              <w:t>check_duplicate_claim</w:t>
            </w:r>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A178407" w14:textId="77777777" w:rsidR="00360AA4" w:rsidRDefault="00000000">
            <w:pPr>
              <w:spacing w:after="0" w:line="240" w:lineRule="auto"/>
            </w:pPr>
            <w:r>
              <w:rPr>
                <w:color w:val="000000"/>
                <w:sz w:val="18"/>
              </w:rPr>
              <w:t>Supports the fixed duplicate-claim escalation.</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330DF55" w14:textId="77777777" w:rsidR="00360AA4" w:rsidRDefault="00000000">
            <w:pPr>
              <w:spacing w:after="0" w:line="240" w:lineRule="auto"/>
            </w:pPr>
            <w:r>
              <w:rPr>
                <w:color w:val="000000"/>
                <w:sz w:val="18"/>
              </w:rPr>
              <w:t>Compares a claim episode with decided-claim history.</w:t>
            </w:r>
          </w:p>
        </w:tc>
      </w:tr>
      <w:tr w:rsidR="00360AA4" w14:paraId="5D97E4B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FAFAA9B" w14:textId="77777777" w:rsidR="00360AA4" w:rsidRDefault="00000000">
            <w:pPr>
              <w:spacing w:after="0" w:line="240" w:lineRule="auto"/>
            </w:pPr>
            <w:r>
              <w:rPr>
                <w:color w:val="000000"/>
                <w:sz w:val="18"/>
              </w:rPr>
              <w:t>check_required_documents</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0130D3E5" w14:textId="77777777" w:rsidR="00360AA4" w:rsidRDefault="00000000">
            <w:pPr>
              <w:spacing w:after="0" w:line="240" w:lineRule="auto"/>
            </w:pPr>
            <w:r>
              <w:rPr>
                <w:color w:val="000000"/>
                <w:sz w:val="18"/>
              </w:rPr>
              <w:t>Names a missing attachment in a request.</w:t>
            </w:r>
          </w:p>
        </w:tc>
        <w:tc>
          <w:tcPr>
            <w:tcW w:w="3628"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93DA962" w14:textId="77777777" w:rsidR="00360AA4" w:rsidRDefault="00000000">
            <w:pPr>
              <w:spacing w:after="0" w:line="240" w:lineRule="auto"/>
            </w:pPr>
            <w:r>
              <w:rPr>
                <w:color w:val="000000"/>
                <w:sz w:val="18"/>
              </w:rPr>
              <w:t>Compares attachments with document rules.</w:t>
            </w:r>
          </w:p>
        </w:tc>
      </w:tr>
      <w:tr w:rsidR="00360AA4" w14:paraId="28D294CB"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272F02F9" w14:textId="77777777" w:rsidR="00360AA4" w:rsidRDefault="00000000">
            <w:pPr>
              <w:spacing w:after="0" w:line="240" w:lineRule="auto"/>
            </w:pPr>
            <w:r>
              <w:rPr>
                <w:color w:val="000000"/>
                <w:sz w:val="18"/>
              </w:rPr>
              <w:t>issue_decision_letter</w:t>
            </w:r>
          </w:p>
        </w:tc>
        <w:tc>
          <w:tcPr>
            <w:tcW w:w="374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5191DBE7" w14:textId="77777777" w:rsidR="00360AA4" w:rsidRDefault="00000000">
            <w:pPr>
              <w:spacing w:after="0" w:line="240" w:lineRule="auto"/>
            </w:pPr>
            <w:r>
              <w:rPr>
                <w:color w:val="000000"/>
                <w:sz w:val="18"/>
              </w:rPr>
              <w:t>Records the gated business outcome locally.</w:t>
            </w:r>
          </w:p>
        </w:tc>
        <w:tc>
          <w:tcPr>
            <w:tcW w:w="3628"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3AE17C4" w14:textId="77777777" w:rsidR="00360AA4" w:rsidRDefault="00000000">
            <w:pPr>
              <w:spacing w:after="0" w:line="240" w:lineRule="auto"/>
            </w:pPr>
            <w:r>
              <w:rPr>
                <w:color w:val="000000"/>
                <w:sz w:val="18"/>
              </w:rPr>
              <w:t>The only write; it does not generate or send a letter.</w:t>
            </w:r>
          </w:p>
        </w:tc>
      </w:tr>
    </w:tbl>
    <w:p w14:paraId="31A2FA60" w14:textId="77777777" w:rsidR="00360AA4" w:rsidRDefault="00360AA4">
      <w:pPr>
        <w:pStyle w:val="af2"/>
        <w:spacing w:after="0" w:line="240" w:lineRule="auto"/>
        <w:rPr>
          <w:color w:val="000000"/>
          <w:sz w:val="22"/>
        </w:rPr>
      </w:pPr>
    </w:p>
    <w:p w14:paraId="546C0B6B" w14:textId="77777777" w:rsidR="00360AA4" w:rsidRDefault="00000000">
      <w:pPr>
        <w:pStyle w:val="af2"/>
        <w:spacing w:after="0" w:line="240" w:lineRule="auto"/>
        <w:rPr>
          <w:color w:val="000000"/>
          <w:sz w:val="22"/>
        </w:rPr>
      </w:pPr>
      <w:r>
        <w:rPr>
          <w:color w:val="000000"/>
          <w:sz w:val="22"/>
        </w:rPr>
        <w:t>Every tool has a six-field contract: signature, unique question, valid inputs, bounded return, failure conditions and irreversibility. lookup_policy is claim-level; check_coverage is line-level. check_required_documents handles attachments, not authorisation. Three constraints prevent common errors: ID patterns reject bad identifiers, additionalProperties=false rejects invented arguments, and the write tool has no model-controlled confirmation field. An unconfirmed decision cannot be recorded.</w:t>
      </w:r>
    </w:p>
    <w:p w14:paraId="4FFED9D8" w14:textId="77777777" w:rsidR="00360AA4" w:rsidRDefault="00360AA4">
      <w:pPr>
        <w:pStyle w:val="af2"/>
        <w:spacing w:after="0" w:line="240" w:lineRule="auto"/>
        <w:rPr>
          <w:color w:val="000000"/>
          <w:sz w:val="22"/>
        </w:rPr>
      </w:pPr>
    </w:p>
    <w:p w14:paraId="7EF8025D" w14:textId="77777777" w:rsidR="00360AA4" w:rsidRDefault="00000000">
      <w:pPr>
        <w:pStyle w:val="af2"/>
        <w:spacing w:after="0" w:line="240" w:lineRule="auto"/>
        <w:rPr>
          <w:color w:val="000000"/>
          <w:sz w:val="22"/>
        </w:rPr>
      </w:pPr>
      <w:r>
        <w:rPr>
          <w:color w:val="000000"/>
          <w:sz w:val="22"/>
        </w:rPr>
        <w:t>For the descriptor experiment, we changed only check_coverage. V1 returned code, description, requires_preauth, excluded and exclusion_rule. V2 returned code, coverage_status, preauthorisation_required and exclusion_rule, and said that an excluded line is not a claim-level escalation. We held the low-cost model, temperature and 40-case schedule constant. Thirty ordinary cases ran once and ten negative cases ran three times, so each version had 60 trials. Decision accuracy increased from 48.3% to 61.7% and full-record accuracy from 43.3% to 55.0%. Both versions passed all five interface checks. V2 was not cheaper: its tool-return token proxy was 58.45 tokens per call, compared with 58.23 for V1. We report an accuracy gain, not a token saving.</w:t>
      </w:r>
    </w:p>
    <w:p w14:paraId="0B7FB442" w14:textId="77777777" w:rsidR="00360AA4" w:rsidRDefault="00000000">
      <w:pPr>
        <w:spacing w:line="240" w:lineRule="auto"/>
      </w:pPr>
      <w:r>
        <w:br w:type="page"/>
      </w:r>
    </w:p>
    <w:p w14:paraId="3D32EEDD" w14:textId="77777777" w:rsidR="00360AA4" w:rsidRDefault="00000000">
      <w:pPr>
        <w:keepNext/>
        <w:spacing w:before="100" w:after="60" w:line="240" w:lineRule="auto"/>
      </w:pPr>
      <w:r>
        <w:rPr>
          <w:b/>
          <w:color w:val="000000"/>
          <w:sz w:val="20"/>
        </w:rPr>
        <w:lastRenderedPageBreak/>
        <w:t>Table 2  Descriptor rewrite on the same live model</w:t>
      </w:r>
    </w:p>
    <w:tbl>
      <w:tblPr>
        <w:tblW w:w="0" w:type="auto"/>
        <w:jc w:val="center"/>
        <w:tblLayout w:type="fixed"/>
        <w:tblLook w:val="04A0" w:firstRow="1" w:lastRow="0" w:firstColumn="1" w:lastColumn="0" w:noHBand="0" w:noVBand="1"/>
      </w:tblPr>
      <w:tblGrid>
        <w:gridCol w:w="5040"/>
        <w:gridCol w:w="2304"/>
        <w:gridCol w:w="2404"/>
      </w:tblGrid>
      <w:tr w:rsidR="00360AA4" w14:paraId="4911EE69"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6602788A" w14:textId="77777777" w:rsidR="00360AA4" w:rsidRDefault="00000000">
            <w:pPr>
              <w:spacing w:after="0" w:line="240" w:lineRule="auto"/>
              <w:jc w:val="center"/>
            </w:pPr>
            <w:r>
              <w:rPr>
                <w:b/>
                <w:color w:val="FFFFFF"/>
                <w:sz w:val="19"/>
              </w:rPr>
              <w:t>Measure</w:t>
            </w:r>
          </w:p>
        </w:tc>
        <w:tc>
          <w:tcPr>
            <w:tcW w:w="23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07D72153" w14:textId="77777777" w:rsidR="00360AA4" w:rsidRDefault="00000000">
            <w:pPr>
              <w:spacing w:after="0" w:line="240" w:lineRule="auto"/>
              <w:jc w:val="center"/>
            </w:pPr>
            <w:r>
              <w:rPr>
                <w:b/>
                <w:color w:val="FFFFFF"/>
                <w:sz w:val="19"/>
              </w:rPr>
              <w:t>V1</w:t>
            </w:r>
          </w:p>
        </w:tc>
        <w:tc>
          <w:tcPr>
            <w:tcW w:w="24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632622CD" w14:textId="77777777" w:rsidR="00360AA4" w:rsidRDefault="00000000">
            <w:pPr>
              <w:spacing w:after="0" w:line="240" w:lineRule="auto"/>
              <w:jc w:val="center"/>
            </w:pPr>
            <w:r>
              <w:rPr>
                <w:b/>
                <w:color w:val="FFFFFF"/>
                <w:sz w:val="19"/>
              </w:rPr>
              <w:t>V2</w:t>
            </w:r>
          </w:p>
        </w:tc>
      </w:tr>
      <w:tr w:rsidR="00360AA4" w14:paraId="69A1FA5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FF4071D" w14:textId="77777777" w:rsidR="00360AA4" w:rsidRDefault="00000000">
            <w:pPr>
              <w:spacing w:after="0" w:line="240" w:lineRule="auto"/>
            </w:pPr>
            <w:r>
              <w:rPr>
                <w:color w:val="000000"/>
                <w:sz w:val="19"/>
              </w:rPr>
              <w:t>Trials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FC1BCA0" w14:textId="77777777" w:rsidR="00360AA4" w:rsidRDefault="00000000">
            <w:pPr>
              <w:spacing w:after="0" w:line="240" w:lineRule="auto"/>
            </w:pPr>
            <w:r>
              <w:rPr>
                <w:color w:val="000000"/>
                <w:sz w:val="19"/>
              </w:rPr>
              <w:t>60</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66E1ED8" w14:textId="77777777" w:rsidR="00360AA4" w:rsidRDefault="00000000">
            <w:pPr>
              <w:spacing w:after="0" w:line="240" w:lineRule="auto"/>
            </w:pPr>
            <w:r>
              <w:rPr>
                <w:color w:val="000000"/>
                <w:sz w:val="19"/>
              </w:rPr>
              <w:t>60</w:t>
            </w:r>
          </w:p>
        </w:tc>
      </w:tr>
      <w:tr w:rsidR="00360AA4" w14:paraId="03AD0514"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60DCC74" w14:textId="77777777" w:rsidR="00360AA4" w:rsidRDefault="00000000">
            <w:pPr>
              <w:spacing w:after="0" w:line="240" w:lineRule="auto"/>
            </w:pPr>
            <w:r>
              <w:rPr>
                <w:color w:val="000000"/>
                <w:sz w:val="19"/>
              </w:rPr>
              <w:t>Decision accuracy</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5A692062" w14:textId="77777777" w:rsidR="00360AA4" w:rsidRDefault="00000000">
            <w:pPr>
              <w:spacing w:after="0" w:line="240" w:lineRule="auto"/>
            </w:pPr>
            <w:r>
              <w:rPr>
                <w:color w:val="000000"/>
                <w:sz w:val="19"/>
              </w:rPr>
              <w:t>48.3%</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E0C29D2" w14:textId="77777777" w:rsidR="00360AA4" w:rsidRDefault="00000000">
            <w:pPr>
              <w:spacing w:after="0" w:line="240" w:lineRule="auto"/>
            </w:pPr>
            <w:r>
              <w:rPr>
                <w:color w:val="000000"/>
                <w:sz w:val="19"/>
              </w:rPr>
              <w:t>61.7%</w:t>
            </w:r>
          </w:p>
        </w:tc>
      </w:tr>
      <w:tr w:rsidR="00360AA4" w14:paraId="12DA9D2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FA8950D" w14:textId="77777777" w:rsidR="00360AA4" w:rsidRDefault="00000000">
            <w:pPr>
              <w:spacing w:after="0" w:line="240" w:lineRule="auto"/>
            </w:pPr>
            <w:r>
              <w:rPr>
                <w:color w:val="000000"/>
                <w:sz w:val="19"/>
              </w:rPr>
              <w:t>Full-record accuracy</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16AE3D3" w14:textId="77777777" w:rsidR="00360AA4" w:rsidRDefault="00000000">
            <w:pPr>
              <w:spacing w:after="0" w:line="240" w:lineRule="auto"/>
            </w:pPr>
            <w:r>
              <w:rPr>
                <w:color w:val="000000"/>
                <w:sz w:val="19"/>
              </w:rPr>
              <w:t>43.3%</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CB2CFCD" w14:textId="77777777" w:rsidR="00360AA4" w:rsidRDefault="00000000">
            <w:pPr>
              <w:spacing w:after="0" w:line="240" w:lineRule="auto"/>
            </w:pPr>
            <w:r>
              <w:rPr>
                <w:color w:val="000000"/>
                <w:sz w:val="19"/>
              </w:rPr>
              <w:t>55.0%</w:t>
            </w:r>
          </w:p>
        </w:tc>
      </w:tr>
      <w:tr w:rsidR="00360AA4" w14:paraId="7B8FA73A"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67CBA50D" w14:textId="77777777" w:rsidR="00360AA4" w:rsidRDefault="00000000">
            <w:pPr>
              <w:spacing w:after="0" w:line="240" w:lineRule="auto"/>
            </w:pPr>
            <w:r>
              <w:rPr>
                <w:color w:val="000000"/>
                <w:sz w:val="19"/>
              </w:rPr>
              <w:t>Tool-return tokens per call</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A87D34B" w14:textId="77777777" w:rsidR="00360AA4" w:rsidRDefault="00000000">
            <w:pPr>
              <w:spacing w:after="0" w:line="240" w:lineRule="auto"/>
            </w:pPr>
            <w:r>
              <w:rPr>
                <w:color w:val="000000"/>
                <w:sz w:val="19"/>
              </w:rPr>
              <w:t>58.23</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7C1A97C" w14:textId="77777777" w:rsidR="00360AA4" w:rsidRDefault="00000000">
            <w:pPr>
              <w:spacing w:after="0" w:line="240" w:lineRule="auto"/>
            </w:pPr>
            <w:r>
              <w:rPr>
                <w:color w:val="000000"/>
                <w:sz w:val="19"/>
              </w:rPr>
              <w:t>58.45</w:t>
            </w:r>
          </w:p>
        </w:tc>
      </w:tr>
      <w:tr w:rsidR="00360AA4" w14:paraId="02F80BE3"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10F4A37" w14:textId="77777777" w:rsidR="00360AA4" w:rsidRDefault="00000000">
            <w:pPr>
              <w:spacing w:after="0" w:line="240" w:lineRule="auto"/>
            </w:pPr>
            <w:r>
              <w:rPr>
                <w:color w:val="000000"/>
                <w:sz w:val="19"/>
              </w:rPr>
              <w:t>Interface guardrails passed</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29EFA6B" w14:textId="77777777" w:rsidR="00360AA4" w:rsidRDefault="00000000">
            <w:pPr>
              <w:spacing w:after="0" w:line="240" w:lineRule="auto"/>
            </w:pPr>
            <w:r>
              <w:rPr>
                <w:color w:val="000000"/>
                <w:sz w:val="19"/>
              </w:rPr>
              <w:t>5/5</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7F9BDED" w14:textId="77777777" w:rsidR="00360AA4" w:rsidRDefault="00000000">
            <w:pPr>
              <w:spacing w:after="0" w:line="240" w:lineRule="auto"/>
            </w:pPr>
            <w:r>
              <w:rPr>
                <w:color w:val="000000"/>
                <w:sz w:val="19"/>
              </w:rPr>
              <w:t>5/5</w:t>
            </w:r>
          </w:p>
        </w:tc>
      </w:tr>
    </w:tbl>
    <w:p w14:paraId="00ECAE54" w14:textId="77777777" w:rsidR="00360AA4" w:rsidRDefault="00360AA4">
      <w:pPr>
        <w:pStyle w:val="af2"/>
        <w:spacing w:after="0" w:line="240" w:lineRule="auto"/>
        <w:rPr>
          <w:color w:val="000000"/>
          <w:sz w:val="22"/>
        </w:rPr>
      </w:pPr>
    </w:p>
    <w:p w14:paraId="12E87C1A" w14:textId="77777777" w:rsidR="00360AA4" w:rsidRDefault="00000000">
      <w:pPr>
        <w:pStyle w:val="af2"/>
        <w:spacing w:after="0" w:line="240" w:lineRule="auto"/>
        <w:rPr>
          <w:color w:val="000000"/>
          <w:sz w:val="22"/>
        </w:rPr>
      </w:pPr>
      <w:r>
        <w:rPr>
          <w:color w:val="000000"/>
          <w:sz w:val="22"/>
        </w:rPr>
        <w:t>Calls may run together only if none needs an output from another call in that block. get_claim runs first. Once it returns the identifiers, duplicate, policy and hospital checks can run together. Coverage checks for independent line items can then share a turn. Pre-authorisation waits until coverage identifies the procedures that need it. Document checking only needs the claim ID, but we defer it to avoid an unnecessary call after an early escalation. In the 60-trial scripted comparison, both modes achieved a 100.0% full-record pass rate and used 6.10 tool calls per trial. Parallel calling reduced mean turns from 6.10 to 3.85 and estimated input tokens from 8,177.67 to 5,135.25. Estimated input cost for all 60 trials fell from US$0.049071 to US$0.030812. These are scripted estimates using a 1,200-token prefix and a simple proxy of one token per four characters, not live-</w:t>
      </w:r>
      <w:r>
        <w:rPr>
          <w:rFonts w:eastAsia="宋体" w:hint="eastAsia"/>
          <w:color w:val="000000"/>
          <w:sz w:val="22"/>
          <w:lang w:eastAsia="zh-CN"/>
        </w:rPr>
        <w:t xml:space="preserve"> </w:t>
      </w:r>
      <w:r>
        <w:rPr>
          <w:color w:val="000000"/>
          <w:sz w:val="22"/>
        </w:rPr>
        <w:t>model billing.</w:t>
      </w:r>
    </w:p>
    <w:p w14:paraId="7BEDA2AA" w14:textId="77777777" w:rsidR="00360AA4" w:rsidRDefault="00360AA4">
      <w:pPr>
        <w:pStyle w:val="af2"/>
        <w:spacing w:after="0" w:line="240" w:lineRule="auto"/>
        <w:rPr>
          <w:color w:val="000000"/>
          <w:sz w:val="22"/>
        </w:rPr>
      </w:pPr>
    </w:p>
    <w:p w14:paraId="66864DCC" w14:textId="77777777" w:rsidR="00360AA4" w:rsidRDefault="00000000">
      <w:pPr>
        <w:keepNext/>
        <w:spacing w:before="100" w:after="60" w:line="240" w:lineRule="auto"/>
      </w:pPr>
      <w:r>
        <w:rPr>
          <w:b/>
          <w:color w:val="000000"/>
          <w:sz w:val="20"/>
        </w:rPr>
        <w:t>Table 3  Sequential and parallel scripted comparison</w:t>
      </w:r>
    </w:p>
    <w:tbl>
      <w:tblPr>
        <w:tblW w:w="0" w:type="auto"/>
        <w:jc w:val="center"/>
        <w:tblLayout w:type="fixed"/>
        <w:tblLook w:val="04A0" w:firstRow="1" w:lastRow="0" w:firstColumn="1" w:lastColumn="0" w:noHBand="0" w:noVBand="1"/>
      </w:tblPr>
      <w:tblGrid>
        <w:gridCol w:w="5040"/>
        <w:gridCol w:w="2304"/>
        <w:gridCol w:w="2404"/>
      </w:tblGrid>
      <w:tr w:rsidR="00360AA4" w14:paraId="292CB67C" w14:textId="77777777">
        <w:trPr>
          <w:cantSplit/>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496368B2" w14:textId="77777777" w:rsidR="00360AA4" w:rsidRDefault="00000000">
            <w:pPr>
              <w:spacing w:after="0" w:line="240" w:lineRule="auto"/>
              <w:jc w:val="center"/>
            </w:pPr>
            <w:r>
              <w:rPr>
                <w:b/>
                <w:color w:val="FFFFFF"/>
                <w:sz w:val="19"/>
              </w:rPr>
              <w:t>Measure</w:t>
            </w:r>
          </w:p>
        </w:tc>
        <w:tc>
          <w:tcPr>
            <w:tcW w:w="23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05B4497D" w14:textId="77777777" w:rsidR="00360AA4" w:rsidRDefault="00000000">
            <w:pPr>
              <w:spacing w:after="0" w:line="240" w:lineRule="auto"/>
              <w:jc w:val="center"/>
            </w:pPr>
            <w:r>
              <w:rPr>
                <w:b/>
                <w:color w:val="FFFFFF"/>
                <w:sz w:val="19"/>
              </w:rPr>
              <w:t>Sequential</w:t>
            </w:r>
          </w:p>
        </w:tc>
        <w:tc>
          <w:tcPr>
            <w:tcW w:w="2404" w:type="dxa"/>
            <w:tcBorders>
              <w:top w:val="single" w:sz="6" w:space="0" w:color="D9D9D9"/>
              <w:left w:val="single" w:sz="6" w:space="0" w:color="D9D9D9"/>
              <w:bottom w:val="single" w:sz="6" w:space="0" w:color="D9D9D9"/>
              <w:right w:val="single" w:sz="6" w:space="0" w:color="D9D9D9"/>
            </w:tcBorders>
            <w:shd w:val="clear" w:color="auto" w:fill="1F4E78"/>
            <w:tcMar>
              <w:top w:w="85" w:type="dxa"/>
              <w:left w:w="100" w:type="dxa"/>
              <w:bottom w:w="85" w:type="dxa"/>
              <w:right w:w="100" w:type="dxa"/>
            </w:tcMar>
            <w:vAlign w:val="center"/>
          </w:tcPr>
          <w:p w14:paraId="7073E533" w14:textId="77777777" w:rsidR="00360AA4" w:rsidRDefault="00000000">
            <w:pPr>
              <w:spacing w:after="0" w:line="240" w:lineRule="auto"/>
              <w:jc w:val="center"/>
            </w:pPr>
            <w:r>
              <w:rPr>
                <w:b/>
                <w:color w:val="FFFFFF"/>
                <w:sz w:val="19"/>
              </w:rPr>
              <w:t>Parallel</w:t>
            </w:r>
          </w:p>
        </w:tc>
      </w:tr>
      <w:tr w:rsidR="00360AA4" w14:paraId="1F66D8E7"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3618EAF" w14:textId="77777777" w:rsidR="00360AA4" w:rsidRDefault="00000000">
            <w:pPr>
              <w:spacing w:after="0" w:line="240" w:lineRule="auto"/>
            </w:pPr>
            <w:r>
              <w:rPr>
                <w:color w:val="000000"/>
                <w:sz w:val="19"/>
              </w:rPr>
              <w:t>Trials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0ABAF08" w14:textId="77777777" w:rsidR="00360AA4" w:rsidRDefault="00000000">
            <w:pPr>
              <w:spacing w:after="0" w:line="240" w:lineRule="auto"/>
            </w:pPr>
            <w:r>
              <w:rPr>
                <w:color w:val="000000"/>
                <w:sz w:val="19"/>
              </w:rPr>
              <w:t>60</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1566AF7C" w14:textId="77777777" w:rsidR="00360AA4" w:rsidRDefault="00000000">
            <w:pPr>
              <w:spacing w:after="0" w:line="240" w:lineRule="auto"/>
            </w:pPr>
            <w:r>
              <w:rPr>
                <w:color w:val="000000"/>
                <w:sz w:val="19"/>
              </w:rPr>
              <w:t>60</w:t>
            </w:r>
          </w:p>
        </w:tc>
      </w:tr>
      <w:tr w:rsidR="00360AA4" w14:paraId="0162FF30"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79BD9E1" w14:textId="77777777" w:rsidR="00360AA4" w:rsidRDefault="00000000">
            <w:pPr>
              <w:spacing w:after="0" w:line="240" w:lineRule="auto"/>
            </w:pPr>
            <w:r>
              <w:rPr>
                <w:color w:val="000000"/>
                <w:sz w:val="19"/>
              </w:rPr>
              <w:t>Full-record pass rate</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41025CE9" w14:textId="77777777" w:rsidR="00360AA4" w:rsidRDefault="00000000">
            <w:pPr>
              <w:spacing w:after="0" w:line="240" w:lineRule="auto"/>
            </w:pPr>
            <w:r>
              <w:rPr>
                <w:color w:val="000000"/>
                <w:sz w:val="19"/>
              </w:rPr>
              <w:t>100.0%</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2B33E20" w14:textId="77777777" w:rsidR="00360AA4" w:rsidRDefault="00000000">
            <w:pPr>
              <w:spacing w:after="0" w:line="240" w:lineRule="auto"/>
            </w:pPr>
            <w:r>
              <w:rPr>
                <w:color w:val="000000"/>
                <w:sz w:val="19"/>
              </w:rPr>
              <w:t>100.0%</w:t>
            </w:r>
          </w:p>
        </w:tc>
      </w:tr>
      <w:tr w:rsidR="00360AA4" w14:paraId="2F8E44FD"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4DE47255" w14:textId="77777777" w:rsidR="00360AA4" w:rsidRDefault="00000000">
            <w:pPr>
              <w:spacing w:after="0" w:line="240" w:lineRule="auto"/>
            </w:pPr>
            <w:r>
              <w:rPr>
                <w:color w:val="000000"/>
                <w:sz w:val="19"/>
              </w:rPr>
              <w:t>Mean tool calls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00312ED" w14:textId="77777777" w:rsidR="00360AA4" w:rsidRDefault="00000000">
            <w:pPr>
              <w:spacing w:after="0" w:line="240" w:lineRule="auto"/>
            </w:pPr>
            <w:r>
              <w:rPr>
                <w:color w:val="000000"/>
                <w:sz w:val="19"/>
              </w:rPr>
              <w:t>6.10</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20F9F08E" w14:textId="77777777" w:rsidR="00360AA4" w:rsidRDefault="00000000">
            <w:pPr>
              <w:spacing w:after="0" w:line="240" w:lineRule="auto"/>
            </w:pPr>
            <w:r>
              <w:rPr>
                <w:color w:val="000000"/>
                <w:sz w:val="19"/>
              </w:rPr>
              <w:t>6.10</w:t>
            </w:r>
          </w:p>
        </w:tc>
      </w:tr>
      <w:tr w:rsidR="00360AA4" w14:paraId="061EDC4F"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7FF969BC" w14:textId="77777777" w:rsidR="00360AA4" w:rsidRDefault="00000000">
            <w:pPr>
              <w:spacing w:after="0" w:line="240" w:lineRule="auto"/>
            </w:pPr>
            <w:r>
              <w:rPr>
                <w:color w:val="000000"/>
                <w:sz w:val="19"/>
              </w:rPr>
              <w:t>Mean turns</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E5A4A9C" w14:textId="77777777" w:rsidR="00360AA4" w:rsidRDefault="00000000">
            <w:pPr>
              <w:spacing w:after="0" w:line="240" w:lineRule="auto"/>
            </w:pPr>
            <w:r>
              <w:rPr>
                <w:color w:val="000000"/>
                <w:sz w:val="19"/>
              </w:rPr>
              <w:t>6.10</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08ECF926" w14:textId="77777777" w:rsidR="00360AA4" w:rsidRDefault="00000000">
            <w:pPr>
              <w:spacing w:after="0" w:line="240" w:lineRule="auto"/>
            </w:pPr>
            <w:r>
              <w:rPr>
                <w:color w:val="000000"/>
                <w:sz w:val="19"/>
              </w:rPr>
              <w:t>3.85</w:t>
            </w:r>
          </w:p>
        </w:tc>
      </w:tr>
      <w:tr w:rsidR="00360AA4" w14:paraId="694E3271"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68F66A56" w14:textId="77777777" w:rsidR="00360AA4" w:rsidRDefault="00000000">
            <w:pPr>
              <w:spacing w:after="0" w:line="240" w:lineRule="auto"/>
            </w:pPr>
            <w:r>
              <w:rPr>
                <w:color w:val="000000"/>
                <w:sz w:val="19"/>
              </w:rPr>
              <w:t>Estimated input tokens</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505A4274" w14:textId="77777777" w:rsidR="00360AA4" w:rsidRDefault="00000000">
            <w:pPr>
              <w:spacing w:after="0" w:line="240" w:lineRule="auto"/>
            </w:pPr>
            <w:r>
              <w:rPr>
                <w:color w:val="000000"/>
                <w:sz w:val="19"/>
              </w:rPr>
              <w:t>8,177.67</w:t>
            </w:r>
          </w:p>
        </w:tc>
        <w:tc>
          <w:tcPr>
            <w:tcW w:w="2404" w:type="dxa"/>
            <w:tcBorders>
              <w:top w:val="single" w:sz="6" w:space="0" w:color="D9D9D9"/>
              <w:left w:val="single" w:sz="6" w:space="0" w:color="D9D9D9"/>
              <w:bottom w:val="single" w:sz="6" w:space="0" w:color="D9D9D9"/>
              <w:right w:val="single" w:sz="6" w:space="0" w:color="D9D9D9"/>
            </w:tcBorders>
            <w:shd w:val="clear" w:color="auto" w:fill="FFFFFF"/>
            <w:tcMar>
              <w:top w:w="85" w:type="dxa"/>
              <w:left w:w="100" w:type="dxa"/>
              <w:bottom w:w="85" w:type="dxa"/>
              <w:right w:w="100" w:type="dxa"/>
            </w:tcMar>
            <w:vAlign w:val="center"/>
          </w:tcPr>
          <w:p w14:paraId="31B4347B" w14:textId="77777777" w:rsidR="00360AA4" w:rsidRDefault="00000000">
            <w:pPr>
              <w:spacing w:after="0" w:line="240" w:lineRule="auto"/>
            </w:pPr>
            <w:r>
              <w:rPr>
                <w:color w:val="000000"/>
                <w:sz w:val="19"/>
              </w:rPr>
              <w:t>5,135.25</w:t>
            </w:r>
          </w:p>
        </w:tc>
      </w:tr>
      <w:tr w:rsidR="00360AA4" w14:paraId="7C73083E" w14:textId="77777777">
        <w:trPr>
          <w:cantSplit/>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77F1F822" w14:textId="77777777" w:rsidR="00360AA4" w:rsidRDefault="00000000">
            <w:pPr>
              <w:spacing w:after="0" w:line="240" w:lineRule="auto"/>
            </w:pPr>
            <w:r>
              <w:rPr>
                <w:color w:val="000000"/>
                <w:sz w:val="19"/>
              </w:rPr>
              <w:t>Estimated total input cost</w:t>
            </w:r>
          </w:p>
        </w:tc>
        <w:tc>
          <w:tcPr>
            <w:tcW w:w="23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18C91D73" w14:textId="77777777" w:rsidR="00360AA4" w:rsidRDefault="00000000">
            <w:pPr>
              <w:spacing w:after="0" w:line="240" w:lineRule="auto"/>
            </w:pPr>
            <w:r>
              <w:rPr>
                <w:color w:val="000000"/>
                <w:sz w:val="19"/>
              </w:rPr>
              <w:t>US$0.049071</w:t>
            </w:r>
          </w:p>
        </w:tc>
        <w:tc>
          <w:tcPr>
            <w:tcW w:w="2404" w:type="dxa"/>
            <w:tcBorders>
              <w:top w:val="single" w:sz="6" w:space="0" w:color="D9D9D9"/>
              <w:left w:val="single" w:sz="6" w:space="0" w:color="D9D9D9"/>
              <w:bottom w:val="single" w:sz="6" w:space="0" w:color="D9D9D9"/>
              <w:right w:val="single" w:sz="6" w:space="0" w:color="D9D9D9"/>
            </w:tcBorders>
            <w:shd w:val="clear" w:color="auto" w:fill="F3F7FA"/>
            <w:tcMar>
              <w:top w:w="85" w:type="dxa"/>
              <w:left w:w="100" w:type="dxa"/>
              <w:bottom w:w="85" w:type="dxa"/>
              <w:right w:w="100" w:type="dxa"/>
            </w:tcMar>
            <w:vAlign w:val="center"/>
          </w:tcPr>
          <w:p w14:paraId="767B8A3C" w14:textId="77777777" w:rsidR="00360AA4" w:rsidRDefault="00000000">
            <w:pPr>
              <w:spacing w:after="0" w:line="240" w:lineRule="auto"/>
            </w:pPr>
            <w:r>
              <w:rPr>
                <w:color w:val="000000"/>
                <w:sz w:val="19"/>
              </w:rPr>
              <w:t>US$0.030812</w:t>
            </w:r>
          </w:p>
        </w:tc>
      </w:tr>
    </w:tbl>
    <w:p w14:paraId="64103AD1" w14:textId="77777777" w:rsidR="00360AA4" w:rsidRDefault="00360AA4">
      <w:pPr>
        <w:spacing w:line="240" w:lineRule="auto"/>
      </w:pPr>
    </w:p>
    <w:p w14:paraId="5DAD4D59" w14:textId="77777777" w:rsidR="00360AA4" w:rsidRDefault="00000000">
      <w:pPr>
        <w:numPr>
          <w:ilvl w:val="0"/>
          <w:numId w:val="8"/>
        </w:numPr>
        <w:spacing w:line="240" w:lineRule="auto"/>
        <w:rPr>
          <w:rFonts w:ascii="Times New Roman Bold" w:hAnsi="Times New Roman Bold" w:cs="Times New Roman Bold"/>
          <w:b/>
          <w:bCs/>
          <w:sz w:val="24"/>
          <w:szCs w:val="24"/>
        </w:rPr>
      </w:pPr>
      <w:r>
        <w:rPr>
          <w:rFonts w:ascii="Times New Roman Bold" w:hAnsi="Times New Roman Bold" w:cs="Times New Roman Bold"/>
          <w:b/>
          <w:bCs/>
          <w:sz w:val="24"/>
          <w:szCs w:val="24"/>
        </w:rPr>
        <w:t>What the evidence showed</w:t>
      </w:r>
    </w:p>
    <w:p w14:paraId="5C7D3EF9" w14:textId="77777777" w:rsidR="00360AA4" w:rsidRDefault="00360AA4">
      <w:pPr>
        <w:pStyle w:val="af2"/>
        <w:spacing w:after="0" w:line="240" w:lineRule="auto"/>
        <w:rPr>
          <w:color w:val="000000"/>
          <w:sz w:val="22"/>
        </w:rPr>
      </w:pPr>
    </w:p>
    <w:p w14:paraId="4BE5C906" w14:textId="77777777" w:rsidR="00360AA4" w:rsidRDefault="00000000">
      <w:pPr>
        <w:pStyle w:val="af2"/>
        <w:spacing w:after="0" w:line="240" w:lineRule="auto"/>
        <w:rPr>
          <w:color w:val="000000"/>
          <w:sz w:val="22"/>
          <w:lang w:eastAsia="zh-CN"/>
        </w:rPr>
      </w:pPr>
      <w:r>
        <w:rPr>
          <w:color w:val="000000"/>
          <w:sz w:val="22"/>
          <w:lang w:eastAsia="zh-CN"/>
        </w:rPr>
        <w:t>This evaluation adopted a 40-case test set consisting of 33 regular and 7 negative cases. The scripted backend delivered consistent judgment results across all trials, verifying the stability and determinism of the evaluation framework. However, real-model testing revealed substantial performance differences among tested models.</w:t>
      </w:r>
    </w:p>
    <w:p w14:paraId="495DBA9A" w14:textId="77777777" w:rsidR="00360AA4" w:rsidRDefault="00360AA4">
      <w:pPr>
        <w:pStyle w:val="af2"/>
        <w:spacing w:after="0" w:line="240" w:lineRule="auto"/>
        <w:rPr>
          <w:color w:val="000000"/>
          <w:sz w:val="22"/>
          <w:lang w:eastAsia="zh-CN"/>
        </w:rPr>
      </w:pPr>
    </w:p>
    <w:p w14:paraId="2BCC9477" w14:textId="77777777" w:rsidR="00360AA4" w:rsidRDefault="00000000">
      <w:pPr>
        <w:pStyle w:val="af2"/>
        <w:spacing w:after="0" w:line="240" w:lineRule="auto"/>
        <w:rPr>
          <w:color w:val="000000"/>
          <w:sz w:val="22"/>
          <w:lang w:eastAsia="zh-CN"/>
        </w:rPr>
      </w:pPr>
      <w:r>
        <w:rPr>
          <w:color w:val="000000"/>
          <w:sz w:val="22"/>
          <w:lang w:eastAsia="zh-CN"/>
        </w:rPr>
        <w:t>OpenAI/gpt-5.6-luna took the lead with 80.0% record accuracy and 83.3% decision accuracy. It was followed by z-ai/glm-5.3-flash (73.3%), deepseek-v4-flash (66.7%), inception/mercury-2.5 (63.3%), and qwen/qwen-2.5-7b-instruct (50.0% record accuracy, 60.0% decision accuracy). The full 20-percentage-point performance gap indicates model selection exerts a far greater impact on outcomes than prompt version adjustments.</w:t>
      </w:r>
    </w:p>
    <w:p w14:paraId="62686FFF" w14:textId="77777777" w:rsidR="00360AA4" w:rsidRDefault="00360AA4">
      <w:pPr>
        <w:pStyle w:val="af2"/>
        <w:spacing w:after="0" w:line="240" w:lineRule="auto"/>
        <w:rPr>
          <w:color w:val="000000"/>
          <w:sz w:val="22"/>
        </w:rPr>
      </w:pPr>
    </w:p>
    <w:p w14:paraId="5B9D7083" w14:textId="77777777" w:rsidR="00360AA4" w:rsidRDefault="00000000">
      <w:pPr>
        <w:pStyle w:val="af2"/>
        <w:spacing w:after="0" w:line="240" w:lineRule="auto"/>
        <w:rPr>
          <w:color w:val="000000"/>
          <w:sz w:val="22"/>
        </w:rPr>
      </w:pPr>
      <w:r>
        <w:rPr>
          <w:color w:val="000000"/>
          <w:sz w:val="22"/>
          <w:lang w:eastAsia="zh-CN"/>
        </w:rPr>
        <w:t xml:space="preserve">The core distinction between these models lies not in their final outputs, but in how they handle cyclic tasks. Qwen-2.5-7B achieves the fastest tool invocation speed and most streamlined workflow: it averages 5.65 tool calls per run with zero errors or redundant calls, taking only 5.85 seconds per trial. Nevertheless, it has the lowest overall accuracy, which suggests the model runs operations without faults but skips essential verification steps. Deepseek-v4-flash and mercury-2.5 show opposite behaviour, with 8 and 3 repeated calls respectively, </w:t>
      </w:r>
      <w:r>
        <w:rPr>
          <w:color w:val="000000"/>
          <w:sz w:val="22"/>
          <w:lang w:eastAsia="zh-CN"/>
        </w:rPr>
        <w:lastRenderedPageBreak/>
        <w:t>indicating they repeatedly re</w:t>
      </w:r>
      <w:r>
        <w:rPr>
          <w:rFonts w:hint="eastAsia"/>
          <w:color w:val="000000"/>
          <w:sz w:val="22"/>
          <w:lang w:eastAsia="zh-CN"/>
        </w:rPr>
        <w:t>-</w:t>
      </w:r>
      <w:r>
        <w:rPr>
          <w:color w:val="000000"/>
          <w:sz w:val="22"/>
          <w:lang w:eastAsia="zh-CN"/>
        </w:rPr>
        <w:t>initiate queries instead of reasoning along logical chains. Gpt-5.6-luna encountered 15 tool call errors but produced no repeated calls, choosing to create new tool requests rather than get trapped in loops. Glm-5.3-flash delivers the most balanced overall performance, with merely one tool error and no redundant calls.</w:t>
      </w:r>
    </w:p>
    <w:p w14:paraId="41F23A7D" w14:textId="77777777" w:rsidR="00360AA4" w:rsidRDefault="00360AA4">
      <w:pPr>
        <w:pStyle w:val="af2"/>
        <w:spacing w:after="0" w:line="240" w:lineRule="auto"/>
        <w:rPr>
          <w:color w:val="000000"/>
          <w:sz w:val="22"/>
        </w:rPr>
      </w:pPr>
    </w:p>
    <w:p w14:paraId="04BAB2A4" w14:textId="77777777" w:rsidR="00360AA4" w:rsidRDefault="00000000">
      <w:pPr>
        <w:pStyle w:val="af2"/>
        <w:spacing w:after="0" w:line="240" w:lineRule="auto"/>
        <w:rPr>
          <w:color w:val="000000"/>
          <w:sz w:val="22"/>
        </w:rPr>
      </w:pPr>
      <w:r>
        <w:rPr>
          <w:color w:val="000000"/>
          <w:sz w:val="22"/>
          <w:lang w:eastAsia="zh-CN"/>
        </w:rPr>
        <w:t>Negative test cases uncovered flaws hidden by average metrics. Multiple models failed prompt injection defense, boundary value verification, duplicate claim screening and total amount checking in targeted edge cases. D7 reproduction tests further proved that action deduplication and compact typed returns greatly reduce interaction turns, cost and token consumption while improving pass rates. Without action deduplication, looping execution takes 8 turns at a cost of $0.00208, whereas enabling this mechanism reduces it to 2 turns and $0.000296. Lacking compact typed returns lowers the pass rate from 100% to 88.3% and doubles average return tokens from 28.09 to 58.03.</w:t>
      </w:r>
    </w:p>
    <w:p w14:paraId="09640045" w14:textId="77777777" w:rsidR="00360AA4" w:rsidRDefault="00000000">
      <w:pPr>
        <w:pStyle w:val="af2"/>
        <w:spacing w:after="0" w:line="240" w:lineRule="auto"/>
        <w:rPr>
          <w:color w:val="000000"/>
          <w:sz w:val="22"/>
          <w:lang w:eastAsia="zh-CN"/>
        </w:rPr>
      </w:pPr>
      <w:r>
        <w:rPr>
          <w:color w:val="000000"/>
          <w:sz w:val="22"/>
          <w:lang w:eastAsia="zh-CN"/>
        </w:rPr>
        <w:t>Overall, the dedicated evaluation framework effectively identifies model defects that conventional average indicators cannot capture.</w:t>
      </w:r>
    </w:p>
    <w:p w14:paraId="5C6AFD81" w14:textId="77777777" w:rsidR="00360AA4" w:rsidRDefault="00360AA4">
      <w:pPr>
        <w:spacing w:line="240" w:lineRule="auto"/>
        <w:rPr>
          <w:color w:val="000000"/>
          <w:lang w:eastAsia="zh-CN"/>
        </w:rPr>
      </w:pPr>
    </w:p>
    <w:p w14:paraId="0F8C1EAD" w14:textId="77777777" w:rsidR="00360AA4" w:rsidRDefault="00000000">
      <w:pPr>
        <w:pStyle w:val="af2"/>
        <w:numPr>
          <w:ilvl w:val="0"/>
          <w:numId w:val="8"/>
        </w:numPr>
        <w:spacing w:after="0" w:line="240" w:lineRule="auto"/>
        <w:rPr>
          <w:rFonts w:ascii="Times New Roman Bold" w:hAnsi="Times New Roman Bold" w:cs="Times New Roman Bold"/>
          <w:b/>
          <w:bCs/>
          <w:color w:val="000000"/>
          <w:sz w:val="22"/>
          <w:lang w:eastAsia="zh-CN"/>
        </w:rPr>
      </w:pPr>
      <w:r>
        <w:rPr>
          <w:rFonts w:ascii="Times New Roman Bold" w:hAnsi="Times New Roman Bold" w:cs="Times New Roman Bold"/>
          <w:b/>
          <w:bCs/>
          <w:color w:val="000000"/>
          <w:sz w:val="22"/>
          <w:lang w:eastAsia="zh-CN"/>
        </w:rPr>
        <w:t>What It Costs</w:t>
      </w:r>
    </w:p>
    <w:p w14:paraId="0D817A0A" w14:textId="77777777" w:rsidR="00360AA4" w:rsidRDefault="00360AA4">
      <w:pPr>
        <w:pStyle w:val="af2"/>
        <w:spacing w:after="0" w:line="240" w:lineRule="auto"/>
        <w:rPr>
          <w:color w:val="000000"/>
          <w:sz w:val="22"/>
          <w:lang w:eastAsia="zh-CN"/>
        </w:rPr>
      </w:pPr>
    </w:p>
    <w:p w14:paraId="5D3EA668" w14:textId="77777777" w:rsidR="00D61868" w:rsidRDefault="00D61868" w:rsidP="00D61868">
      <w:r>
        <w:t xml:space="preserve">At 8,000 claims per month, GPT-5.6 Luna has the lowest estimated cost to serve among the five tested models: US$12,177 per month, compared with US$60,800 for fully manual review. This is an economic comparison, not approval for autonomous deployment. The estimate combines model token charges with a human-fallback proxy of US$7.60 per unsuccessful claim, based on 12 minutes at US$38 per hour. We use complete-record accuracy, which requires both the decision and structured record to be correct. The proxy assumes every incomplete record </w:t>
      </w:r>
      <w:proofErr w:type="gramStart"/>
      <w:r>
        <w:t>needs</w:t>
      </w:r>
      <w:proofErr w:type="gramEnd"/>
      <w:r>
        <w:t xml:space="preserve"> review; actual intervention rates were not observed.</w:t>
      </w:r>
    </w:p>
    <w:p w14:paraId="4782BF58" w14:textId="77777777" w:rsidR="00D61868" w:rsidRDefault="00D61868" w:rsidP="00D61868">
      <w:r>
        <w:t xml:space="preserve">Four levers explain the result. Tool-block size (B) was 225 tokens per turn, so repeated turns repeatedly expose the same instructions. Turn count (T) fell from 6.10 to 3.85 when independent calls were </w:t>
      </w:r>
      <w:proofErr w:type="spellStart"/>
      <w:r>
        <w:t>parallelised</w:t>
      </w:r>
      <w:proofErr w:type="spellEnd"/>
      <w:r>
        <w:t xml:space="preserve"> in a separate scripted test, reducing repeated context by 36.9%. Observation size (D) fell from 58.03 to 28.09 tokens per call after a typed-return rewrite, a 51.6% reduction. Success rate (P) is economically dominant: in the descriptor comparison it rose from 48.3% to 61.7%, while Luna achieved 80.0% complete-record accuracy in its 60 live trials. The D and P changes occurred alongside interface changes, so they should not be interpreted as isolated causal effects.</w:t>
      </w:r>
    </w:p>
    <w:p w14:paraId="7DF36B75" w14:textId="77777777" w:rsidR="00D61868" w:rsidRDefault="00D61868" w:rsidP="00D61868">
      <w:r>
        <w:t>Luna's average AI charge was about US$0.00216 per claim; expected fallback added US$1.52. The resulting monthly estimate is US$12,177.28. GLM, DeepSeek, Mercury and Qwen were estimated at US$16,221.47, US$21,289.50, US$22,299.61 and US$27,373.47 respectively. Model-token price differences are small beside fallback costs, which is why Luna ranks first despite not having the cheapest token charge. Full inputs, formulas and model outputs remain in the D6 repository workbook and evidence files.</w:t>
      </w:r>
    </w:p>
    <w:p w14:paraId="7E6E5532" w14:textId="77777777" w:rsidR="00D61868" w:rsidRDefault="00D61868" w:rsidP="00D61868">
      <w:r>
        <w:t>Holding Luna's measured token cost constant, monthly cost is US$18,257 at 70% success, US$12,177 at 80%, and US$6,097 at 90%. Thus a ten-percentage-point change in success changes expected monthly fallback cost by US$6,080. Against the manual baseline, up to US$48,622.72 per month remains for unmeasured operating costs before the estimated saving disappears. With operating cost assumed zero, the purely mathematical success-rate break-even is only 0.0284%; it is not a safety or deployment threshold. Hosting, security, monitoring, maintenance and compliance were not quantified. Caching was not measured, and no separate reasoning-model tier was evaluated, so neither saving nor premium is included. Human confirmation remains necessary for consequential claim decisions.</w:t>
      </w:r>
    </w:p>
    <w:p w14:paraId="4C7907E6" w14:textId="77777777" w:rsidR="00360AA4" w:rsidRDefault="00360AA4">
      <w:pPr>
        <w:pStyle w:val="af2"/>
        <w:spacing w:after="0" w:line="240" w:lineRule="auto"/>
        <w:rPr>
          <w:color w:val="000000"/>
          <w:sz w:val="22"/>
        </w:rPr>
      </w:pPr>
    </w:p>
    <w:p w14:paraId="5A30EFA6" w14:textId="77777777" w:rsidR="00360AA4" w:rsidRDefault="00000000">
      <w:pPr>
        <w:pStyle w:val="af2"/>
        <w:numPr>
          <w:ilvl w:val="0"/>
          <w:numId w:val="8"/>
        </w:numPr>
        <w:spacing w:after="0" w:line="240" w:lineRule="auto"/>
        <w:rPr>
          <w:rFonts w:ascii="Times New Roman Bold" w:hAnsi="Times New Roman Bold" w:cs="Times New Roman Bold"/>
          <w:b/>
          <w:bCs/>
          <w:color w:val="000000"/>
          <w:szCs w:val="24"/>
          <w:lang w:eastAsia="zh-CN"/>
        </w:rPr>
      </w:pPr>
      <w:r>
        <w:rPr>
          <w:rFonts w:ascii="Times New Roman Bold" w:hAnsi="Times New Roman Bold" w:cs="Times New Roman Bold"/>
          <w:b/>
          <w:bCs/>
          <w:color w:val="000000"/>
          <w:szCs w:val="24"/>
          <w:lang w:eastAsia="zh-CN"/>
        </w:rPr>
        <w:t>The two failures</w:t>
      </w:r>
    </w:p>
    <w:p w14:paraId="22669F21" w14:textId="77777777" w:rsidR="00360AA4" w:rsidRDefault="00360AA4">
      <w:pPr>
        <w:pStyle w:val="af2"/>
        <w:spacing w:after="0" w:line="240" w:lineRule="auto"/>
        <w:rPr>
          <w:color w:val="000000"/>
          <w:sz w:val="22"/>
          <w:lang w:eastAsia="zh-CN"/>
        </w:rPr>
      </w:pPr>
    </w:p>
    <w:p w14:paraId="55F37713" w14:textId="77777777" w:rsidR="00360AA4" w:rsidRDefault="00000000">
      <w:pPr>
        <w:pStyle w:val="af2"/>
        <w:spacing w:after="0" w:line="240" w:lineRule="auto"/>
        <w:rPr>
          <w:color w:val="000000"/>
          <w:sz w:val="22"/>
          <w:lang w:eastAsia="zh-CN"/>
        </w:rPr>
      </w:pPr>
      <w:r>
        <w:rPr>
          <w:color w:val="000000"/>
          <w:sz w:val="22"/>
          <w:lang w:eastAsia="zh-CN"/>
        </w:rPr>
        <w:t>D7 exposed two different failure modes. The first was a loop-control failure. In the before condition, the agent repeated an identical action instead of progressing, producing no answer after eight turns. The run was eventually contained by the step cap, but this was a safety net rather than a real fix: it consumed 20,800 input tokens and cost US$0.00208, with a 0% pass rate. We detected the problem by inspecting the turn trace and identifying duplicate consecutive actions. The fix was implemented in the code layer using action de-duplication, which blocks the second identical call before another model turn is paid for. After the fix, the run completed in two turns, produced an answer, used 2,840 total tokens, cost US$0.000296, and achieved a 100% pass rate. This reduced both wasted computation and the risk of an uncontrolled tool loop.</w:t>
      </w:r>
    </w:p>
    <w:p w14:paraId="782BF5AE" w14:textId="77777777" w:rsidR="00360AA4" w:rsidRDefault="00360AA4">
      <w:pPr>
        <w:pStyle w:val="af2"/>
        <w:spacing w:after="0" w:line="240" w:lineRule="auto"/>
        <w:rPr>
          <w:color w:val="000000"/>
          <w:sz w:val="22"/>
          <w:lang w:eastAsia="zh-CN"/>
        </w:rPr>
      </w:pPr>
    </w:p>
    <w:p w14:paraId="497D15FD" w14:textId="77777777" w:rsidR="00360AA4" w:rsidRDefault="00000000">
      <w:pPr>
        <w:pStyle w:val="af2"/>
        <w:spacing w:after="0" w:line="240" w:lineRule="auto"/>
        <w:rPr>
          <w:color w:val="000000"/>
          <w:sz w:val="22"/>
          <w:lang w:eastAsia="zh-CN"/>
        </w:rPr>
      </w:pPr>
      <w:r>
        <w:rPr>
          <w:color w:val="000000"/>
          <w:sz w:val="22"/>
          <w:lang w:eastAsia="zh-CN"/>
        </w:rPr>
        <w:t>The second failure was at the tool-interface layer. The original interface used a compact typed coverage filter that could return a stale recommendation; before filtering, 60 trials achieved an 88.3% pass rate and returned an average of 58.03 tokens. The revised interface used a filtered typed return shape, so stale recommendations could not reach the model as valid observations. Pass rate increased to 100%, while average return tokens fell to 28.09 and observation cost fell from US$0.00000580 to US$0.00000281 per trial. This belongs in the interface layer because the defect was in the structure and validation of tool returns, not in prompting or loop control.</w:t>
      </w:r>
    </w:p>
    <w:p w14:paraId="5EC15576" w14:textId="77777777" w:rsidR="00360AA4" w:rsidRDefault="00000000">
      <w:pPr>
        <w:pStyle w:val="af2"/>
        <w:spacing w:after="0" w:line="240" w:lineRule="auto"/>
        <w:jc w:val="both"/>
        <w:rPr>
          <w:color w:val="000000"/>
          <w:sz w:val="22"/>
          <w:lang w:eastAsia="zh-CN"/>
        </w:rPr>
      </w:pPr>
      <w:r>
        <w:rPr>
          <w:color w:val="000000"/>
          <w:sz w:val="22"/>
          <w:lang w:eastAsia="zh-CN"/>
        </w:rPr>
        <w:t> </w:t>
      </w:r>
    </w:p>
    <w:p w14:paraId="39F885CE" w14:textId="77777777" w:rsidR="00360AA4" w:rsidRDefault="00000000">
      <w:pPr>
        <w:pStyle w:val="af2"/>
        <w:numPr>
          <w:ilvl w:val="0"/>
          <w:numId w:val="8"/>
        </w:numPr>
        <w:spacing w:after="0" w:line="240" w:lineRule="auto"/>
        <w:rPr>
          <w:rFonts w:ascii="Times New Roman Bold" w:hAnsi="Times New Roman Bold" w:cs="Times New Roman Bold"/>
          <w:b/>
          <w:bCs/>
          <w:color w:val="000000"/>
          <w:szCs w:val="24"/>
          <w:lang w:eastAsia="zh-CN"/>
        </w:rPr>
      </w:pPr>
      <w:r>
        <w:rPr>
          <w:rFonts w:ascii="Times New Roman Bold" w:hAnsi="Times New Roman Bold" w:cs="Times New Roman Bold"/>
          <w:b/>
          <w:bCs/>
          <w:color w:val="000000"/>
          <w:szCs w:val="24"/>
          <w:lang w:eastAsia="zh-CN"/>
        </w:rPr>
        <w:t>What we would not deploy</w:t>
      </w:r>
    </w:p>
    <w:p w14:paraId="0E3205EF" w14:textId="77777777" w:rsidR="00360AA4" w:rsidRDefault="00360AA4">
      <w:pPr>
        <w:pStyle w:val="af2"/>
        <w:spacing w:after="0" w:line="240" w:lineRule="auto"/>
        <w:rPr>
          <w:color w:val="000000"/>
          <w:sz w:val="22"/>
          <w:lang w:eastAsia="zh-CN"/>
        </w:rPr>
      </w:pPr>
    </w:p>
    <w:p w14:paraId="301A49FD" w14:textId="77777777" w:rsidR="00360AA4" w:rsidRDefault="00000000">
      <w:pPr>
        <w:pStyle w:val="af2"/>
        <w:spacing w:after="0" w:line="240" w:lineRule="auto"/>
        <w:jc w:val="both"/>
        <w:rPr>
          <w:color w:val="000000"/>
          <w:sz w:val="22"/>
          <w:lang w:eastAsia="zh-CN"/>
        </w:rPr>
      </w:pPr>
      <w:r>
        <w:rPr>
          <w:color w:val="000000"/>
          <w:sz w:val="22"/>
          <w:lang w:eastAsia="zh-CN"/>
        </w:rPr>
        <w:t>We would not use this system to approve or reject claims without human confirmation. GPT-5.6 Luna achieved 80% complete-record accuracy across 60 trials, while Qwen achieved 55%. In the CLM-8910 test, Qwen found that the policy had lapsed but still recommended approval after seven tool calls. Correct evidence retrieval therefore did not guarantee a safe decision.</w:t>
      </w:r>
    </w:p>
    <w:p w14:paraId="7B95302B" w14:textId="77777777" w:rsidR="00360AA4" w:rsidRDefault="00360AA4">
      <w:pPr>
        <w:pStyle w:val="af2"/>
        <w:spacing w:after="0" w:line="240" w:lineRule="auto"/>
        <w:jc w:val="both"/>
        <w:rPr>
          <w:color w:val="000000"/>
          <w:sz w:val="22"/>
          <w:lang w:eastAsia="zh-CN"/>
        </w:rPr>
      </w:pPr>
    </w:p>
    <w:p w14:paraId="2565E9D8" w14:textId="77777777" w:rsidR="00360AA4" w:rsidRDefault="00000000">
      <w:pPr>
        <w:pStyle w:val="af2"/>
        <w:spacing w:after="0" w:line="240" w:lineRule="auto"/>
        <w:jc w:val="both"/>
        <w:rPr>
          <w:color w:val="000000"/>
          <w:sz w:val="22"/>
          <w:lang w:eastAsia="zh-CN"/>
        </w:rPr>
      </w:pPr>
      <w:r>
        <w:rPr>
          <w:color w:val="000000"/>
          <w:sz w:val="22"/>
          <w:lang w:eastAsia="zh-CN"/>
        </w:rPr>
        <w:t>Before deployment, clear rules for lapsed policies, duplicates, invalid service dates, suspicious instructions and claims above the remaining cover should be coded into the system. Unclear cases must go to a claims assessor.</w:t>
      </w:r>
    </w:p>
    <w:p w14:paraId="51C8BFA3" w14:textId="77777777" w:rsidR="00360AA4" w:rsidRDefault="00360AA4">
      <w:pPr>
        <w:pStyle w:val="af2"/>
        <w:spacing w:after="0" w:line="240" w:lineRule="auto"/>
        <w:jc w:val="both"/>
        <w:rPr>
          <w:color w:val="000000"/>
          <w:sz w:val="22"/>
          <w:lang w:eastAsia="zh-CN"/>
        </w:rPr>
      </w:pPr>
    </w:p>
    <w:p w14:paraId="1D6CA496" w14:textId="77777777" w:rsidR="00360AA4" w:rsidRDefault="00000000">
      <w:pPr>
        <w:pStyle w:val="af2"/>
        <w:spacing w:after="0" w:line="240" w:lineRule="auto"/>
        <w:jc w:val="both"/>
        <w:rPr>
          <w:color w:val="000000"/>
          <w:sz w:val="22"/>
          <w:lang w:eastAsia="zh-CN"/>
        </w:rPr>
      </w:pPr>
      <w:r>
        <w:rPr>
          <w:color w:val="000000"/>
          <w:sz w:val="22"/>
          <w:lang w:eastAsia="zh-CN"/>
        </w:rPr>
        <w:t>Luna’s estimated monthly cost of US$12,177 was calculated by applying its average trial token usage and model pricing to an expected volume of 8,000 claims. However, this does not include hosting, security, monitoring, maintenance or compliance costs. We would therefore begin with a read-only assistant in shadow mode and mandatory human review.</w:t>
      </w:r>
    </w:p>
    <w:p w14:paraId="6BF2D632" w14:textId="77777777" w:rsidR="00360AA4" w:rsidRDefault="00360AA4">
      <w:pPr>
        <w:pStyle w:val="af2"/>
        <w:spacing w:after="0" w:line="240" w:lineRule="auto"/>
        <w:jc w:val="both"/>
        <w:rPr>
          <w:color w:val="000000"/>
          <w:sz w:val="22"/>
          <w:lang w:eastAsia="zh-CN"/>
        </w:rPr>
      </w:pPr>
    </w:p>
    <w:p w14:paraId="5E1035D9" w14:textId="77777777" w:rsidR="00360AA4" w:rsidRDefault="00360AA4">
      <w:pPr>
        <w:spacing w:line="240" w:lineRule="auto"/>
        <w:rPr>
          <w:color w:val="000000"/>
          <w:lang w:eastAsia="zh-CN"/>
        </w:rPr>
      </w:pPr>
    </w:p>
    <w:p w14:paraId="2EEE9F13" w14:textId="77777777" w:rsidR="00360AA4" w:rsidRDefault="00360AA4">
      <w:pPr>
        <w:spacing w:line="240" w:lineRule="auto"/>
        <w:rPr>
          <w:color w:val="000000"/>
          <w:lang w:eastAsia="zh-CN"/>
        </w:rPr>
      </w:pPr>
    </w:p>
    <w:p w14:paraId="13595C32" w14:textId="77777777" w:rsidR="00360AA4" w:rsidRDefault="00360AA4">
      <w:pPr>
        <w:spacing w:line="240" w:lineRule="auto"/>
        <w:rPr>
          <w:color w:val="000000"/>
        </w:rPr>
      </w:pPr>
    </w:p>
    <w:sectPr w:rsidR="00360AA4">
      <w:pgSz w:w="12240" w:h="15840"/>
      <w:pgMar w:top="1152" w:right="1181" w:bottom="1080"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ADDC" w14:textId="77777777" w:rsidR="00884E7D" w:rsidRDefault="00884E7D">
      <w:pPr>
        <w:spacing w:line="240" w:lineRule="auto"/>
      </w:pPr>
      <w:r>
        <w:separator/>
      </w:r>
    </w:p>
  </w:endnote>
  <w:endnote w:type="continuationSeparator" w:id="0">
    <w:p w14:paraId="29C89997" w14:textId="77777777" w:rsidR="00884E7D" w:rsidRDefault="00884E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0"/>
    <w:family w:val="auto"/>
    <w:pitch w:val="default"/>
    <w:sig w:usb0="E0002AEF" w:usb1="C0007841" w:usb2="00000009" w:usb3="00000000" w:csb0="400001FF" w:csb1="FFFF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062C" w14:textId="77777777" w:rsidR="00884E7D" w:rsidRDefault="00884E7D">
      <w:pPr>
        <w:spacing w:after="0"/>
      </w:pPr>
      <w:r>
        <w:separator/>
      </w:r>
    </w:p>
  </w:footnote>
  <w:footnote w:type="continuationSeparator" w:id="0">
    <w:p w14:paraId="5381366D" w14:textId="77777777" w:rsidR="00884E7D" w:rsidRDefault="00884E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AE80C3"/>
    <w:multiLevelType w:val="singleLevel"/>
    <w:tmpl w:val="ADAE80C3"/>
    <w:lvl w:ilvl="0">
      <w:start w:val="1"/>
      <w:numFmt w:val="decimal"/>
      <w:suff w:val="space"/>
      <w:lvlText w:val="%1."/>
      <w:lvlJc w:val="left"/>
    </w:lvl>
  </w:abstractNum>
  <w:abstractNum w:abstractNumId="1" w15:restartNumberingAfterBreak="0">
    <w:nsid w:val="F7570A8D"/>
    <w:multiLevelType w:val="singleLevel"/>
    <w:tmpl w:val="F7570A8D"/>
    <w:lvl w:ilvl="0">
      <w:start w:val="3"/>
      <w:numFmt w:val="decimal"/>
      <w:suff w:val="space"/>
      <w:lvlText w:val="%1."/>
      <w:lvlJc w:val="left"/>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27486807">
    <w:abstractNumId w:val="3"/>
  </w:num>
  <w:num w:numId="2" w16cid:durableId="394820993">
    <w:abstractNumId w:val="6"/>
  </w:num>
  <w:num w:numId="3" w16cid:durableId="1796559775">
    <w:abstractNumId w:val="7"/>
  </w:num>
  <w:num w:numId="4" w16cid:durableId="1794901246">
    <w:abstractNumId w:val="4"/>
  </w:num>
  <w:num w:numId="5" w16cid:durableId="731002193">
    <w:abstractNumId w:val="2"/>
  </w:num>
  <w:num w:numId="6" w16cid:durableId="1155295602">
    <w:abstractNumId w:val="5"/>
  </w:num>
  <w:num w:numId="7" w16cid:durableId="2044553321">
    <w:abstractNumId w:val="0"/>
  </w:num>
  <w:num w:numId="8" w16cid:durableId="111673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1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6AD"/>
    <w:rsid w:val="0029639D"/>
    <w:rsid w:val="00315D2F"/>
    <w:rsid w:val="00326F90"/>
    <w:rsid w:val="00360AA4"/>
    <w:rsid w:val="004B7F66"/>
    <w:rsid w:val="00884E7D"/>
    <w:rsid w:val="00AA1D8D"/>
    <w:rsid w:val="00B47730"/>
    <w:rsid w:val="00CB0664"/>
    <w:rsid w:val="00D61868"/>
    <w:rsid w:val="00FC693F"/>
    <w:rsid w:val="00FD3620"/>
    <w:rsid w:val="00FE4E56"/>
    <w:rsid w:val="FFBED6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75C2A2"/>
  <w14:defaultImageDpi w14:val="300"/>
  <w15:docId w15:val="{9F0AB2CF-60DF-4279-AA9A-6AD3B9A1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hAnsi="Times New Roman"/>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rPr>
      <w:sz w:val="24"/>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spacing w:after="300" w:line="240" w:lineRule="auto"/>
      <w:contextualSpacing/>
    </w:pPr>
    <w:rPr>
      <w:rFonts w:asciiTheme="majorHAnsi" w:eastAsiaTheme="majorEastAsia" w:hAnsiTheme="majorHAnsi" w:cstheme="majorBidi"/>
      <w:b/>
      <w:color w:val="000000"/>
      <w:spacing w:val="5"/>
      <w:kern w:val="28"/>
      <w:sz w:val="3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1774</Words>
  <Characters>10118</Characters>
  <Application>Microsoft Office Word</Application>
  <DocSecurity>0</DocSecurity>
  <Lines>84</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PE6201 A2 The Tool Layer</dc:title>
  <dc:subject>Report section 2</dc:subject>
  <dc:creator>Restart</dc:creator>
  <dc:description>generated by python-docx</dc:description>
  <cp:lastModifiedBy>秋羊 陈</cp:lastModifiedBy>
  <cp:revision>2</cp:revision>
  <dcterms:created xsi:type="dcterms:W3CDTF">2026-09-19T07:08:00Z</dcterms:created>
  <dcterms:modified xsi:type="dcterms:W3CDTF">2026-09-19T07:08:00Z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119334CB8E5F6F244AC2AB6A3F93B3E7_42</vt:lpwstr>
  </property>
</Properties>
</file>