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33ED" w14:textId="1A905598" w:rsidR="00ED1D7F" w:rsidRPr="00C64212" w:rsidRDefault="003D105D" w:rsidP="009E4FAD">
      <w:pPr>
        <w:spacing w:after="0"/>
        <w:jc w:val="center"/>
        <w:rPr>
          <w:rFonts w:cstheme="minorHAnsi"/>
          <w:b/>
          <w:bCs/>
          <w:color w:val="000000" w:themeColor="text1"/>
          <w:sz w:val="44"/>
          <w:szCs w:val="44"/>
          <w:u w:val="double"/>
        </w:rPr>
      </w:pPr>
      <w:r w:rsidRPr="00C64212">
        <w:rPr>
          <w:rFonts w:cstheme="minorHAnsi"/>
          <w:b/>
          <w:bCs/>
          <w:color w:val="000000" w:themeColor="text1"/>
          <w:sz w:val="44"/>
          <w:szCs w:val="44"/>
          <w:u w:val="double"/>
        </w:rPr>
        <w:t xml:space="preserve">GIS </w:t>
      </w:r>
      <w:r w:rsidR="00B52599" w:rsidRPr="00C64212">
        <w:rPr>
          <w:rFonts w:cstheme="minorHAnsi"/>
          <w:b/>
          <w:bCs/>
          <w:color w:val="000000" w:themeColor="text1"/>
          <w:sz w:val="44"/>
          <w:szCs w:val="44"/>
          <w:u w:val="double"/>
        </w:rPr>
        <w:t>PROJECT REPORT</w:t>
      </w:r>
    </w:p>
    <w:p w14:paraId="2E3076F8" w14:textId="77777777" w:rsidR="00496B60" w:rsidRPr="00496B60" w:rsidRDefault="00496B60" w:rsidP="00496B60">
      <w:pPr>
        <w:spacing w:after="0"/>
        <w:rPr>
          <w:rFonts w:cstheme="minorHAnsi"/>
          <w:b/>
          <w:bCs/>
          <w:color w:val="000000" w:themeColor="text1"/>
          <w:u w:val="single"/>
        </w:rPr>
      </w:pPr>
    </w:p>
    <w:p w14:paraId="6AE1814C" w14:textId="77777777" w:rsidR="00496B60" w:rsidRDefault="003D105D" w:rsidP="00496B60">
      <w:pPr>
        <w:spacing w:after="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3A05EC">
        <w:rPr>
          <w:rFonts w:cstheme="minorHAnsi"/>
          <w:b/>
          <w:bCs/>
          <w:color w:val="000000" w:themeColor="text1"/>
          <w:sz w:val="36"/>
          <w:szCs w:val="36"/>
        </w:rPr>
        <w:t xml:space="preserve">Cellular Automata </w:t>
      </w:r>
      <w:r w:rsidR="00B52599" w:rsidRPr="003A05EC">
        <w:rPr>
          <w:rFonts w:cstheme="minorHAnsi"/>
          <w:b/>
          <w:bCs/>
          <w:color w:val="000000" w:themeColor="text1"/>
          <w:sz w:val="36"/>
          <w:szCs w:val="36"/>
        </w:rPr>
        <w:t>(CA)</w:t>
      </w:r>
      <w:r w:rsidR="00B52599" w:rsidRPr="003A05EC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3A05EC">
        <w:rPr>
          <w:rFonts w:cstheme="minorHAnsi"/>
          <w:b/>
          <w:bCs/>
          <w:color w:val="000000" w:themeColor="text1"/>
          <w:sz w:val="36"/>
          <w:szCs w:val="36"/>
        </w:rPr>
        <w:t>Model</w:t>
      </w:r>
    </w:p>
    <w:p w14:paraId="79C2A223" w14:textId="1BFA42CD" w:rsidR="007627B3" w:rsidRPr="00496B60" w:rsidRDefault="00496B60" w:rsidP="00496B60">
      <w:pPr>
        <w:spacing w:after="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28"/>
          <w:szCs w:val="28"/>
        </w:rPr>
        <w:t xml:space="preserve">By </w:t>
      </w:r>
      <w:r w:rsidRPr="00496B60">
        <w:rPr>
          <w:rFonts w:cstheme="minorHAnsi"/>
          <w:color w:val="000000" w:themeColor="text1"/>
          <w:sz w:val="28"/>
          <w:szCs w:val="28"/>
        </w:rPr>
        <w:t>Pavan Thanay M (IMT2020024)</w:t>
      </w:r>
    </w:p>
    <w:p w14:paraId="2BE26DDA" w14:textId="77777777" w:rsidR="00496B60" w:rsidRPr="00496B60" w:rsidRDefault="00496B60" w:rsidP="00496B60">
      <w:pPr>
        <w:spacing w:after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45B7A97" w14:textId="35ED8E66" w:rsidR="00B52599" w:rsidRPr="00C64212" w:rsidRDefault="003D105D" w:rsidP="009E4FAD">
      <w:p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</w:t>
      </w:r>
      <w:r w:rsidR="00B52599"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EFERENCE PAPER</w:t>
      </w:r>
    </w:p>
    <w:p w14:paraId="757CB059" w14:textId="77777777" w:rsidR="007627B3" w:rsidRPr="00496B60" w:rsidRDefault="007627B3" w:rsidP="009E4FAD">
      <w:pPr>
        <w:spacing w:after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8BF6F5D" w14:textId="2639CE86" w:rsidR="003D105D" w:rsidRPr="003A05EC" w:rsidRDefault="003D105D" w:rsidP="009E4FA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A05EC">
        <w:rPr>
          <w:rFonts w:cstheme="minorHAnsi"/>
          <w:color w:val="000000" w:themeColor="text1"/>
          <w:sz w:val="24"/>
          <w:szCs w:val="24"/>
        </w:rPr>
        <w:t>Monitoring and modelling spatio-temporal urban growth of Delhi using Cellular Automata and geoinformatics by Pratyush Tripathy, Amit Kumar. (Published in February, 2019)</w:t>
      </w:r>
    </w:p>
    <w:p w14:paraId="12B4BE74" w14:textId="6C905D5E" w:rsidR="009E4FAD" w:rsidRPr="003A05EC" w:rsidRDefault="009E4FAD" w:rsidP="009E4FA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FB0FD3D" w14:textId="77777777" w:rsidR="003A05EC" w:rsidRPr="00C64212" w:rsidRDefault="003A05EC" w:rsidP="003A05EC">
      <w:pPr>
        <w:spacing w:after="0" w:line="240" w:lineRule="auto"/>
        <w:textAlignment w:val="baseline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2FAAFE12" w14:textId="77777777" w:rsidR="003A05EC" w:rsidRPr="00496B60" w:rsidRDefault="003A05EC" w:rsidP="003A05EC">
      <w:pPr>
        <w:spacing w:after="0" w:line="240" w:lineRule="auto"/>
        <w:textAlignment w:val="baseline"/>
        <w:rPr>
          <w:rFonts w:cstheme="minorHAnsi"/>
          <w:color w:val="000000" w:themeColor="text1"/>
          <w:sz w:val="20"/>
          <w:szCs w:val="20"/>
        </w:rPr>
      </w:pPr>
    </w:p>
    <w:p w14:paraId="2AEEBEB9" w14:textId="14C6F4D3" w:rsidR="003A05EC" w:rsidRPr="003A05EC" w:rsidRDefault="003A05EC" w:rsidP="00496B60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3A05EC">
        <w:rPr>
          <w:rFonts w:cstheme="minorHAnsi"/>
          <w:color w:val="000000" w:themeColor="text1"/>
          <w:sz w:val="24"/>
          <w:szCs w:val="24"/>
        </w:rPr>
        <w:t>The CA model is one of the first models that was implemented to model urban growth.</w:t>
      </w:r>
    </w:p>
    <w:p w14:paraId="25CB7ADD" w14:textId="77777777" w:rsidR="003A05EC" w:rsidRPr="003A05EC" w:rsidRDefault="003A05EC" w:rsidP="003A05EC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283893B0" w14:textId="2F174640" w:rsidR="003A05EC" w:rsidRPr="00496B60" w:rsidRDefault="003A05EC" w:rsidP="00496B6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16"/>
          <w:szCs w:val="16"/>
          <w:lang w:eastAsia="en-IN"/>
        </w:rPr>
      </w:pPr>
      <w:r w:rsidRPr="003A05EC">
        <w:rPr>
          <w:rFonts w:cstheme="minorHAnsi"/>
          <w:color w:val="000000" w:themeColor="text1"/>
          <w:sz w:val="24"/>
          <w:szCs w:val="24"/>
        </w:rPr>
        <w:t>In the project, a plain vanilla CA model is used to model urban growth of Bangalore City from 2015 to 2022 and accuracy results for the same are obtained.</w:t>
      </w:r>
    </w:p>
    <w:p w14:paraId="22EE67F7" w14:textId="77777777" w:rsidR="003A05EC" w:rsidRPr="00496B60" w:rsidRDefault="003A05EC" w:rsidP="003A05E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10"/>
          <w:szCs w:val="10"/>
          <w:lang w:eastAsia="en-IN"/>
        </w:rPr>
      </w:pPr>
    </w:p>
    <w:p w14:paraId="795ADF1F" w14:textId="77777777" w:rsidR="007627B3" w:rsidRPr="00496B60" w:rsidRDefault="007627B3" w:rsidP="009E4FAD">
      <w:pPr>
        <w:spacing w:after="0"/>
        <w:rPr>
          <w:rFonts w:cstheme="minorHAnsi"/>
          <w:color w:val="000000" w:themeColor="text1"/>
          <w:sz w:val="16"/>
          <w:szCs w:val="16"/>
        </w:rPr>
      </w:pPr>
    </w:p>
    <w:p w14:paraId="761248B5" w14:textId="773969DF" w:rsidR="009E4FAD" w:rsidRPr="00C64212" w:rsidRDefault="00B52599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C64212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D</w:t>
      </w:r>
      <w:r w:rsidRPr="00C64212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ATA USED</w:t>
      </w:r>
    </w:p>
    <w:p w14:paraId="709F9A40" w14:textId="77777777" w:rsidR="007627B3" w:rsidRPr="00496B60" w:rsidRDefault="007627B3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</w:p>
    <w:p w14:paraId="52CEE51A" w14:textId="53862C6C" w:rsidR="007627B3" w:rsidRPr="003A05EC" w:rsidRDefault="00B52599" w:rsidP="00496B6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All the maps that are used have</w:t>
      </w: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14:paraId="5D631136" w14:textId="77777777" w:rsidR="007627B3" w:rsidRPr="003A05EC" w:rsidRDefault="007627B3" w:rsidP="007627B3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40E9215" w14:textId="1E1D5F4C" w:rsidR="007627B3" w:rsidRPr="00B52599" w:rsidRDefault="009E4FAD" w:rsidP="00496B6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Coordinate Reference </w:t>
      </w: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System:</w:t>
      </w: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EPSG:32643 - WGS 84 / UTM zone 43N</w:t>
      </w:r>
    </w:p>
    <w:p w14:paraId="5ADE61FC" w14:textId="5E6CDD18" w:rsidR="007627B3" w:rsidRPr="00B52599" w:rsidRDefault="009E4FAD" w:rsidP="00496B6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Origin: 751605, 1463685</w:t>
      </w:r>
    </w:p>
    <w:p w14:paraId="04A37BF9" w14:textId="0C20E0BB" w:rsidR="007627B3" w:rsidRPr="003A05EC" w:rsidRDefault="009E4FAD" w:rsidP="00496B6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(X: 2268 Y: 2068) dimension </w:t>
      </w:r>
    </w:p>
    <w:p w14:paraId="01771E12" w14:textId="27394B3D" w:rsidR="00B52599" w:rsidRPr="003A05EC" w:rsidRDefault="009E4FAD" w:rsidP="00496B6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30m × 30m spatial resolution</w:t>
      </w:r>
    </w:p>
    <w:p w14:paraId="5C082DB6" w14:textId="77777777" w:rsidR="007627B3" w:rsidRPr="003A05EC" w:rsidRDefault="007627B3" w:rsidP="007627B3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4420390" w14:textId="40CE950E" w:rsidR="00B52599" w:rsidRPr="003A05EC" w:rsidRDefault="00B52599" w:rsidP="00496B6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Land Use Land Cover Maps of Bangalore city from 2014 to 2022 have been considered for urban growth modelling.</w:t>
      </w:r>
    </w:p>
    <w:p w14:paraId="5039102E" w14:textId="77777777" w:rsidR="007627B3" w:rsidRPr="003A05EC" w:rsidRDefault="007627B3" w:rsidP="007627B3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8F8D51" w14:textId="327DC7CC" w:rsidR="00B52599" w:rsidRPr="003A05EC" w:rsidRDefault="00B52599" w:rsidP="00496B6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Following raster maps are the driving factors to the CA Model:</w:t>
      </w:r>
    </w:p>
    <w:p w14:paraId="1E66B11B" w14:textId="77777777" w:rsidR="007627B3" w:rsidRPr="003A05EC" w:rsidRDefault="007627B3" w:rsidP="007627B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6731220" w14:textId="6A0EBC9C" w:rsidR="007627B3" w:rsidRPr="003A05EC" w:rsidRDefault="009E4FAD" w:rsidP="00496B60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Population Density Maps from 2014 to 2021 (from Landscan)</w:t>
      </w:r>
    </w:p>
    <w:p w14:paraId="0BAC8192" w14:textId="382E833D" w:rsidR="009E4FAD" w:rsidRPr="003A05EC" w:rsidRDefault="009E4FAD" w:rsidP="00496B60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Range: 0 to 63,243 (roughly)</w:t>
      </w:r>
    </w:p>
    <w:p w14:paraId="6B6D7C6C" w14:textId="77777777" w:rsidR="007627B3" w:rsidRPr="003A05EC" w:rsidRDefault="007627B3" w:rsidP="007627B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D51D823" w14:textId="15A4D475" w:rsidR="007627B3" w:rsidRPr="003A05EC" w:rsidRDefault="009E4FAD" w:rsidP="00496B6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Water Maps from 2014 to </w:t>
      </w:r>
      <w:r w:rsidR="00BF778B"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2022:</w:t>
      </w: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65DEC43" w14:textId="77777777" w:rsidR="009E4FAD" w:rsidRPr="003A05EC" w:rsidRDefault="009E4FAD" w:rsidP="00496B60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Binary map of water bodies obtained from LULC maps.</w:t>
      </w:r>
    </w:p>
    <w:p w14:paraId="1CC7CBEB" w14:textId="624B1D17" w:rsidR="009E4FAD" w:rsidRPr="003A05EC" w:rsidRDefault="009E4FAD" w:rsidP="00496B60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Range: {0, 1}</w:t>
      </w:r>
    </w:p>
    <w:p w14:paraId="76A7DDE2" w14:textId="77777777" w:rsidR="007627B3" w:rsidRPr="003A05EC" w:rsidRDefault="007627B3" w:rsidP="007627B3">
      <w:pPr>
        <w:pStyle w:val="ListParagraph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668D1D9" w14:textId="5C5F5212" w:rsidR="007627B3" w:rsidRPr="003A05EC" w:rsidRDefault="009E4FAD" w:rsidP="00496B60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Slope Map (from DEM)</w:t>
      </w:r>
    </w:p>
    <w:p w14:paraId="3B140705" w14:textId="20F821D6" w:rsidR="009E4FAD" w:rsidRPr="003A05EC" w:rsidRDefault="009E4FAD" w:rsidP="00496B60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Range: 0° to 48°</w:t>
      </w:r>
    </w:p>
    <w:p w14:paraId="6A36D699" w14:textId="77777777" w:rsidR="007627B3" w:rsidRPr="00B52599" w:rsidRDefault="007627B3" w:rsidP="007627B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F10E381" w14:textId="14EC6571" w:rsidR="007627B3" w:rsidRPr="003A05EC" w:rsidRDefault="009E4FAD" w:rsidP="00496B60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Road Proximity </w:t>
      </w:r>
      <w:r w:rsidR="00BF778B"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Map:</w:t>
      </w: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13E5B2F" w14:textId="77777777" w:rsidR="009E4FAD" w:rsidRPr="003A05EC" w:rsidRDefault="009E4FAD" w:rsidP="00496B60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Assuming primary roads remain the same from 2014 to 2022, proximity map is created from road map obtained from GeoFabrik.</w:t>
      </w:r>
    </w:p>
    <w:p w14:paraId="508B1B15" w14:textId="69D44E9C" w:rsidR="007627B3" w:rsidRPr="00496B60" w:rsidRDefault="009E4FAD" w:rsidP="00496B60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Range: 0m to 500m</w:t>
      </w:r>
    </w:p>
    <w:p w14:paraId="15A1010D" w14:textId="039ADBCF" w:rsidR="009E4FAD" w:rsidRPr="00C64212" w:rsidRDefault="00B52599" w:rsidP="009E4FAD">
      <w:p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HOW DOES CA MODEL WORK</w:t>
      </w:r>
      <w:r w:rsidR="009E4FAD"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?</w:t>
      </w:r>
    </w:p>
    <w:p w14:paraId="66EF4C3E" w14:textId="77777777" w:rsidR="007627B3" w:rsidRPr="00496B60" w:rsidRDefault="007627B3" w:rsidP="009E4FAD">
      <w:pPr>
        <w:spacing w:after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93A628B" w14:textId="1CB88767" w:rsidR="009E4FAD" w:rsidRPr="003A05EC" w:rsidRDefault="00B52599" w:rsidP="00496B6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LULC map of year ‘y’ is considered to predict LULC map of year ‘(y + 1)’.</w:t>
      </w:r>
    </w:p>
    <w:p w14:paraId="6E2F4A10" w14:textId="77777777" w:rsidR="007627B3" w:rsidRPr="003A05EC" w:rsidRDefault="007627B3" w:rsidP="007627B3">
      <w:pPr>
        <w:pStyle w:val="ListParagraph"/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0C56280" w14:textId="5C4975D5" w:rsidR="009E4FAD" w:rsidRPr="003A05EC" w:rsidRDefault="00B52599" w:rsidP="00496B6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kernel (filter) scans the LULC map image of year ‘y’ as shown.</w:t>
      </w:r>
    </w:p>
    <w:p w14:paraId="0336AE54" w14:textId="11937D3A" w:rsidR="009E4FAD" w:rsidRPr="003A05EC" w:rsidRDefault="009E4FAD" w:rsidP="009E4FAD">
      <w:pPr>
        <w:spacing w:after="0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noProof/>
          <w:color w:val="000000" w:themeColor="text1"/>
        </w:rPr>
        <w:drawing>
          <wp:inline distT="0" distB="0" distL="0" distR="0" wp14:anchorId="4FFF0633" wp14:editId="2829AC64">
            <wp:extent cx="2527539" cy="36826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55" cy="390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CE56" w14:textId="3023841D" w:rsidR="00B52599" w:rsidRPr="00B52599" w:rsidRDefault="00B52599" w:rsidP="009E4F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3072F94" w14:textId="3AD308F5" w:rsidR="00B52599" w:rsidRPr="003A05EC" w:rsidRDefault="00B52599" w:rsidP="00496B6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According to CA Model, a location (pixel) become urban if certain conditions, as prescribed by the kernel, are met.</w:t>
      </w:r>
    </w:p>
    <w:p w14:paraId="4D0B7CBD" w14:textId="77777777" w:rsidR="007627B3" w:rsidRPr="00B52599" w:rsidRDefault="007627B3" w:rsidP="007627B3">
      <w:p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446019B" w14:textId="4CBD416A" w:rsidR="007627B3" w:rsidRPr="003A05EC" w:rsidRDefault="00B52599" w:rsidP="00496B6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Hence, LULC map of year ‘(y + 1)’ is predicted by changing pixel values of LULC map of year ‘y’.</w:t>
      </w:r>
    </w:p>
    <w:p w14:paraId="138368C9" w14:textId="77777777" w:rsidR="007627B3" w:rsidRPr="003A05EC" w:rsidRDefault="007627B3" w:rsidP="007627B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A04CC82" w14:textId="5ECF5D95" w:rsidR="00B52599" w:rsidRPr="003A05EC" w:rsidRDefault="00B52599" w:rsidP="00496B6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predicted LULC map is compared with the original LULC map of year ‘(y + 1)’ for accuracy assessment.</w:t>
      </w:r>
    </w:p>
    <w:p w14:paraId="39C29DE2" w14:textId="054CE1A2" w:rsidR="00B52599" w:rsidRPr="003A05EC" w:rsidRDefault="00B52599" w:rsidP="009E4FAD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7178C809" w14:textId="77777777" w:rsidR="007627B3" w:rsidRPr="003A05EC" w:rsidRDefault="007627B3" w:rsidP="009E4FAD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A1BA2E9" w14:textId="419EE659" w:rsidR="00B52599" w:rsidRPr="00C64212" w:rsidRDefault="00B52599" w:rsidP="009E4FAD">
      <w:pPr>
        <w:spacing w:after="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6421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MORE DETAILS</w:t>
      </w:r>
    </w:p>
    <w:p w14:paraId="07F7BF86" w14:textId="77777777" w:rsidR="007627B3" w:rsidRPr="00496B60" w:rsidRDefault="007627B3" w:rsidP="009E4FAD">
      <w:pPr>
        <w:spacing w:after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4099A08B" w14:textId="1437F61D" w:rsidR="00B52599" w:rsidRPr="003A05EC" w:rsidRDefault="00B52599" w:rsidP="00496B6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considered LULC maps have 5 types of pixel values (feature classes):</w:t>
      </w:r>
    </w:p>
    <w:p w14:paraId="41E96969" w14:textId="77777777" w:rsidR="007627B3" w:rsidRPr="003A05EC" w:rsidRDefault="007627B3" w:rsidP="007627B3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0B0D2AE" w14:textId="77777777" w:rsidR="00B52599" w:rsidRPr="00B52599" w:rsidRDefault="00B52599" w:rsidP="00496B6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 – Built-Up (Urban) area. It includes residential and commercial areas, etc.</w:t>
      </w:r>
    </w:p>
    <w:p w14:paraId="7A8F4369" w14:textId="77777777" w:rsidR="00B52599" w:rsidRPr="00B52599" w:rsidRDefault="00B52599" w:rsidP="00496B6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 – Vegetation. It includes all green areas such as parks, protected forests, etc.</w:t>
      </w:r>
    </w:p>
    <w:p w14:paraId="651A0A0E" w14:textId="77777777" w:rsidR="00B52599" w:rsidRPr="00B52599" w:rsidRDefault="00B52599" w:rsidP="00496B6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 – Water. It includes all water bodies like lakes, reservoirs, etc.</w:t>
      </w:r>
    </w:p>
    <w:p w14:paraId="33009F1E" w14:textId="77777777" w:rsidR="00B52599" w:rsidRPr="00B52599" w:rsidRDefault="00B52599" w:rsidP="00496B6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4 – Other. It includes all other features that do not fall in the above categories.</w:t>
      </w:r>
    </w:p>
    <w:p w14:paraId="2277B517" w14:textId="2DE79D51" w:rsidR="00B52599" w:rsidRPr="003A05EC" w:rsidRDefault="00B52599" w:rsidP="00496B6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 – Used for pixels whose feature class is unknown.</w:t>
      </w:r>
    </w:p>
    <w:p w14:paraId="298AF2C9" w14:textId="7E86CB73" w:rsidR="007627B3" w:rsidRPr="00B52599" w:rsidRDefault="007627B3" w:rsidP="007627B3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119904B" w14:textId="5D902B05" w:rsidR="007627B3" w:rsidRPr="003A05EC" w:rsidRDefault="00B52599" w:rsidP="00496B6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assumed that once a location becomes urban, it will continue to remain urban.</w:t>
      </w:r>
    </w:p>
    <w:p w14:paraId="7ECF3A86" w14:textId="77777777" w:rsidR="00BF778B" w:rsidRPr="003A05EC" w:rsidRDefault="00BF778B" w:rsidP="00BF778B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EDF53BA" w14:textId="4F8DA86D" w:rsidR="007627B3" w:rsidRPr="003A05EC" w:rsidRDefault="00B52599" w:rsidP="00496B6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model allows a location to become urban if the following conditions are met:</w:t>
      </w:r>
    </w:p>
    <w:p w14:paraId="08833A83" w14:textId="77777777" w:rsidR="00BF778B" w:rsidRPr="003A05EC" w:rsidRDefault="00BF778B" w:rsidP="00BF778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E093866" w14:textId="139714AB" w:rsidR="00B52599" w:rsidRPr="003A05EC" w:rsidRDefault="00B52599" w:rsidP="00496B6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location is initially not urban and not a water body.</w:t>
      </w:r>
    </w:p>
    <w:p w14:paraId="2600AA08" w14:textId="77777777" w:rsidR="007627B3" w:rsidRPr="00B52599" w:rsidRDefault="007627B3" w:rsidP="007627B3">
      <w:p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2C56565" w14:textId="0287BA72" w:rsidR="00B52599" w:rsidRPr="003A05EC" w:rsidRDefault="00B52599" w:rsidP="00496B6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Number of urban locations in the kernel, placed at the current location, is more than some threshold (built-up threshold).</w:t>
      </w:r>
    </w:p>
    <w:p w14:paraId="2C084A1B" w14:textId="77777777" w:rsidR="007627B3" w:rsidRPr="00B52599" w:rsidRDefault="007627B3" w:rsidP="007627B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9CF79FA" w14:textId="5DCACBEB" w:rsidR="00B52599" w:rsidRPr="003A05EC" w:rsidRDefault="00B52599" w:rsidP="00496B6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pixel value of the location in at least one of the driving factors maps meets the threshold corresponding to the driving factor.</w:t>
      </w:r>
    </w:p>
    <w:p w14:paraId="285191A6" w14:textId="47469E03" w:rsidR="007627B3" w:rsidRPr="003A05EC" w:rsidRDefault="007627B3" w:rsidP="009E4FA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B28B3D3" w14:textId="77777777" w:rsidR="007627B3" w:rsidRPr="003A05EC" w:rsidRDefault="007627B3" w:rsidP="009E4FA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09090F19" w14:textId="6AA9CB7A" w:rsidR="00B52599" w:rsidRPr="00C64212" w:rsidRDefault="00B52599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C64212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MODEL PARAMETERS AND THRESHOLDS</w:t>
      </w:r>
    </w:p>
    <w:p w14:paraId="0EF00308" w14:textId="77777777" w:rsidR="007627B3" w:rsidRPr="00496B60" w:rsidRDefault="007627B3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</w:p>
    <w:p w14:paraId="16360D4A" w14:textId="65C1B694" w:rsidR="00B52599" w:rsidRPr="003A05EC" w:rsidRDefault="00B52599" w:rsidP="00BF77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Following </w:t>
      </w:r>
      <w:r w:rsidR="007627B3"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was</w:t>
      </w: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obtained after trial and error for best possible spatial accuracy:</w:t>
      </w:r>
    </w:p>
    <w:p w14:paraId="75F8F3B1" w14:textId="77777777" w:rsidR="007627B3" w:rsidRPr="00B52599" w:rsidRDefault="007627B3" w:rsidP="007627B3">
      <w:pPr>
        <w:spacing w:after="0" w:line="240" w:lineRule="auto"/>
        <w:ind w:left="23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4CFDD17" w14:textId="23C70290" w:rsidR="00B52599" w:rsidRPr="003A05EC" w:rsidRDefault="00B52599" w:rsidP="00496B6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Kernel size = 3</w:t>
      </w:r>
    </w:p>
    <w:p w14:paraId="24BA0D08" w14:textId="77777777" w:rsidR="007627B3" w:rsidRPr="00B52599" w:rsidRDefault="007627B3" w:rsidP="007627B3">
      <w:p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6950B29" w14:textId="1092A0A9" w:rsidR="00B52599" w:rsidRPr="003A05EC" w:rsidRDefault="00B52599" w:rsidP="00496B6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Built-up Threshold = 4</w:t>
      </w:r>
    </w:p>
    <w:p w14:paraId="642A2213" w14:textId="77777777" w:rsidR="007627B3" w:rsidRPr="00B52599" w:rsidRDefault="007627B3" w:rsidP="007627B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EDA0E71" w14:textId="2D9DE570" w:rsidR="00B52599" w:rsidRPr="003A05EC" w:rsidRDefault="00B52599" w:rsidP="00496B6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Thresholds for driving factors:</w:t>
      </w:r>
    </w:p>
    <w:p w14:paraId="1D77C7C4" w14:textId="77777777" w:rsidR="007627B3" w:rsidRPr="00B52599" w:rsidRDefault="007627B3" w:rsidP="007627B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E68EA48" w14:textId="77777777" w:rsidR="00B52599" w:rsidRPr="00B52599" w:rsidRDefault="00B52599" w:rsidP="00496B6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Population Density Maps:  &gt;= 30,000</w:t>
      </w:r>
    </w:p>
    <w:p w14:paraId="39F08ED8" w14:textId="77777777" w:rsidR="00B52599" w:rsidRPr="00B52599" w:rsidRDefault="00B52599" w:rsidP="00496B6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Water Maps: &lt;= 0.5</w:t>
      </w:r>
    </w:p>
    <w:p w14:paraId="5CA4C145" w14:textId="77777777" w:rsidR="00B52599" w:rsidRPr="00B52599" w:rsidRDefault="00B52599" w:rsidP="00496B6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Slope Map: &lt;= 15°</w:t>
      </w:r>
    </w:p>
    <w:p w14:paraId="379754E0" w14:textId="77777777" w:rsidR="00B52599" w:rsidRPr="00B52599" w:rsidRDefault="00B52599" w:rsidP="00496B6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Road Proximity Map: &lt;= 50m</w:t>
      </w:r>
    </w:p>
    <w:p w14:paraId="7F796E94" w14:textId="7B40499A" w:rsidR="00B52599" w:rsidRPr="003A05EC" w:rsidRDefault="00B52599" w:rsidP="009E4FA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6C54897C" w14:textId="0641738D" w:rsidR="00B52599" w:rsidRPr="00C64212" w:rsidRDefault="00B52599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C64212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RESULTS</w:t>
      </w:r>
    </w:p>
    <w:p w14:paraId="17FA9363" w14:textId="02F4F90D" w:rsidR="00BF778B" w:rsidRPr="00496B60" w:rsidRDefault="00BF778B" w:rsidP="009E4FA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</w:p>
    <w:p w14:paraId="12D0E2C7" w14:textId="266C736D" w:rsidR="00BF778B" w:rsidRPr="003A05EC" w:rsidRDefault="00BF778B" w:rsidP="003A05EC">
      <w:pPr>
        <w:pStyle w:val="NormalWeb"/>
        <w:spacing w:before="0" w:beforeAutospacing="0" w:after="0" w:afterAutospacing="0"/>
        <w:ind w:left="230"/>
        <w:jc w:val="both"/>
        <w:rPr>
          <w:rFonts w:asciiTheme="minorHAnsi" w:hAnsiTheme="minorHAnsi" w:cstheme="minorHAnsi"/>
          <w:color w:val="000000" w:themeColor="text1"/>
        </w:rPr>
      </w:pPr>
      <w:r w:rsidRPr="003A05EC">
        <w:rPr>
          <w:rFonts w:asciiTheme="minorHAnsi" w:hAnsiTheme="minorHAnsi" w:cstheme="minorHAnsi"/>
          <w:color w:val="000000" w:themeColor="text1"/>
        </w:rPr>
        <w:t>Results obtained when CA model is implemented with specified parameters and thresholds</w:t>
      </w:r>
    </w:p>
    <w:p w14:paraId="1C163133" w14:textId="77777777" w:rsidR="00BF778B" w:rsidRPr="003A05EC" w:rsidRDefault="00BF778B" w:rsidP="00BF778B">
      <w:pPr>
        <w:pStyle w:val="NormalWeb"/>
        <w:spacing w:before="0" w:beforeAutospacing="0" w:after="0" w:afterAutospacing="0"/>
        <w:ind w:left="230"/>
        <w:jc w:val="center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jc w:val="center"/>
        <w:shd w:val="clear" w:color="auto" w:fill="EBEE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817"/>
        <w:gridCol w:w="2640"/>
        <w:gridCol w:w="2910"/>
        <w:gridCol w:w="1822"/>
      </w:tblGrid>
      <w:tr w:rsidR="003A05EC" w:rsidRPr="003A05EC" w14:paraId="4E940834" w14:textId="77777777" w:rsidTr="007627B3">
        <w:trPr>
          <w:trHeight w:val="81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5823D620" w14:textId="77777777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71DA63EA" w14:textId="77777777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Y + 1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6237F421" w14:textId="11896648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Actual Change in Urban area (in </w:t>
            </w:r>
            <w:r w:rsidR="00B554C9"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sq.</w:t>
            </w: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km)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179D7407" w14:textId="1637C6BB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Predicted Change in Urban area (in </w:t>
            </w:r>
            <w:r w:rsidR="00B554C9"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sq.</w:t>
            </w: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km)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0E78E273" w14:textId="1342F30C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Spatial </w:t>
            </w:r>
            <w:r w:rsidR="007627B3" w:rsidRPr="003A05E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Accuracy (</w:t>
            </w: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%)</w:t>
            </w:r>
          </w:p>
        </w:tc>
      </w:tr>
      <w:tr w:rsidR="003A05EC" w:rsidRPr="003A05EC" w14:paraId="5BFC1136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0B9619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78A0370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B2CF09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BD3CBF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D0593C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57.169156</w:t>
            </w:r>
          </w:p>
        </w:tc>
      </w:tr>
      <w:tr w:rsidR="003A05EC" w:rsidRPr="003A05EC" w14:paraId="2C086BD6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2D2A38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FB98BE0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37C8A5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194B97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75BE0A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55.460526</w:t>
            </w:r>
          </w:p>
        </w:tc>
      </w:tr>
      <w:tr w:rsidR="003A05EC" w:rsidRPr="003A05EC" w14:paraId="2073848D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1DC14A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28D17D6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9D8526C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ADEBF5E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E605397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58.645264</w:t>
            </w:r>
          </w:p>
        </w:tc>
      </w:tr>
      <w:tr w:rsidR="003A05EC" w:rsidRPr="003A05EC" w14:paraId="1D70768C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B0CDA6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CE042A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829533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1A2AC7A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BFB430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54.841767</w:t>
            </w:r>
          </w:p>
        </w:tc>
      </w:tr>
      <w:tr w:rsidR="003A05EC" w:rsidRPr="003A05EC" w14:paraId="73900590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809BEB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EA7604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BBE43CF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312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3C1333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B94B71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61.308477</w:t>
            </w:r>
          </w:p>
        </w:tc>
      </w:tr>
      <w:tr w:rsidR="003A05EC" w:rsidRPr="003A05EC" w14:paraId="672AF04B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7326B82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53405A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D8ACB6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66B129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A75314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64.824606</w:t>
            </w:r>
          </w:p>
        </w:tc>
      </w:tr>
      <w:tr w:rsidR="003A05EC" w:rsidRPr="003A05EC" w14:paraId="55A13AB2" w14:textId="77777777" w:rsidTr="007627B3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5158C4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C74A25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74397F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9CE7EA0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1DC9087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53.987868</w:t>
            </w:r>
          </w:p>
        </w:tc>
      </w:tr>
      <w:tr w:rsidR="003A05EC" w:rsidRPr="003A05EC" w14:paraId="7D54EB5A" w14:textId="77777777" w:rsidTr="007627B3">
        <w:trPr>
          <w:trHeight w:val="255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555AC96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2CABBE0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9661DC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34F477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932DE7" w14:textId="77777777" w:rsidR="00B52599" w:rsidRPr="00B52599" w:rsidRDefault="00B52599" w:rsidP="007627B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64.034441</w:t>
            </w:r>
          </w:p>
        </w:tc>
      </w:tr>
    </w:tbl>
    <w:p w14:paraId="5AC1C600" w14:textId="77777777" w:rsidR="00496B60" w:rsidRDefault="00496B60" w:rsidP="00BF778B">
      <w:pPr>
        <w:spacing w:after="0" w:line="240" w:lineRule="auto"/>
        <w:ind w:left="230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D04439" w14:textId="77777777" w:rsidR="00496B60" w:rsidRDefault="00496B60" w:rsidP="00BF778B">
      <w:pPr>
        <w:spacing w:after="0" w:line="240" w:lineRule="auto"/>
        <w:ind w:left="230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CD734C0" w14:textId="77777777" w:rsidR="00496B60" w:rsidRDefault="00496B60" w:rsidP="00BF778B">
      <w:pPr>
        <w:spacing w:after="0" w:line="240" w:lineRule="auto"/>
        <w:ind w:left="230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4697AF0" w14:textId="47D621B0" w:rsidR="007627B3" w:rsidRPr="003A05EC" w:rsidRDefault="00BF778B" w:rsidP="00BF778B">
      <w:pPr>
        <w:spacing w:after="0" w:line="240" w:lineRule="auto"/>
        <w:ind w:left="230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Results obtained when predicted LULC maps are compared with test data</w:t>
      </w:r>
    </w:p>
    <w:p w14:paraId="75B1A8E4" w14:textId="363F1F43" w:rsidR="00B52599" w:rsidRPr="00B52599" w:rsidRDefault="00B52599" w:rsidP="009E4FAD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tbl>
      <w:tblPr>
        <w:tblW w:w="0" w:type="auto"/>
        <w:jc w:val="center"/>
        <w:shd w:val="clear" w:color="auto" w:fill="EBEE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382"/>
        <w:gridCol w:w="2977"/>
      </w:tblGrid>
      <w:tr w:rsidR="003A05EC" w:rsidRPr="003A05EC" w14:paraId="28CF642A" w14:textId="77777777" w:rsidTr="00836DF8">
        <w:trPr>
          <w:trHeight w:val="368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2518B85" w14:textId="51E7718D" w:rsidR="00B52599" w:rsidRPr="00B52599" w:rsidRDefault="00836DF8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Y</w:t>
            </w:r>
            <w:r w:rsidR="00B52599"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ear</w:t>
            </w:r>
          </w:p>
        </w:tc>
        <w:tc>
          <w:tcPr>
            <w:tcW w:w="2382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D625B29" w14:textId="77777777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Overall Accuracy (%)</w:t>
            </w:r>
          </w:p>
        </w:tc>
        <w:tc>
          <w:tcPr>
            <w:tcW w:w="2977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7890C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15018AC" w14:textId="77777777" w:rsidR="00B52599" w:rsidRPr="00B52599" w:rsidRDefault="00B52599" w:rsidP="00836DF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Kappa hat classification</w:t>
            </w:r>
          </w:p>
        </w:tc>
      </w:tr>
      <w:tr w:rsidR="003A05EC" w:rsidRPr="003A05EC" w14:paraId="74960BF6" w14:textId="77777777" w:rsidTr="00836DF8">
        <w:trPr>
          <w:trHeight w:val="222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7426577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2382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93B67A4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79.6994</w:t>
            </w:r>
          </w:p>
        </w:tc>
        <w:tc>
          <w:tcPr>
            <w:tcW w:w="2977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703B726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0.6983</w:t>
            </w:r>
          </w:p>
        </w:tc>
      </w:tr>
      <w:tr w:rsidR="003A05EC" w:rsidRPr="003A05EC" w14:paraId="0F7E437F" w14:textId="77777777" w:rsidTr="00836DF8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B55D06F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2382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629F3BC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95.8667</w:t>
            </w:r>
          </w:p>
        </w:tc>
        <w:tc>
          <w:tcPr>
            <w:tcW w:w="2977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2786316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0.9374</w:t>
            </w:r>
          </w:p>
        </w:tc>
      </w:tr>
      <w:tr w:rsidR="003A05EC" w:rsidRPr="003A05EC" w14:paraId="6087B5F0" w14:textId="77777777" w:rsidTr="00836DF8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9F02664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2382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CFDC092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75.1272</w:t>
            </w:r>
          </w:p>
        </w:tc>
        <w:tc>
          <w:tcPr>
            <w:tcW w:w="2977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D5DBE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DD1466D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0.5687</w:t>
            </w:r>
          </w:p>
        </w:tc>
      </w:tr>
      <w:tr w:rsidR="003A05EC" w:rsidRPr="003A05EC" w14:paraId="636FA133" w14:textId="77777777" w:rsidTr="00836DF8">
        <w:trPr>
          <w:trHeight w:val="240"/>
          <w:jc w:val="center"/>
        </w:trPr>
        <w:tc>
          <w:tcPr>
            <w:tcW w:w="0" w:type="auto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15B9938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2382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211DBCD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85.5824</w:t>
            </w:r>
          </w:p>
        </w:tc>
        <w:tc>
          <w:tcPr>
            <w:tcW w:w="2977" w:type="dxa"/>
            <w:tcBorders>
              <w:top w:val="single" w:sz="8" w:space="0" w:color="1B212C"/>
              <w:left w:val="single" w:sz="8" w:space="0" w:color="1B212C"/>
              <w:bottom w:val="single" w:sz="8" w:space="0" w:color="1B212C"/>
              <w:right w:val="single" w:sz="8" w:space="0" w:color="1B212C"/>
            </w:tcBorders>
            <w:shd w:val="clear" w:color="auto" w:fill="EBEEF6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22A14E0" w14:textId="77777777" w:rsidR="00B52599" w:rsidRPr="00B52599" w:rsidRDefault="00B52599" w:rsidP="009E4FAD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B5259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0.7877</w:t>
            </w:r>
          </w:p>
        </w:tc>
      </w:tr>
    </w:tbl>
    <w:p w14:paraId="4C881AD6" w14:textId="77777777" w:rsidR="00B52599" w:rsidRPr="00B52599" w:rsidRDefault="00B52599" w:rsidP="009E4F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C071A02" w14:textId="377DBEC8" w:rsidR="00B52599" w:rsidRPr="003A05EC" w:rsidRDefault="00B52599" w:rsidP="009E4FAD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FF7ABAB" w14:textId="77777777" w:rsidR="00BF778B" w:rsidRPr="003A05EC" w:rsidRDefault="00BF778B" w:rsidP="009E4FA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08402D3" w14:textId="75D8F913" w:rsidR="00B52599" w:rsidRPr="00C64212" w:rsidRDefault="00BF778B" w:rsidP="00C642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C6421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ASSESSMENT</w:t>
      </w:r>
    </w:p>
    <w:p w14:paraId="1FD842F1" w14:textId="77777777" w:rsidR="00836DF8" w:rsidRPr="00836DF8" w:rsidRDefault="00836DF8" w:rsidP="009E4FA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19371D5E" w14:textId="5960E90A" w:rsidR="00836DF8" w:rsidRPr="00836DF8" w:rsidRDefault="00836DF8" w:rsidP="00836DF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 w:themeColor="text1"/>
        </w:rPr>
      </w:pPr>
      <w:r w:rsidRPr="00836DF8">
        <w:rPr>
          <w:rFonts w:asciiTheme="minorHAnsi" w:hAnsiTheme="minorHAnsi" w:cstheme="minorHAnsi"/>
          <w:color w:val="000000" w:themeColor="text1"/>
        </w:rPr>
        <w:t>Actual vs Predicted Change in Urban Area for different years</w:t>
      </w:r>
    </w:p>
    <w:p w14:paraId="3222AC67" w14:textId="77777777" w:rsidR="008F471E" w:rsidRPr="003A05EC" w:rsidRDefault="008F471E" w:rsidP="009E4FA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16A3AFBD" w14:textId="468CE6E6" w:rsidR="00B52599" w:rsidRDefault="00836DF8" w:rsidP="008F471E">
      <w:pPr>
        <w:tabs>
          <w:tab w:val="left" w:pos="3247"/>
        </w:tabs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  <w:r w:rsidRPr="00836DF8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19C500DB" wp14:editId="04EADBFA">
            <wp:extent cx="5598543" cy="276019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724" cy="27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362B" w14:textId="77777777" w:rsidR="00836DF8" w:rsidRDefault="00836DF8" w:rsidP="008F471E">
      <w:pPr>
        <w:tabs>
          <w:tab w:val="left" w:pos="3247"/>
        </w:tabs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</w:p>
    <w:p w14:paraId="6125092A" w14:textId="5ACDC8B9" w:rsidR="00836DF8" w:rsidRDefault="008F471E" w:rsidP="00836DF8">
      <w:pPr>
        <w:pStyle w:val="ListParagraph"/>
        <w:numPr>
          <w:ilvl w:val="0"/>
          <w:numId w:val="13"/>
        </w:numPr>
        <w:tabs>
          <w:tab w:val="left" w:pos="3247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836DF8">
        <w:rPr>
          <w:rFonts w:cstheme="minorHAnsi"/>
          <w:color w:val="000000" w:themeColor="text1"/>
          <w:sz w:val="24"/>
          <w:szCs w:val="24"/>
        </w:rPr>
        <w:t xml:space="preserve">Note that change in urban area means the sum of areas that were urban </w:t>
      </w:r>
      <w:r w:rsidR="00836DF8" w:rsidRPr="00836DF8">
        <w:rPr>
          <w:rFonts w:cstheme="minorHAnsi"/>
          <w:color w:val="000000" w:themeColor="text1"/>
          <w:sz w:val="24"/>
          <w:szCs w:val="24"/>
        </w:rPr>
        <w:t xml:space="preserve">in one year </w:t>
      </w:r>
      <w:r w:rsidRPr="00836DF8">
        <w:rPr>
          <w:rFonts w:cstheme="minorHAnsi"/>
          <w:color w:val="000000" w:themeColor="text1"/>
          <w:sz w:val="24"/>
          <w:szCs w:val="24"/>
        </w:rPr>
        <w:t xml:space="preserve">and became </w:t>
      </w:r>
      <w:r w:rsidR="00836DF8" w:rsidRPr="00836DF8">
        <w:rPr>
          <w:rFonts w:cstheme="minorHAnsi"/>
          <w:color w:val="000000" w:themeColor="text1"/>
          <w:sz w:val="24"/>
          <w:szCs w:val="24"/>
        </w:rPr>
        <w:t>non – urban in the next year and vice-versa.</w:t>
      </w:r>
    </w:p>
    <w:p w14:paraId="239A4889" w14:textId="77777777" w:rsidR="00C64212" w:rsidRDefault="00C64212" w:rsidP="00C64212">
      <w:pPr>
        <w:pStyle w:val="ListParagraph"/>
        <w:tabs>
          <w:tab w:val="left" w:pos="3247"/>
        </w:tabs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26C32CFF" w14:textId="76F05AA0" w:rsidR="00C64212" w:rsidRDefault="00836DF8" w:rsidP="00836DF8">
      <w:pPr>
        <w:pStyle w:val="ListParagraph"/>
        <w:numPr>
          <w:ilvl w:val="0"/>
          <w:numId w:val="13"/>
        </w:numPr>
        <w:tabs>
          <w:tab w:val="left" w:pos="3247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 can see that there is almost a difference of 200 </w:t>
      </w:r>
      <w:r w:rsidR="00B554C9">
        <w:rPr>
          <w:rFonts w:cstheme="minorHAnsi"/>
          <w:color w:val="000000" w:themeColor="text1"/>
          <w:sz w:val="24"/>
          <w:szCs w:val="24"/>
        </w:rPr>
        <w:t>sq.</w:t>
      </w:r>
      <w:r>
        <w:rPr>
          <w:rFonts w:cstheme="minorHAnsi"/>
          <w:color w:val="000000" w:themeColor="text1"/>
          <w:sz w:val="24"/>
          <w:szCs w:val="24"/>
        </w:rPr>
        <w:t xml:space="preserve"> km between actual change in urban are and predicted change in urban area. This is because we have assumed that once an area becomes urban, it will continue to remain urban.</w:t>
      </w:r>
    </w:p>
    <w:p w14:paraId="7AFB399D" w14:textId="77777777" w:rsidR="00C64212" w:rsidRPr="00C64212" w:rsidRDefault="00C64212" w:rsidP="00C64212">
      <w:pPr>
        <w:tabs>
          <w:tab w:val="left" w:pos="3247"/>
        </w:tabs>
        <w:spacing w:after="0"/>
        <w:rPr>
          <w:rFonts w:cstheme="minorHAnsi"/>
          <w:color w:val="000000" w:themeColor="text1"/>
          <w:sz w:val="24"/>
          <w:szCs w:val="24"/>
        </w:rPr>
      </w:pPr>
    </w:p>
    <w:p w14:paraId="534A2A55" w14:textId="39D53922" w:rsidR="00C64212" w:rsidRDefault="00C64212" w:rsidP="00C64212">
      <w:pPr>
        <w:pStyle w:val="ListParagraph"/>
        <w:numPr>
          <w:ilvl w:val="0"/>
          <w:numId w:val="13"/>
        </w:numPr>
        <w:tabs>
          <w:tab w:val="left" w:pos="3247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Hence</w:t>
      </w:r>
      <w:r w:rsidR="00836DF8">
        <w:rPr>
          <w:rFonts w:cstheme="minorHAnsi"/>
          <w:color w:val="000000" w:themeColor="text1"/>
          <w:sz w:val="24"/>
          <w:szCs w:val="24"/>
        </w:rPr>
        <w:t>, for predicted change in urban area, only those areas are considered</w:t>
      </w:r>
      <w:r>
        <w:rPr>
          <w:rFonts w:cstheme="minorHAnsi"/>
          <w:color w:val="000000" w:themeColor="text1"/>
          <w:sz w:val="24"/>
          <w:szCs w:val="24"/>
        </w:rPr>
        <w:t xml:space="preserve"> that have changed from being non-urban to urban. But according to the obtained LULC maps, lot of area changed from being urban to non-urban.</w:t>
      </w:r>
    </w:p>
    <w:p w14:paraId="71C239F9" w14:textId="77777777" w:rsidR="00C64212" w:rsidRPr="00C64212" w:rsidRDefault="00C64212" w:rsidP="00C6421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3FD9176" w14:textId="77777777" w:rsidR="00C64212" w:rsidRPr="00C64212" w:rsidRDefault="00C64212" w:rsidP="00C64212">
      <w:pPr>
        <w:tabs>
          <w:tab w:val="left" w:pos="3247"/>
        </w:tabs>
        <w:spacing w:after="0"/>
        <w:rPr>
          <w:rFonts w:cstheme="minorHAnsi"/>
          <w:color w:val="000000" w:themeColor="text1"/>
          <w:sz w:val="24"/>
          <w:szCs w:val="24"/>
        </w:rPr>
      </w:pPr>
    </w:p>
    <w:p w14:paraId="390E7243" w14:textId="7A425345" w:rsidR="00B52599" w:rsidRPr="003A05EC" w:rsidRDefault="00B52599" w:rsidP="009E4FAD">
      <w:pPr>
        <w:tabs>
          <w:tab w:val="left" w:pos="3247"/>
        </w:tabs>
        <w:spacing w:after="0"/>
        <w:rPr>
          <w:rFonts w:cstheme="minorHAnsi"/>
          <w:color w:val="000000" w:themeColor="text1"/>
          <w:sz w:val="20"/>
          <w:szCs w:val="20"/>
        </w:rPr>
      </w:pPr>
    </w:p>
    <w:p w14:paraId="13306B09" w14:textId="38CDE9DE" w:rsidR="00B52599" w:rsidRPr="00C64212" w:rsidRDefault="007627B3" w:rsidP="007627B3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C64212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lastRenderedPageBreak/>
        <w:t>LIMITATIONS</w:t>
      </w:r>
      <w:r w:rsidR="00B52599" w:rsidRPr="00C64212"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  <w:lang w:eastAsia="en-IN"/>
        </w:rPr>
        <w:br/>
      </w:r>
    </w:p>
    <w:p w14:paraId="2A22EF28" w14:textId="719EFB08" w:rsidR="00B52599" w:rsidRDefault="00B52599" w:rsidP="00496B6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Choice of driving factors, thresholds and model parameters may affect accuracy.</w:t>
      </w:r>
      <w:r w:rsidR="00BF778B"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The values have been chosen based on certain observations. </w:t>
      </w:r>
      <w:r w:rsidR="00B554C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Hence, these values are subjective in nature.</w:t>
      </w:r>
    </w:p>
    <w:p w14:paraId="7B114927" w14:textId="77777777" w:rsidR="00B554C9" w:rsidRPr="003A05EC" w:rsidRDefault="00B554C9" w:rsidP="00B554C9">
      <w:p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3D8E13" w14:textId="43901E01" w:rsidR="00B52599" w:rsidRPr="00B52599" w:rsidRDefault="00B52599" w:rsidP="00496B6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Assumptions are not very practical</w:t>
      </w:r>
      <w:r w:rsidR="00BF778B" w:rsidRPr="003A05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for the study location. In the model, it has been assumed that a water body will not convert into an urban area and once a pixel becomes urban, it will continue to be urban. There are many instances where this does not hold true when the original maps are studied.</w:t>
      </w:r>
    </w:p>
    <w:p w14:paraId="69803FBF" w14:textId="4B08E03E" w:rsidR="00B52599" w:rsidRPr="003A05EC" w:rsidRDefault="00B52599" w:rsidP="007627B3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61DC7A7" w14:textId="59C35F7D" w:rsidR="003A05EC" w:rsidRPr="00836DF8" w:rsidRDefault="00B52599" w:rsidP="00006CC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Temporal information is not considered.</w:t>
      </w:r>
      <w:r w:rsidR="00BF778B" w:rsidRPr="00836D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We just take LULC map of year </w:t>
      </w:r>
      <w:r w:rsidR="00BF778B" w:rsidRPr="00B5259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‘y’</w:t>
      </w:r>
      <w:r w:rsidR="00BF778B" w:rsidRPr="00836D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predict it for the very next year, by using the appropriate model parameters and thresholds. We </w:t>
      </w:r>
      <w:r w:rsidR="003A05EC" w:rsidRPr="00836D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do not consider, say, how the changes have occurred from the year ‘y + 1’ to year ‘y + 2’.</w:t>
      </w:r>
    </w:p>
    <w:sectPr w:rsidR="003A05EC" w:rsidRPr="0083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FA1"/>
    <w:multiLevelType w:val="hybridMultilevel"/>
    <w:tmpl w:val="E6641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EAC"/>
    <w:multiLevelType w:val="hybridMultilevel"/>
    <w:tmpl w:val="DA685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F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27322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3D28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1928F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E0178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3CF76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87830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88B10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2972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DFD44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0D00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num w:numId="1" w16cid:durableId="995691017">
    <w:abstractNumId w:val="12"/>
  </w:num>
  <w:num w:numId="2" w16cid:durableId="1748721684">
    <w:abstractNumId w:val="3"/>
  </w:num>
  <w:num w:numId="3" w16cid:durableId="1121991400">
    <w:abstractNumId w:val="2"/>
  </w:num>
  <w:num w:numId="4" w16cid:durableId="825820129">
    <w:abstractNumId w:val="11"/>
  </w:num>
  <w:num w:numId="5" w16cid:durableId="493028267">
    <w:abstractNumId w:val="7"/>
  </w:num>
  <w:num w:numId="6" w16cid:durableId="1785495054">
    <w:abstractNumId w:val="6"/>
  </w:num>
  <w:num w:numId="7" w16cid:durableId="1401100490">
    <w:abstractNumId w:val="4"/>
  </w:num>
  <w:num w:numId="8" w16cid:durableId="876090491">
    <w:abstractNumId w:val="10"/>
  </w:num>
  <w:num w:numId="9" w16cid:durableId="1004472889">
    <w:abstractNumId w:val="8"/>
  </w:num>
  <w:num w:numId="10" w16cid:durableId="1171917035">
    <w:abstractNumId w:val="5"/>
  </w:num>
  <w:num w:numId="11" w16cid:durableId="95633619">
    <w:abstractNumId w:val="1"/>
  </w:num>
  <w:num w:numId="12" w16cid:durableId="906380912">
    <w:abstractNumId w:val="0"/>
  </w:num>
  <w:num w:numId="13" w16cid:durableId="12316135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3"/>
    <w:rsid w:val="003A05EC"/>
    <w:rsid w:val="003D105D"/>
    <w:rsid w:val="00496B60"/>
    <w:rsid w:val="007627B3"/>
    <w:rsid w:val="00836DF8"/>
    <w:rsid w:val="008F471E"/>
    <w:rsid w:val="009876F3"/>
    <w:rsid w:val="009E4FAD"/>
    <w:rsid w:val="00B52599"/>
    <w:rsid w:val="00B554C9"/>
    <w:rsid w:val="00BF778B"/>
    <w:rsid w:val="00C64212"/>
    <w:rsid w:val="00E25119"/>
    <w:rsid w:val="00EA1434"/>
    <w:rsid w:val="00E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30BE"/>
  <w15:chartTrackingRefBased/>
  <w15:docId w15:val="{C8CE7C69-F778-4BF5-8E5E-7D0B399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IMT2020024 Pavan Thanay Muthyala</dc:creator>
  <cp:keywords/>
  <dc:description/>
  <cp:lastModifiedBy>IMT2020024 Pavan Thanay Muthyala</cp:lastModifiedBy>
  <cp:revision>8</cp:revision>
  <dcterms:created xsi:type="dcterms:W3CDTF">2022-12-09T07:50:00Z</dcterms:created>
  <dcterms:modified xsi:type="dcterms:W3CDTF">2022-12-10T09:59:00Z</dcterms:modified>
</cp:coreProperties>
</file>