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solid"/>
        <w:spacing w:after="200" w:before="2000"/>
        <w:jc w:val="center"/>
      </w:pPr>
      <w:r>
        <w:rPr>
          <w:rFonts w:ascii="Calibri" w:cs="Calibri" w:eastAsia="Calibri" w:hAnsi="Calibri"/>
          <w:b/>
          <w:bCs/>
          <w:color w:val="FFFFFF"/>
          <w:sz w:val="52"/>
          <w:szCs w:val="52"/>
        </w:rPr>
        <w:t xml:space="preserve">PIXELCRAFT STUDIOS</w:t>
      </w:r>
    </w:p>
    <w:p>
      <w:pPr>
        <w:shd w:fill="1B3A6B" w:val="solid"/>
        <w:spacing w:after="0"/>
        <w:jc w:val="center"/>
      </w:pPr>
      <w:r>
        <w:rPr>
          <w:rFonts w:ascii="Calibri" w:cs="Calibri" w:eastAsia="Calibri" w:hAnsi="Calibri"/>
          <w:color w:val="E8720C"/>
          <w:sz w:val="24"/>
          <w:szCs w:val="24"/>
        </w:rPr>
        <w:t xml:space="preserve">Integrated Creative &amp; Production Agency</w:t>
      </w:r>
    </w:p>
    <w:p>
      <w:pPr>
        <w:shd w:fill="E8720C" w:val="solid"/>
        <w:spacing w:after="200" w:before="0"/>
        <w:jc w:val="center"/>
      </w:pPr>
      <w:r>
        <w:rPr>
          <w:rFonts w:ascii="Calibri" w:cs="Calibri" w:eastAsia="Calibri" w:hAnsi="Calibri"/>
          <w:b/>
          <w:bCs/>
          <w:color w:val="FFFFFF"/>
          <w:sz w:val="26"/>
          <w:szCs w:val="26"/>
        </w:rPr>
        <w:t xml:space="preserve">RFQ RESPONSE — RFQ-MKT-KIDS-GL-2026-001</w:t>
      </w:r>
    </w:p>
    <w:p>
      <w:pPr>
        <w:spacing w:after="160" w:before="80"/>
      </w:pPr>
      <w:r>
        <w:rPr>
          <w:rFonts w:ascii="Calibri" w:cs="Calibri" w:eastAsia="Calibri" w:hAnsi="Calibri"/>
          <w:color w:val="333333"/>
          <w:sz w:val="19"/>
          <w:szCs w:val="19"/>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bCs/>
                <w:color w:val="000000"/>
                <w:sz w:val="17"/>
                <w:szCs w:val="17"/>
              </w:rPr>
              <w:t xml:space="preserve">Document Title</w:t>
            </w:r>
          </w:p>
        </w:tc>
        <w:tc>
          <w:tcPr>
            <w:tcW w:type="dxa" w:w="5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Commercial Proposal — Global Kids Health Drink Launch</w:t>
            </w:r>
          </w:p>
        </w:tc>
      </w:tr>
      <w:tr>
        <w:tc>
          <w:tcPr>
            <w:tcW w:type="dxa" w:w="3500"/>
            <w:tcBorders>
              <w:top w:val="single" w:color="CCCCCC" w:sz="6"/>
              <w:left w:val="single" w:color="CCCCCC" w:sz="6"/>
              <w:bottom w:val="single" w:color="CCCCCC" w:sz="6"/>
              <w:right w:val="single" w:color="CCCCCC" w:sz="6"/>
            </w:tcBorders>
            <w:shd w:fill="E8F0FF" w:val="solid"/>
            <w:vAlign w:val="center"/>
          </w:tcPr>
          <w:p>
            <w:r>
              <w:rPr>
                <w:rFonts w:ascii="Calibri" w:cs="Calibri" w:eastAsia="Calibri" w:hAnsi="Calibri"/>
                <w:b/>
                <w:bCs/>
                <w:color w:val="000000"/>
                <w:sz w:val="17"/>
                <w:szCs w:val="17"/>
              </w:rPr>
              <w:t xml:space="preserve">RFQ Reference</w:t>
            </w:r>
          </w:p>
        </w:tc>
        <w:tc>
          <w:tcPr>
            <w:tcW w:type="dxa" w:w="5000"/>
            <w:tcBorders>
              <w:top w:val="single" w:color="CCCCCC" w:sz="6"/>
              <w:left w:val="single" w:color="CCCCCC" w:sz="6"/>
              <w:bottom w:val="single" w:color="CCCCCC" w:sz="6"/>
              <w:right w:val="single" w:color="CCCCCC" w:sz="6"/>
            </w:tcBorders>
            <w:shd w:fill="F5F8FF" w:val="solid"/>
            <w:vAlign w:val="center"/>
          </w:tcPr>
          <w:p>
            <w:r>
              <w:rPr>
                <w:rFonts w:ascii="Calibri" w:cs="Calibri" w:eastAsia="Calibri" w:hAnsi="Calibri"/>
                <w:b w:val="false"/>
                <w:bCs w:val="false"/>
                <w:color w:val="000000"/>
                <w:sz w:val="17"/>
                <w:szCs w:val="17"/>
              </w:rPr>
              <w:t xml:space="preserve">RFQ-MKT-KIDS-GL-2026-001</w:t>
            </w:r>
          </w:p>
        </w:tc>
      </w:tr>
      <w:tr>
        <w:tc>
          <w:tcPr>
            <w:tcW w:type="dxa" w:w="35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bCs/>
                <w:color w:val="000000"/>
                <w:sz w:val="17"/>
                <w:szCs w:val="17"/>
              </w:rPr>
              <w:t xml:space="preserve">Submitted To</w:t>
            </w:r>
          </w:p>
        </w:tc>
        <w:tc>
          <w:tcPr>
            <w:tcW w:type="dxa" w:w="5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Global Brand Marketing Team</w:t>
            </w:r>
          </w:p>
        </w:tc>
      </w:tr>
      <w:tr>
        <w:tc>
          <w:tcPr>
            <w:tcW w:type="dxa" w:w="3500"/>
            <w:tcBorders>
              <w:top w:val="single" w:color="CCCCCC" w:sz="6"/>
              <w:left w:val="single" w:color="CCCCCC" w:sz="6"/>
              <w:bottom w:val="single" w:color="CCCCCC" w:sz="6"/>
              <w:right w:val="single" w:color="CCCCCC" w:sz="6"/>
            </w:tcBorders>
            <w:shd w:fill="E8F0FF" w:val="solid"/>
            <w:vAlign w:val="center"/>
          </w:tcPr>
          <w:p>
            <w:r>
              <w:rPr>
                <w:rFonts w:ascii="Calibri" w:cs="Calibri" w:eastAsia="Calibri" w:hAnsi="Calibri"/>
                <w:b/>
                <w:bCs/>
                <w:color w:val="000000"/>
                <w:sz w:val="17"/>
                <w:szCs w:val="17"/>
              </w:rPr>
              <w:t xml:space="preserve">Prepared By</w:t>
            </w:r>
          </w:p>
        </w:tc>
        <w:tc>
          <w:tcPr>
            <w:tcW w:type="dxa" w:w="5000"/>
            <w:tcBorders>
              <w:top w:val="single" w:color="CCCCCC" w:sz="6"/>
              <w:left w:val="single" w:color="CCCCCC" w:sz="6"/>
              <w:bottom w:val="single" w:color="CCCCCC" w:sz="6"/>
              <w:right w:val="single" w:color="CCCCCC" w:sz="6"/>
            </w:tcBorders>
            <w:shd w:fill="F5F8FF" w:val="solid"/>
            <w:vAlign w:val="center"/>
          </w:tcPr>
          <w:p>
            <w:r>
              <w:rPr>
                <w:rFonts w:ascii="Calibri" w:cs="Calibri" w:eastAsia="Calibri" w:hAnsi="Calibri"/>
                <w:b w:val="false"/>
                <w:bCs w:val="false"/>
                <w:color w:val="000000"/>
                <w:sz w:val="17"/>
                <w:szCs w:val="17"/>
              </w:rPr>
              <w:t xml:space="preserve">PixelCraft Studios Pvt. Ltd.</w:t>
            </w:r>
          </w:p>
        </w:tc>
      </w:tr>
      <w:tr>
        <w:tc>
          <w:tcPr>
            <w:tcW w:type="dxa" w:w="35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bCs/>
                <w:color w:val="000000"/>
                <w:sz w:val="17"/>
                <w:szCs w:val="17"/>
              </w:rPr>
              <w:t xml:space="preserve">Contact</w:t>
            </w:r>
          </w:p>
        </w:tc>
        <w:tc>
          <w:tcPr>
            <w:tcW w:type="dxa" w:w="5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Ananya Mehrotra, VP – Client Solutions | a.mehrotra@pixelcraft.in</w:t>
            </w:r>
          </w:p>
        </w:tc>
      </w:tr>
      <w:tr>
        <w:tc>
          <w:tcPr>
            <w:tcW w:type="dxa" w:w="3500"/>
            <w:tcBorders>
              <w:top w:val="single" w:color="CCCCCC" w:sz="6"/>
              <w:left w:val="single" w:color="CCCCCC" w:sz="6"/>
              <w:bottom w:val="single" w:color="CCCCCC" w:sz="6"/>
              <w:right w:val="single" w:color="CCCCCC" w:sz="6"/>
            </w:tcBorders>
            <w:shd w:fill="E8F0FF" w:val="solid"/>
            <w:vAlign w:val="center"/>
          </w:tcPr>
          <w:p>
            <w:r>
              <w:rPr>
                <w:rFonts w:ascii="Calibri" w:cs="Calibri" w:eastAsia="Calibri" w:hAnsi="Calibri"/>
                <w:b/>
                <w:bCs/>
                <w:color w:val="000000"/>
                <w:sz w:val="17"/>
                <w:szCs w:val="17"/>
              </w:rPr>
              <w:t xml:space="preserve">Date</w:t>
            </w:r>
          </w:p>
        </w:tc>
        <w:tc>
          <w:tcPr>
            <w:tcW w:type="dxa" w:w="5000"/>
            <w:tcBorders>
              <w:top w:val="single" w:color="CCCCCC" w:sz="6"/>
              <w:left w:val="single" w:color="CCCCCC" w:sz="6"/>
              <w:bottom w:val="single" w:color="CCCCCC" w:sz="6"/>
              <w:right w:val="single" w:color="CCCCCC" w:sz="6"/>
            </w:tcBorders>
            <w:shd w:fill="F5F8FF" w:val="solid"/>
            <w:vAlign w:val="center"/>
          </w:tcPr>
          <w:p>
            <w:r>
              <w:rPr>
                <w:rFonts w:ascii="Calibri" w:cs="Calibri" w:eastAsia="Calibri" w:hAnsi="Calibri"/>
                <w:b w:val="false"/>
                <w:bCs w:val="false"/>
                <w:color w:val="000000"/>
                <w:sz w:val="17"/>
                <w:szCs w:val="17"/>
              </w:rPr>
              <w:t xml:space="preserve">April 10, 2026</w:t>
            </w:r>
          </w:p>
        </w:tc>
      </w:tr>
      <w:tr>
        <w:tc>
          <w:tcPr>
            <w:tcW w:type="dxa" w:w="35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bCs/>
                <w:color w:val="000000"/>
                <w:sz w:val="17"/>
                <w:szCs w:val="17"/>
              </w:rPr>
              <w:t xml:space="preserve">Proposal Ref</w:t>
            </w:r>
          </w:p>
        </w:tc>
        <w:tc>
          <w:tcPr>
            <w:tcW w:type="dxa" w:w="5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PC-PROP-2026-KHD-01</w:t>
            </w:r>
          </w:p>
        </w:tc>
      </w:tr>
      <w:tr>
        <w:tc>
          <w:tcPr>
            <w:tcW w:type="dxa" w:w="3500"/>
            <w:tcBorders>
              <w:top w:val="single" w:color="CCCCCC" w:sz="6"/>
              <w:left w:val="single" w:color="CCCCCC" w:sz="6"/>
              <w:bottom w:val="single" w:color="CCCCCC" w:sz="6"/>
              <w:right w:val="single" w:color="CCCCCC" w:sz="6"/>
            </w:tcBorders>
            <w:shd w:fill="E8F0FF" w:val="solid"/>
            <w:vAlign w:val="center"/>
          </w:tcPr>
          <w:p>
            <w:r>
              <w:rPr>
                <w:rFonts w:ascii="Calibri" w:cs="Calibri" w:eastAsia="Calibri" w:hAnsi="Calibri"/>
                <w:b/>
                <w:bCs/>
                <w:color w:val="000000"/>
                <w:sz w:val="17"/>
                <w:szCs w:val="17"/>
              </w:rPr>
              <w:t xml:space="preserve">Version</w:t>
            </w:r>
          </w:p>
        </w:tc>
        <w:tc>
          <w:tcPr>
            <w:tcW w:type="dxa" w:w="5000"/>
            <w:tcBorders>
              <w:top w:val="single" w:color="CCCCCC" w:sz="6"/>
              <w:left w:val="single" w:color="CCCCCC" w:sz="6"/>
              <w:bottom w:val="single" w:color="CCCCCC" w:sz="6"/>
              <w:right w:val="single" w:color="CCCCCC" w:sz="6"/>
            </w:tcBorders>
            <w:shd w:fill="F5F8FF" w:val="solid"/>
            <w:vAlign w:val="center"/>
          </w:tcPr>
          <w:p>
            <w:r>
              <w:rPr>
                <w:rFonts w:ascii="Calibri" w:cs="Calibri" w:eastAsia="Calibri" w:hAnsi="Calibri"/>
                <w:b w:val="false"/>
                <w:bCs w:val="false"/>
                <w:color w:val="000000"/>
                <w:sz w:val="17"/>
                <w:szCs w:val="17"/>
              </w:rPr>
              <w:t xml:space="preserve">FINAL — v3.0</w:t>
            </w:r>
          </w:p>
        </w:tc>
      </w:tr>
      <w:tr>
        <w:tc>
          <w:tcPr>
            <w:tcW w:type="dxa" w:w="35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bCs/>
                <w:color w:val="000000"/>
                <w:sz w:val="17"/>
                <w:szCs w:val="17"/>
              </w:rPr>
              <w:t xml:space="preserve">Validity</w:t>
            </w:r>
          </w:p>
        </w:tc>
        <w:tc>
          <w:tcPr>
            <w:tcW w:type="dxa" w:w="5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60 days from submission date</w:t>
            </w:r>
          </w:p>
        </w:tc>
      </w:tr>
    </w:tbl>
    <w:p>
      <w:pPr>
        <w:spacing w:after="160" w:before="80"/>
      </w:pPr>
      <w:r>
        <w:rPr>
          <w:rFonts w:ascii="Calibri" w:cs="Calibri" w:eastAsia="Calibri" w:hAnsi="Calibri"/>
          <w:color w:val="333333"/>
          <w:sz w:val="19"/>
          <w:szCs w:val="19"/>
        </w:rPr>
        <w:t xml:space="preserve"/>
      </w:r>
    </w:p>
    <w:p>
      <w:pPr>
        <w:shd w:fill="FFF3CD" w:val="solid"/>
        <w:spacing w:after="80" w:before="80"/>
      </w:pPr>
      <w:r>
        <w:rPr>
          <w:rFonts w:ascii="Calibri" w:cs="Calibri" w:eastAsia="Calibri" w:hAnsi="Calibri"/>
          <w:b/>
          <w:bCs/>
          <w:color w:val="C0392B"/>
          <w:sz w:val="17"/>
          <w:szCs w:val="17"/>
        </w:rPr>
        <w:t xml:space="preserve">⚠  IMPORTANT: PixelCraft uses the term 'Project Fee' throughout this document to refer to total agency charges including all fees and applicable taxes, UNLESS otherwise specified. Media budgets and production pass-throughs are listed separately under 'Passthrough Costs'.</w:t>
      </w:r>
    </w:p>
    <w:p>
      <w:r>
        <w:br w:type="page"/>
      </w:r>
    </w:p>
    <w:p>
      <w:pPr>
        <w:pStyle w:val="Heading1"/>
        <w:spacing w:after="120" w:before="240"/>
      </w:pPr>
      <w:r>
        <w:rPr>
          <w:rFonts w:ascii="Calibri" w:cs="Calibri" w:eastAsia="Calibri" w:hAnsi="Calibri"/>
          <w:b/>
          <w:bCs/>
          <w:color w:val="1B3A6B"/>
          <w:sz w:val="28"/>
          <w:szCs w:val="28"/>
        </w:rPr>
        <w:t xml:space="preserve">TABLE OF CONTENTS</w:t>
      </w:r>
    </w:p>
    <w:p>
      <w:pPr>
        <w:pBdr>
          <w:bottom w:val="single" w:color="2E6DA4" w:sz="6"/>
        </w:pBdr>
        <w:spacing w:after="0" w:before="0"/>
      </w:pPr>
      <w:r>
        <w:t xml:space="preserve"/>
      </w:r>
    </w:p>
    <w:p>
      <w:pPr>
        <w:spacing w:after="60" w:before="60"/>
      </w:pPr>
      <w:r>
        <w:rPr>
          <w:rFonts w:ascii="Calibri" w:cs="Calibri" w:eastAsia="Calibri" w:hAnsi="Calibri"/>
          <w:b/>
          <w:bCs/>
          <w:color w:val="2E6DA4"/>
          <w:sz w:val="19"/>
          <w:szCs w:val="19"/>
        </w:rPr>
        <w:t xml:space="preserve">1. Executive Overview</w:t>
      </w:r>
    </w:p>
    <w:p>
      <w:pPr>
        <w:spacing w:after="60" w:before="60"/>
      </w:pPr>
      <w:r>
        <w:rPr>
          <w:rFonts w:ascii="Calibri" w:cs="Calibri" w:eastAsia="Calibri" w:hAnsi="Calibri"/>
          <w:b/>
          <w:bCs/>
          <w:color w:val="2E6DA4"/>
          <w:sz w:val="19"/>
          <w:szCs w:val="19"/>
        </w:rPr>
        <w:t xml:space="preserve">2. PixelCraft Company Profile</w:t>
      </w:r>
    </w:p>
    <w:p>
      <w:pPr>
        <w:spacing w:after="60" w:before="60"/>
      </w:pPr>
      <w:r>
        <w:rPr>
          <w:rFonts w:ascii="Calibri" w:cs="Calibri" w:eastAsia="Calibri" w:hAnsi="Calibri"/>
          <w:b w:val="false"/>
          <w:bCs w:val="false"/>
          <w:color w:val="2E6DA4"/>
          <w:sz w:val="19"/>
          <w:szCs w:val="19"/>
        </w:rPr>
        <w:t xml:space="preserve">3. Relevant Experience</w:t>
      </w:r>
    </w:p>
    <w:p>
      <w:pPr>
        <w:spacing w:after="60" w:before="60"/>
      </w:pPr>
      <w:r>
        <w:rPr>
          <w:rFonts w:ascii="Calibri" w:cs="Calibri" w:eastAsia="Calibri" w:hAnsi="Calibri"/>
          <w:b w:val="false"/>
          <w:bCs w:val="false"/>
          <w:color w:val="2E6DA4"/>
          <w:sz w:val="19"/>
          <w:szCs w:val="19"/>
        </w:rPr>
        <w:t xml:space="preserve">4. Understanding of Brief &amp; Scope</w:t>
      </w:r>
    </w:p>
    <w:p>
      <w:pPr>
        <w:spacing w:after="60" w:before="60"/>
      </w:pPr>
      <w:r>
        <w:rPr>
          <w:rFonts w:ascii="Calibri" w:cs="Calibri" w:eastAsia="Calibri" w:hAnsi="Calibri"/>
          <w:b w:val="false"/>
          <w:bCs w:val="false"/>
          <w:color w:val="2E6DA4"/>
          <w:sz w:val="19"/>
          <w:szCs w:val="19"/>
        </w:rPr>
        <w:t xml:space="preserve">5. Our Strategic Approach</w:t>
      </w:r>
    </w:p>
    <w:p>
      <w:pPr>
        <w:spacing w:after="60" w:before="60"/>
      </w:pPr>
      <w:r>
        <w:rPr>
          <w:rFonts w:ascii="Calibri" w:cs="Calibri" w:eastAsia="Calibri" w:hAnsi="Calibri"/>
          <w:b w:val="false"/>
          <w:bCs w:val="false"/>
          <w:color w:val="2E6DA4"/>
          <w:sz w:val="19"/>
          <w:szCs w:val="19"/>
        </w:rPr>
        <w:t xml:space="preserve">6. Creative Philosophy &amp; Process</w:t>
      </w:r>
    </w:p>
    <w:p>
      <w:pPr>
        <w:spacing w:after="60" w:before="60"/>
      </w:pPr>
      <w:r>
        <w:rPr>
          <w:rFonts w:ascii="Calibri" w:cs="Calibri" w:eastAsia="Calibri" w:hAnsi="Calibri"/>
          <w:b w:val="false"/>
          <w:bCs w:val="false"/>
          <w:color w:val="2E6DA4"/>
          <w:sz w:val="19"/>
          <w:szCs w:val="19"/>
        </w:rPr>
        <w:t xml:space="preserve">7. TVC Production Methodology</w:t>
      </w:r>
    </w:p>
    <w:p>
      <w:pPr>
        <w:spacing w:after="60" w:before="60"/>
      </w:pPr>
      <w:r>
        <w:rPr>
          <w:rFonts w:ascii="Calibri" w:cs="Calibri" w:eastAsia="Calibri" w:hAnsi="Calibri"/>
          <w:b w:val="false"/>
          <w:bCs w:val="false"/>
          <w:color w:val="2E6DA4"/>
          <w:sz w:val="19"/>
          <w:szCs w:val="19"/>
        </w:rPr>
        <w:t xml:space="preserve">8. Digital &amp; Social Content Framework</w:t>
      </w:r>
    </w:p>
    <w:p>
      <w:pPr>
        <w:spacing w:after="60" w:before="60"/>
      </w:pPr>
      <w:r>
        <w:rPr>
          <w:rFonts w:ascii="Calibri" w:cs="Calibri" w:eastAsia="Calibri" w:hAnsi="Calibri"/>
          <w:b w:val="false"/>
          <w:bCs w:val="false"/>
          <w:color w:val="2E6DA4"/>
          <w:sz w:val="19"/>
          <w:szCs w:val="19"/>
        </w:rPr>
        <w:t xml:space="preserve">9. Compliance &amp; Child Safety Protocols</w:t>
      </w:r>
    </w:p>
    <w:p>
      <w:pPr>
        <w:spacing w:after="60" w:before="60"/>
      </w:pPr>
      <w:r>
        <w:rPr>
          <w:rFonts w:ascii="Calibri" w:cs="Calibri" w:eastAsia="Calibri" w:hAnsi="Calibri"/>
          <w:b w:val="false"/>
          <w:bCs w:val="false"/>
          <w:color w:val="2E6DA4"/>
          <w:sz w:val="19"/>
          <w:szCs w:val="19"/>
        </w:rPr>
        <w:t xml:space="preserve">10. Proposed Team</w:t>
      </w:r>
    </w:p>
    <w:p>
      <w:pPr>
        <w:spacing w:after="60" w:before="60"/>
      </w:pPr>
      <w:r>
        <w:rPr>
          <w:rFonts w:ascii="Calibri" w:cs="Calibri" w:eastAsia="Calibri" w:hAnsi="Calibri"/>
          <w:b w:val="false"/>
          <w:bCs w:val="false"/>
          <w:color w:val="2E6DA4"/>
          <w:sz w:val="19"/>
          <w:szCs w:val="19"/>
        </w:rPr>
        <w:t xml:space="preserve">11. Project Timelines</w:t>
      </w:r>
    </w:p>
    <w:p>
      <w:pPr>
        <w:spacing w:after="60" w:before="60"/>
      </w:pPr>
      <w:r>
        <w:rPr>
          <w:rFonts w:ascii="Calibri" w:cs="Calibri" w:eastAsia="Calibri" w:hAnsi="Calibri"/>
          <w:b w:val="false"/>
          <w:bCs w:val="false"/>
          <w:color w:val="2E6DA4"/>
          <w:sz w:val="19"/>
          <w:szCs w:val="19"/>
        </w:rPr>
        <w:t xml:space="preserve">12. Commercial Proposal</w:t>
      </w:r>
    </w:p>
    <w:p>
      <w:pPr>
        <w:spacing w:after="60" w:before="60"/>
      </w:pPr>
      <w:r>
        <w:rPr>
          <w:rFonts w:ascii="Calibri" w:cs="Calibri" w:eastAsia="Calibri" w:hAnsi="Calibri"/>
          <w:b w:val="false"/>
          <w:bCs w:val="false"/>
          <w:color w:val="2E6DA4"/>
          <w:sz w:val="19"/>
          <w:szCs w:val="19"/>
        </w:rPr>
        <w:t xml:space="preserve">13. Payment Structure</w:t>
      </w:r>
    </w:p>
    <w:p>
      <w:pPr>
        <w:spacing w:after="60" w:before="60"/>
      </w:pPr>
      <w:r>
        <w:rPr>
          <w:rFonts w:ascii="Calibri" w:cs="Calibri" w:eastAsia="Calibri" w:hAnsi="Calibri"/>
          <w:b w:val="false"/>
          <w:bCs w:val="false"/>
          <w:color w:val="2E6DA4"/>
          <w:sz w:val="19"/>
          <w:szCs w:val="19"/>
        </w:rPr>
        <w:t xml:space="preserve">14. Terms &amp; Conditions</w:t>
      </w:r>
    </w:p>
    <w:p>
      <w:pPr>
        <w:spacing w:after="60" w:before="60"/>
      </w:pPr>
      <w:r>
        <w:rPr>
          <w:rFonts w:ascii="Calibri" w:cs="Calibri" w:eastAsia="Calibri" w:hAnsi="Calibri"/>
          <w:b w:val="false"/>
          <w:bCs w:val="false"/>
          <w:color w:val="2E6DA4"/>
          <w:sz w:val="19"/>
          <w:szCs w:val="19"/>
        </w:rPr>
        <w:t xml:space="preserve">15. Appendices</w:t>
      </w:r>
    </w:p>
    <w:p>
      <w:r>
        <w:br w:type="page"/>
      </w:r>
    </w:p>
    <w:p>
      <w:pPr>
        <w:pStyle w:val="Heading1"/>
        <w:spacing w:after="120" w:before="240"/>
      </w:pPr>
      <w:r>
        <w:rPr>
          <w:rFonts w:ascii="Calibri" w:cs="Calibri" w:eastAsia="Calibri" w:hAnsi="Calibri"/>
          <w:b/>
          <w:bCs/>
          <w:color w:val="1B3A6B"/>
          <w:sz w:val="28"/>
          <w:szCs w:val="28"/>
        </w:rPr>
        <w:t xml:space="preserve">1. Executive Overview</w:t>
      </w:r>
    </w:p>
    <w:p>
      <w:pPr>
        <w:pBdr>
          <w:bottom w:val="single" w:color="2E6DA4" w:sz="6"/>
        </w:pBdr>
        <w:spacing w:after="0" w:before="0"/>
      </w:pPr>
      <w:r>
        <w:t xml:space="preserve"/>
      </w:r>
    </w:p>
    <w:p>
      <w:pPr>
        <w:spacing w:after="160" w:before="80"/>
      </w:pPr>
      <w:r>
        <w:rPr>
          <w:rFonts w:ascii="Calibri" w:cs="Calibri" w:eastAsia="Calibri" w:hAnsi="Calibri"/>
          <w:color w:val="333333"/>
          <w:sz w:val="19"/>
          <w:szCs w:val="19"/>
        </w:rPr>
        <w:t xml:space="preserve">PixelCraft Studios is proud to present this comprehensive proposal for the global launch campaign of the new kids health drink. As one of India's leading integrated creative and production agencies with a dedicated kids and family vertical, we bring 16 years of proven expertise to this brief.</w:t>
      </w:r>
    </w:p>
    <w:p>
      <w:pPr>
        <w:spacing w:after="160" w:before="80"/>
      </w:pPr>
      <w:r>
        <w:rPr>
          <w:rFonts w:ascii="Calibri" w:cs="Calibri" w:eastAsia="Calibri" w:hAnsi="Calibri"/>
          <w:color w:val="333333"/>
          <w:sz w:val="19"/>
          <w:szCs w:val="19"/>
        </w:rPr>
        <w:t xml:space="preserve">We have carefully reviewed the complete RFQ and the Scope of Work and are pleased to confirm that we can cover all 8 Line Items (Lots 1-8) in full, with no carve-outs or sub-contracting. Our in-house capabilities span strategy, creative, TVC production (with certified child talent protocols), digital content, paid media, compliance review, and program management.</w:t>
      </w:r>
    </w:p>
    <w:p>
      <w:pPr>
        <w:pStyle w:val="Heading2"/>
        <w:spacing w:after="120" w:before="240"/>
      </w:pPr>
      <w:r>
        <w:rPr>
          <w:rFonts w:ascii="Calibri" w:cs="Calibri" w:eastAsia="Calibri" w:hAnsi="Calibri"/>
          <w:b/>
          <w:bCs/>
          <w:color w:val="1B3A6B"/>
          <w:sz w:val="24"/>
          <w:szCs w:val="24"/>
        </w:rPr>
        <w:t xml:space="preserve">Why PixelCraft?</w:t>
      </w:r>
    </w:p>
    <w:p>
      <w:pPr>
        <w:pStyle w:val="ListParagraph"/>
        <w:numPr>
          <w:ilvl w:val="0"/>
          <w:numId w:val="1"/>
        </w:numPr>
        <w:spacing w:after="60" w:before="60"/>
      </w:pPr>
      <w:r>
        <w:rPr>
          <w:rFonts w:ascii="Calibri" w:cs="Calibri" w:eastAsia="Calibri" w:hAnsi="Calibri"/>
          <w:color w:val="333333"/>
          <w:sz w:val="18"/>
          <w:szCs w:val="18"/>
        </w:rPr>
        <w:t xml:space="preserve">16 years of integrated marketing experience with particular depth in kids and family</w:t>
      </w:r>
    </w:p>
    <w:p>
      <w:pPr>
        <w:pStyle w:val="ListParagraph"/>
        <w:numPr>
          <w:ilvl w:val="0"/>
          <w:numId w:val="1"/>
        </w:numPr>
        <w:spacing w:after="60" w:before="60"/>
      </w:pPr>
      <w:r>
        <w:rPr>
          <w:rFonts w:ascii="Calibri" w:cs="Calibri" w:eastAsia="Calibri" w:hAnsi="Calibri"/>
          <w:color w:val="333333"/>
          <w:sz w:val="18"/>
          <w:szCs w:val="18"/>
        </w:rPr>
        <w:t xml:space="preserve">In-house TVC production studio in Mumbai — fully equipped for child talent shoots</w:t>
      </w:r>
    </w:p>
    <w:p>
      <w:pPr>
        <w:pStyle w:val="ListParagraph"/>
        <w:numPr>
          <w:ilvl w:val="0"/>
          <w:numId w:val="1"/>
        </w:numPr>
        <w:spacing w:after="60" w:before="60"/>
      </w:pPr>
      <w:r>
        <w:rPr>
          <w:rFonts w:ascii="Calibri" w:cs="Calibri" w:eastAsia="Calibri" w:hAnsi="Calibri"/>
          <w:color w:val="333333"/>
          <w:sz w:val="18"/>
          <w:szCs w:val="18"/>
        </w:rPr>
        <w:t xml:space="preserve">Dedicated compliance team with ASCI, FTC, and ASA-certified reviewers</w:t>
      </w:r>
    </w:p>
    <w:p>
      <w:pPr>
        <w:pStyle w:val="ListParagraph"/>
        <w:numPr>
          <w:ilvl w:val="0"/>
          <w:numId w:val="1"/>
        </w:numPr>
        <w:spacing w:after="60" w:before="60"/>
      </w:pPr>
      <w:r>
        <w:rPr>
          <w:rFonts w:ascii="Calibri" w:cs="Calibri" w:eastAsia="Calibri" w:hAnsi="Calibri"/>
          <w:color w:val="333333"/>
          <w:sz w:val="18"/>
          <w:szCs w:val="18"/>
        </w:rPr>
        <w:t xml:space="preserve">Team of 280 across 4 offices (Mumbai, Delhi, Bengaluru, London)</w:t>
      </w:r>
    </w:p>
    <w:p>
      <w:pPr>
        <w:pStyle w:val="ListParagraph"/>
        <w:numPr>
          <w:ilvl w:val="0"/>
          <w:numId w:val="1"/>
        </w:numPr>
        <w:spacing w:after="60" w:before="60"/>
      </w:pPr>
      <w:r>
        <w:rPr>
          <w:rFonts w:ascii="Calibri" w:cs="Calibri" w:eastAsia="Calibri" w:hAnsi="Calibri"/>
          <w:color w:val="333333"/>
          <w:sz w:val="18"/>
          <w:szCs w:val="18"/>
        </w:rPr>
        <w:t xml:space="preserve">12 national awards in the kids and FMCG categories in the last 3 years</w:t>
      </w:r>
    </w:p>
    <w:p>
      <w:pPr>
        <w:pStyle w:val="ListParagraph"/>
        <w:numPr>
          <w:ilvl w:val="0"/>
          <w:numId w:val="1"/>
        </w:numPr>
        <w:spacing w:after="60" w:before="60"/>
      </w:pPr>
      <w:r>
        <w:rPr>
          <w:rFonts w:ascii="Calibri" w:cs="Calibri" w:eastAsia="Calibri" w:hAnsi="Calibri"/>
          <w:color w:val="333333"/>
          <w:sz w:val="18"/>
          <w:szCs w:val="18"/>
        </w:rPr>
        <w:t xml:space="preserve">Net Promoter Score of 87 from existing clients — among the highest in the industry</w:t>
      </w:r>
    </w:p>
    <w:p>
      <w:r>
        <w:br w:type="page"/>
      </w:r>
    </w:p>
    <w:p>
      <w:pPr>
        <w:pStyle w:val="Heading1"/>
        <w:spacing w:after="120" w:before="240"/>
      </w:pPr>
      <w:r>
        <w:rPr>
          <w:rFonts w:ascii="Calibri" w:cs="Calibri" w:eastAsia="Calibri" w:hAnsi="Calibri"/>
          <w:b/>
          <w:bCs/>
          <w:color w:val="1B3A6B"/>
          <w:sz w:val="28"/>
          <w:szCs w:val="28"/>
        </w:rPr>
        <w:t xml:space="preserve">2. PixelCraft Company Profile</w:t>
      </w:r>
    </w:p>
    <w:p>
      <w:pPr>
        <w:pBdr>
          <w:bottom w:val="single" w:color="2E6DA4" w:sz="6"/>
        </w:pBdr>
        <w:spacing w:after="0" w:before="0"/>
      </w:pPr>
      <w:r>
        <w:t xml:space="preserve"/>
      </w:r>
    </w:p>
    <w:p>
      <w:pPr>
        <w:spacing w:after="160" w:before="80"/>
      </w:pPr>
      <w:r>
        <w:rPr>
          <w:rFonts w:ascii="Calibri" w:cs="Calibri" w:eastAsia="Calibri" w:hAnsi="Calibri"/>
          <w:color w:val="333333"/>
          <w:sz w:val="19"/>
          <w:szCs w:val="19"/>
        </w:rPr>
        <w:t xml:space="preserve">PixelCraft Studios was founded in 2008 by Ananya Mehrotra and Siddharth Chopra with a singular vision: to create communications that genuinely connect with real people. Starting as a boutique creative studio, we have grown into a full-service integrated agency with 280+ employees across four offices.</w:t>
      </w:r>
    </w:p>
    <w:p>
      <w:pPr>
        <w:spacing w:after="160" w:before="80"/>
      </w:pPr>
      <w:r>
        <w:rPr>
          <w:rFonts w:ascii="Calibri" w:cs="Calibri" w:eastAsia="Calibri" w:hAnsi="Calibri"/>
          <w:color w:val="333333"/>
          <w:sz w:val="19"/>
          <w:szCs w:val="19"/>
        </w:rPr>
        <w:t xml:space="preserve">Our journey in the kids and family space began in 2012 when we won our first national kids brand account — a leading children's breakfast cereal. Since then, we have built one of India's most experienced kids marketing practices, with a dedicated team of 65 specialists.</w:t>
      </w:r>
    </w:p>
    <w:p>
      <w:pPr>
        <w:spacing w:after="160" w:before="80"/>
      </w:pPr>
      <w:r>
        <w:rPr>
          <w:rFonts w:ascii="Calibri" w:cs="Calibri" w:eastAsia="Calibri" w:hAnsi="Calibri"/>
          <w:color w:val="333333"/>
          <w:sz w:val="19"/>
          <w:szCs w:val="19"/>
        </w:rPr>
        <w:t xml:space="preserve">PixelCraft is structured around four practice areas: Brand Strategy, Creative Production, Digital &amp; Social, and Compliance &amp; Governance. This structure ensures full-spectrum capability under a single agency relationship, eliminating coordination overhead for clients.</w:t>
      </w:r>
    </w:p>
    <w:p>
      <w:pPr>
        <w:spacing w:after="160" w:before="80"/>
      </w:pPr>
      <w:r>
        <w:rPr>
          <w:rFonts w:ascii="Calibri" w:cs="Calibri" w:eastAsia="Calibri" w:hAnsi="Calibri"/>
          <w:color w:val="333333"/>
          <w:sz w:val="19"/>
          <w:szCs w:val="19"/>
        </w:rPr>
        <w:t xml:space="preserve">We maintain a London office (PixelCraft UK) specifically to manage European compliance requirements, UK/EU advertising regulations, and international production partnerships. This is particularly relevant for multi-market campaigns such as this one.</w:t>
      </w:r>
    </w:p>
    <w:p>
      <w:r>
        <w:br w:type="page"/>
      </w:r>
    </w:p>
    <w:p>
      <w:pPr>
        <w:pStyle w:val="Heading1"/>
        <w:spacing w:after="120" w:before="240"/>
      </w:pPr>
      <w:r>
        <w:rPr>
          <w:rFonts w:ascii="Calibri" w:cs="Calibri" w:eastAsia="Calibri" w:hAnsi="Calibri"/>
          <w:b/>
          <w:bCs/>
          <w:color w:val="1B3A6B"/>
          <w:sz w:val="28"/>
          <w:szCs w:val="28"/>
        </w:rPr>
        <w:t xml:space="preserve">3. Relevant Experience</w:t>
      </w:r>
    </w:p>
    <w:p>
      <w:pPr>
        <w:pBdr>
          <w:bottom w:val="single" w:color="2E6DA4" w:sz="6"/>
        </w:pBdr>
        <w:spacing w:after="0" w:before="0"/>
      </w:pPr>
      <w:r>
        <w:t xml:space="preserve"/>
      </w:r>
    </w:p>
    <w:p>
      <w:pPr>
        <w:spacing w:after="160" w:before="80"/>
      </w:pPr>
      <w:r>
        <w:rPr>
          <w:rFonts w:ascii="Calibri" w:cs="Calibri" w:eastAsia="Calibri" w:hAnsi="Calibri"/>
          <w:color w:val="333333"/>
          <w:sz w:val="19"/>
          <w:szCs w:val="19"/>
        </w:rPr>
        <w:t xml:space="preserve">Over the past 16 years, PixelCraft has delivered 80+ integrated campaigns in the kids and family segment across FMCG, health, nutrition, and entertainment categories. Selected highlights are provided below.</w:t>
      </w:r>
    </w:p>
    <w:p>
      <w:pPr>
        <w:spacing w:after="160" w:before="80"/>
      </w:pPr>
      <w:r>
        <w:rPr>
          <w:rFonts w:ascii="Calibri" w:cs="Calibri" w:eastAsia="Calibri" w:hAnsi="Calibri"/>
          <w:color w:val="333333"/>
          <w:sz w:val="19"/>
          <w:szCs w:val="19"/>
        </w:rPr>
        <w:t xml:space="preserve">Campaign: NutriKids Launch (Himalaya Drug Company, 2025). Full integrated campaign including strategy, TVC, social, and media. TVC featured 8 child actors across a 4-day shoot. Delivered 38% aided awareness within 6 months of launch. Won EFFIE Silver 2025.</w:t>
      </w:r>
    </w:p>
    <w:p>
      <w:pPr>
        <w:spacing w:after="160" w:before="80"/>
      </w:pPr>
      <w:r>
        <w:rPr>
          <w:rFonts w:ascii="Calibri" w:cs="Calibri" w:eastAsia="Calibri" w:hAnsi="Calibri"/>
          <w:color w:val="333333"/>
          <w:sz w:val="19"/>
          <w:szCs w:val="19"/>
        </w:rPr>
        <w:t xml:space="preserve">Campaign: Complan Global Refresh (Kraft Heinz, 2024). Strategy refresh and TVC production for 6 markets including India, UAE, Bangladesh, Sri Lanka. Led compliance review across all markets. Campaign delivered 22% sales uplift in primary markets.</w:t>
      </w:r>
    </w:p>
    <w:p>
      <w:pPr>
        <w:spacing w:after="160" w:before="80"/>
      </w:pPr>
      <w:r>
        <w:rPr>
          <w:rFonts w:ascii="Calibri" w:cs="Calibri" w:eastAsia="Calibri" w:hAnsi="Calibri"/>
          <w:color w:val="333333"/>
          <w:sz w:val="19"/>
          <w:szCs w:val="19"/>
        </w:rPr>
        <w:t xml:space="preserve">Campaign: KoolYog Kids Yogurt (Epigamia, 2023). First major kids campaign for this D2C brand. Social-first strategy with TVC anchor. Over 180 social assets created in year 1. Brand NPS improved from 32 to 61 within 12 months.</w:t>
      </w:r>
    </w:p>
    <w:p>
      <w:pPr>
        <w:spacing w:after="160" w:before="80"/>
      </w:pPr>
      <w:r>
        <w:rPr>
          <w:rFonts w:ascii="Calibri" w:cs="Calibri" w:eastAsia="Calibri" w:hAnsi="Calibri"/>
          <w:color w:val="333333"/>
          <w:sz w:val="19"/>
          <w:szCs w:val="19"/>
        </w:rPr>
        <w:t xml:space="preserve">Full portfolio and case study decks available upon request. References from all three clients above are pre-approved and available for contact.</w:t>
      </w:r>
    </w:p>
    <w:p>
      <w:r>
        <w:br w:type="page"/>
      </w:r>
    </w:p>
    <w:p>
      <w:pPr>
        <w:pStyle w:val="Heading1"/>
        <w:spacing w:after="120" w:before="240"/>
      </w:pPr>
      <w:r>
        <w:rPr>
          <w:rFonts w:ascii="Calibri" w:cs="Calibri" w:eastAsia="Calibri" w:hAnsi="Calibri"/>
          <w:b/>
          <w:bCs/>
          <w:color w:val="1B3A6B"/>
          <w:sz w:val="28"/>
          <w:szCs w:val="28"/>
        </w:rPr>
        <w:t xml:space="preserve">4. Understanding of Brief &amp; Scope</w:t>
      </w:r>
    </w:p>
    <w:p>
      <w:pPr>
        <w:pBdr>
          <w:bottom w:val="single" w:color="2E6DA4" w:sz="6"/>
        </w:pBdr>
        <w:spacing w:after="0" w:before="0"/>
      </w:pPr>
      <w:r>
        <w:t xml:space="preserve"/>
      </w:r>
    </w:p>
    <w:p>
      <w:pPr>
        <w:spacing w:after="160" w:before="80"/>
      </w:pPr>
      <w:r>
        <w:rPr>
          <w:rFonts w:ascii="Calibri" w:cs="Calibri" w:eastAsia="Calibri" w:hAnsi="Calibri"/>
          <w:color w:val="333333"/>
          <w:sz w:val="19"/>
          <w:szCs w:val="19"/>
        </w:rPr>
        <w:t xml:space="preserve">We have thoroughly analysed the RFQ document and the Scope of Work for RFQ-MKT-KIDS-GL-2026-001. Our understanding of the brief is as follows.</w:t>
      </w:r>
    </w:p>
    <w:p>
      <w:pPr>
        <w:spacing w:after="160" w:before="80"/>
      </w:pPr>
      <w:r>
        <w:rPr>
          <w:rFonts w:ascii="Calibri" w:cs="Calibri" w:eastAsia="Calibri" w:hAnsi="Calibri"/>
          <w:color w:val="333333"/>
          <w:sz w:val="19"/>
          <w:szCs w:val="19"/>
        </w:rPr>
        <w:t xml:space="preserve">The client seeks to launch a new kids health drink into a global market. The campaign must span multiple channels (TVC, social, digital) across multiple markets, and must navigate the complex regulatory environment of kids advertising across different geographies.</w:t>
      </w:r>
    </w:p>
    <w:p>
      <w:pPr>
        <w:spacing w:after="160" w:before="80"/>
      </w:pPr>
      <w:r>
        <w:rPr>
          <w:rFonts w:ascii="Calibri" w:cs="Calibri" w:eastAsia="Calibri" w:hAnsi="Calibri"/>
          <w:color w:val="333333"/>
          <w:sz w:val="19"/>
          <w:szCs w:val="19"/>
        </w:rPr>
        <w:t xml:space="preserve">The 8 workstreams defined in the RFQ represent a comprehensive integrated marketing brief that requires both strategic and executional excellence. We note that the RFQ explicitly requires compliance with child safety and advertising standards, which aligns closely with our own non-negotiable principles.</w:t>
      </w:r>
    </w:p>
    <w:p>
      <w:pPr>
        <w:spacing w:after="160" w:before="80"/>
      </w:pPr>
      <w:r>
        <w:rPr>
          <w:rFonts w:ascii="Calibri" w:cs="Calibri" w:eastAsia="Calibri" w:hAnsi="Calibri"/>
          <w:color w:val="333333"/>
          <w:sz w:val="19"/>
          <w:szCs w:val="19"/>
        </w:rPr>
        <w:t xml:space="preserve">Key challenges we anticipate: (1) Navigating different regulatory environments across markets with different rules for kids advertising; (2) Balancing aspirational brand messaging with accurate health claims; (3) Creating content that is genuinely appealing to kids while being trusted by parents; (4) Coordinating multi-workstream delivery while maintaining consistent brand voice.</w:t>
      </w:r>
    </w:p>
    <w:p>
      <w:r>
        <w:br w:type="page"/>
      </w:r>
    </w:p>
    <w:p>
      <w:pPr>
        <w:pStyle w:val="Heading1"/>
        <w:spacing w:after="120" w:before="240"/>
      </w:pPr>
      <w:r>
        <w:rPr>
          <w:rFonts w:ascii="Calibri" w:cs="Calibri" w:eastAsia="Calibri" w:hAnsi="Calibri"/>
          <w:b/>
          <w:bCs/>
          <w:color w:val="1B3A6B"/>
          <w:sz w:val="28"/>
          <w:szCs w:val="28"/>
        </w:rPr>
        <w:t xml:space="preserve">5. Our Strategic Approach</w:t>
      </w:r>
    </w:p>
    <w:p>
      <w:pPr>
        <w:pBdr>
          <w:bottom w:val="single" w:color="2E6DA4" w:sz="6"/>
        </w:pBdr>
        <w:spacing w:after="0" w:before="0"/>
      </w:pPr>
      <w:r>
        <w:t xml:space="preserve"/>
      </w:r>
    </w:p>
    <w:p>
      <w:pPr>
        <w:spacing w:after="160" w:before="80"/>
      </w:pPr>
      <w:r>
        <w:rPr>
          <w:rFonts w:ascii="Calibri" w:cs="Calibri" w:eastAsia="Calibri" w:hAnsi="Calibri"/>
          <w:color w:val="333333"/>
          <w:sz w:val="19"/>
          <w:szCs w:val="19"/>
        </w:rPr>
        <w:t xml:space="preserve">Our strategic approach to this brief is built on the insight that kids health products face a dual audience challenge: they must appeal to children (who choose what they want) and parents (who decide what they buy). Most campaigns fail by trying to appeal to both simultaneously and resonating with neither.</w:t>
      </w:r>
    </w:p>
    <w:p>
      <w:pPr>
        <w:spacing w:after="160" w:before="80"/>
      </w:pPr>
      <w:r>
        <w:rPr>
          <w:rFonts w:ascii="Calibri" w:cs="Calibri" w:eastAsia="Calibri" w:hAnsi="Calibri"/>
          <w:color w:val="333333"/>
          <w:sz w:val="19"/>
          <w:szCs w:val="19"/>
        </w:rPr>
        <w:t xml:space="preserve">We recommend a two-layer creative architecture: a primary kids layer featuring a playful, adventure-driven character and narrative, and a secondary parent layer providing functional reassurance on health benefits. Both layers are unified by a master brand platform but executed through platform-appropriate content.</w:t>
      </w:r>
    </w:p>
    <w:p>
      <w:pPr>
        <w:spacing w:after="160" w:before="80"/>
      </w:pPr>
      <w:r>
        <w:rPr>
          <w:rFonts w:ascii="Calibri" w:cs="Calibri" w:eastAsia="Calibri" w:hAnsi="Calibri"/>
          <w:color w:val="333333"/>
          <w:sz w:val="19"/>
          <w:szCs w:val="19"/>
        </w:rPr>
        <w:t xml:space="preserve">Strategy Phase 1 (Weeks 1-4): Market immersion, category landscape mapping, consumer insight synthesis (existing research + 2 focus groups with parents), competitive audit, opportunity identification, and brand positioning statement.</w:t>
      </w:r>
    </w:p>
    <w:p>
      <w:pPr>
        <w:spacing w:after="160" w:before="80"/>
      </w:pPr>
      <w:r>
        <w:rPr>
          <w:rFonts w:ascii="Calibri" w:cs="Calibri" w:eastAsia="Calibri" w:hAnsi="Calibri"/>
          <w:color w:val="333333"/>
          <w:sz w:val="19"/>
          <w:szCs w:val="19"/>
        </w:rPr>
        <w:t xml:space="preserve">Strategy Phase 2 (Weeks 5-8): Messaging architecture, creative territories development (3 directions), client review and territory selection, creative brief finalization, and TVC brief development.</w:t>
      </w:r>
    </w:p>
    <w:p>
      <w:pPr>
        <w:spacing w:after="160" w:before="80"/>
      </w:pPr>
      <w:r>
        <w:rPr>
          <w:rFonts w:ascii="Calibri" w:cs="Calibri" w:eastAsia="Calibri" w:hAnsi="Calibri"/>
          <w:color w:val="333333"/>
          <w:sz w:val="19"/>
          <w:szCs w:val="19"/>
        </w:rPr>
        <w:t xml:space="preserve">This phased approach ensures the creative work is built on solid strategic foundations and reduces the risk of expensive production based on weak strategy.</w:t>
      </w:r>
    </w:p>
    <w:p>
      <w:r>
        <w:br w:type="page"/>
      </w:r>
    </w:p>
    <w:p>
      <w:pPr>
        <w:pStyle w:val="Heading1"/>
        <w:spacing w:after="120" w:before="240"/>
      </w:pPr>
      <w:r>
        <w:rPr>
          <w:rFonts w:ascii="Calibri" w:cs="Calibri" w:eastAsia="Calibri" w:hAnsi="Calibri"/>
          <w:b/>
          <w:bCs/>
          <w:color w:val="1B3A6B"/>
          <w:sz w:val="28"/>
          <w:szCs w:val="28"/>
        </w:rPr>
        <w:t xml:space="preserve">6. Creative Philosophy &amp; Process</w:t>
      </w:r>
    </w:p>
    <w:p>
      <w:pPr>
        <w:pBdr>
          <w:bottom w:val="single" w:color="2E6DA4" w:sz="6"/>
        </w:pBdr>
        <w:spacing w:after="0" w:before="0"/>
      </w:pPr>
      <w:r>
        <w:t xml:space="preserve"/>
      </w:r>
    </w:p>
    <w:p>
      <w:pPr>
        <w:spacing w:after="160" w:before="80"/>
      </w:pPr>
      <w:r>
        <w:rPr>
          <w:rFonts w:ascii="Calibri" w:cs="Calibri" w:eastAsia="Calibri" w:hAnsi="Calibri"/>
          <w:color w:val="333333"/>
          <w:sz w:val="19"/>
          <w:szCs w:val="19"/>
        </w:rPr>
        <w:t xml:space="preserve">At PixelCraft, we believe that the best kids advertising does not talk down to children. The most effective campaigns in this category treat kids as intelligent, curious, and capable of complex emotional responses. Our creative process starts from this principle.</w:t>
      </w:r>
    </w:p>
    <w:p>
      <w:pPr>
        <w:spacing w:after="160" w:before="80"/>
      </w:pPr>
      <w:r>
        <w:rPr>
          <w:rFonts w:ascii="Calibri" w:cs="Calibri" w:eastAsia="Calibri" w:hAnsi="Calibri"/>
          <w:color w:val="333333"/>
          <w:sz w:val="19"/>
          <w:szCs w:val="19"/>
        </w:rPr>
        <w:t xml:space="preserve">We use a proprietary creative framework called SPARK (Story, Protagonist, Authenticity, Relevance, Kinetics) for all kids campaigns. This framework has been developed over 12 years and 60+ kids campaigns and consistently delivers work that tests strongly with both child and parent audiences.</w:t>
      </w:r>
    </w:p>
    <w:p>
      <w:pPr>
        <w:spacing w:after="160" w:before="80"/>
      </w:pPr>
      <w:r>
        <w:rPr>
          <w:rFonts w:ascii="Calibri" w:cs="Calibri" w:eastAsia="Calibri" w:hAnsi="Calibri"/>
          <w:color w:val="333333"/>
          <w:sz w:val="19"/>
          <w:szCs w:val="19"/>
        </w:rPr>
        <w:t xml:space="preserve">Creative development at PixelCraft involves: strategic insight as the creative springboard; multi-format ideation across TV, digital, and experiential; co-creation sessions with kids (age-appropriate); rapid prototyping using animatics before full production; and rigorous compliance review before finalisation.</w:t>
      </w:r>
    </w:p>
    <w:p>
      <w:pPr>
        <w:spacing w:after="160" w:before="80"/>
      </w:pPr>
      <w:r>
        <w:rPr>
          <w:rFonts w:ascii="Calibri" w:cs="Calibri" w:eastAsia="Calibri" w:hAnsi="Calibri"/>
          <w:color w:val="333333"/>
          <w:sz w:val="19"/>
          <w:szCs w:val="19"/>
        </w:rPr>
        <w:t xml:space="preserve">Our creative team for this project will be led by Rohan Krishnamurthy (Creative Director, 14 years) and Priya Nair (Senior Art Director, 10 years), both of whom have led award-winning kids campaigns in the past 3 years.</w:t>
      </w:r>
    </w:p>
    <w:p>
      <w:r>
        <w:br w:type="page"/>
      </w:r>
    </w:p>
    <w:p>
      <w:pPr>
        <w:pStyle w:val="Heading1"/>
        <w:spacing w:after="120" w:before="240"/>
      </w:pPr>
      <w:r>
        <w:rPr>
          <w:rFonts w:ascii="Calibri" w:cs="Calibri" w:eastAsia="Calibri" w:hAnsi="Calibri"/>
          <w:b/>
          <w:bCs/>
          <w:color w:val="1B3A6B"/>
          <w:sz w:val="28"/>
          <w:szCs w:val="28"/>
        </w:rPr>
        <w:t xml:space="preserve">7. TVC Production Methodology</w:t>
      </w:r>
    </w:p>
    <w:p>
      <w:pPr>
        <w:pBdr>
          <w:bottom w:val="single" w:color="2E6DA4" w:sz="6"/>
        </w:pBdr>
        <w:spacing w:after="0" w:before="0"/>
      </w:pPr>
      <w:r>
        <w:t xml:space="preserve"/>
      </w:r>
    </w:p>
    <w:p>
      <w:pPr>
        <w:spacing w:after="160" w:before="80"/>
      </w:pPr>
      <w:r>
        <w:rPr>
          <w:rFonts w:ascii="Calibri" w:cs="Calibri" w:eastAsia="Calibri" w:hAnsi="Calibri"/>
          <w:color w:val="333333"/>
          <w:sz w:val="19"/>
          <w:szCs w:val="19"/>
        </w:rPr>
        <w:t xml:space="preserve">PixelCraft's in-house TVC production unit, PixelCraft Films, is fully equipped for commercial film production with specialisation in kids and family content. We maintain our own studio facility in Andheri East, Mumbai with dedicated child-safe production spaces.</w:t>
      </w:r>
    </w:p>
    <w:p>
      <w:pPr>
        <w:spacing w:after="160" w:before="80"/>
      </w:pPr>
      <w:r>
        <w:rPr>
          <w:rFonts w:ascii="Calibri" w:cs="Calibri" w:eastAsia="Calibri" w:hAnsi="Calibri"/>
          <w:color w:val="333333"/>
          <w:sz w:val="19"/>
          <w:szCs w:val="19"/>
        </w:rPr>
        <w:t xml:space="preserve">Our production methodology for kids TVCs follows a 16-step process from brief intake to final delivery, including dedicated compliance checkpoints at pre-production, shoot, and post-production stages. This process has been audited and certified by an independent child welfare body.</w:t>
      </w:r>
    </w:p>
    <w:p>
      <w:pPr>
        <w:spacing w:after="160" w:before="80"/>
      </w:pPr>
      <w:r>
        <w:rPr>
          <w:rFonts w:ascii="Calibri" w:cs="Calibri" w:eastAsia="Calibri" w:hAnsi="Calibri"/>
          <w:color w:val="333333"/>
          <w:sz w:val="19"/>
          <w:szCs w:val="19"/>
        </w:rPr>
        <w:t xml:space="preserve">Child Talent Management: We work exclusively with licensed talent agencies and maintain our own verified roster of 80+ child actors aged 5-14 across Mumbai, Delhi, and Bengaluru. All child actors on our roster are enrolled in our Talent Welfare Programme which includes mandatory health checks, welfare officer assignment, and parent education sessions before any shoot.</w:t>
      </w:r>
    </w:p>
    <w:p>
      <w:pPr>
        <w:spacing w:after="160" w:before="80"/>
      </w:pPr>
      <w:r>
        <w:rPr>
          <w:rFonts w:ascii="Calibri" w:cs="Calibri" w:eastAsia="Calibri" w:hAnsi="Calibri"/>
          <w:color w:val="333333"/>
          <w:sz w:val="19"/>
          <w:szCs w:val="19"/>
        </w:rPr>
        <w:t xml:space="preserve">Post-Production: Our post-production facility handles all formats from broadcast master to social cutdowns in-house. We maintain final deliverables in a secure cloud repository with client access for 5 years post-delivery.</w:t>
      </w:r>
    </w:p>
    <w:p>
      <w:r>
        <w:br w:type="page"/>
      </w:r>
    </w:p>
    <w:p>
      <w:pPr>
        <w:pStyle w:val="Heading1"/>
        <w:spacing w:after="120" w:before="240"/>
      </w:pPr>
      <w:r>
        <w:rPr>
          <w:rFonts w:ascii="Calibri" w:cs="Calibri" w:eastAsia="Calibri" w:hAnsi="Calibri"/>
          <w:b/>
          <w:bCs/>
          <w:color w:val="1B3A6B"/>
          <w:sz w:val="28"/>
          <w:szCs w:val="28"/>
        </w:rPr>
        <w:t xml:space="preserve">8. Digital &amp; Social Content Framework</w:t>
      </w:r>
    </w:p>
    <w:p>
      <w:pPr>
        <w:pBdr>
          <w:bottom w:val="single" w:color="2E6DA4" w:sz="6"/>
        </w:pBdr>
        <w:spacing w:after="0" w:before="0"/>
      </w:pPr>
      <w:r>
        <w:t xml:space="preserve"/>
      </w:r>
    </w:p>
    <w:p>
      <w:pPr>
        <w:spacing w:after="160" w:before="80"/>
      </w:pPr>
      <w:r>
        <w:rPr>
          <w:rFonts w:ascii="Calibri" w:cs="Calibri" w:eastAsia="Calibri" w:hAnsi="Calibri"/>
          <w:color w:val="333333"/>
          <w:sz w:val="19"/>
          <w:szCs w:val="19"/>
        </w:rPr>
        <w:t xml:space="preserve">Our digital and social content approach for this campaign is built on a 'Content Engine' model — a structured, scalable content production system that ensures brand consistency across platforms while enabling platform-native execution.</w:t>
      </w:r>
    </w:p>
    <w:p>
      <w:pPr>
        <w:spacing w:after="160" w:before="80"/>
      </w:pPr>
      <w:r>
        <w:rPr>
          <w:rFonts w:ascii="Calibri" w:cs="Calibri" w:eastAsia="Calibri" w:hAnsi="Calibri"/>
          <w:color w:val="333333"/>
          <w:sz w:val="19"/>
          <w:szCs w:val="19"/>
        </w:rPr>
        <w:t xml:space="preserve">The Content Engine for this campaign will produce: 12 anchor videos (1 per month, 60-90 seconds, cross-platform), 36 platform-specific short-form videos (12 per platform, 15-30 seconds), 120 static/carousel posts (10 per month), 60 Stories/Reels assets (5 per month per platform), and seasonal/topical content on an as-needed basis.</w:t>
      </w:r>
    </w:p>
    <w:p>
      <w:pPr>
        <w:spacing w:after="160" w:before="80"/>
      </w:pPr>
      <w:r>
        <w:rPr>
          <w:rFonts w:ascii="Calibri" w:cs="Calibri" w:eastAsia="Calibri" w:hAnsi="Calibri"/>
          <w:color w:val="333333"/>
          <w:sz w:val="19"/>
          <w:szCs w:val="19"/>
        </w:rPr>
        <w:t xml:space="preserve">Platform Strategy: Meta (Facebook + Instagram) will focus on parent-facing content with functional messaging. YouTube will carry the long-form brand story content. TikTok will feature the most playful, kid-friendly content with participation hooks.</w:t>
      </w:r>
    </w:p>
    <w:p>
      <w:pPr>
        <w:spacing w:after="160" w:before="80"/>
      </w:pPr>
      <w:r>
        <w:rPr>
          <w:rFonts w:ascii="Calibri" w:cs="Calibri" w:eastAsia="Calibri" w:hAnsi="Calibri"/>
          <w:color w:val="333333"/>
          <w:sz w:val="19"/>
          <w:szCs w:val="19"/>
        </w:rPr>
        <w:t xml:space="preserve">We propose a dedicated social content team of 6 for this account: 1 social strategist, 2 content creators, 1 graphic designer, 1 video editor, and 1 community manager. This team will be assigned exclusively to this account during the campaign period.</w:t>
      </w:r>
    </w:p>
    <w:p>
      <w:r>
        <w:br w:type="page"/>
      </w:r>
    </w:p>
    <w:p>
      <w:pPr>
        <w:pStyle w:val="Heading1"/>
        <w:spacing w:after="120" w:before="240"/>
      </w:pPr>
      <w:r>
        <w:rPr>
          <w:rFonts w:ascii="Calibri" w:cs="Calibri" w:eastAsia="Calibri" w:hAnsi="Calibri"/>
          <w:b/>
          <w:bCs/>
          <w:color w:val="1B3A6B"/>
          <w:sz w:val="28"/>
          <w:szCs w:val="28"/>
        </w:rPr>
        <w:t xml:space="preserve">9. Compliance &amp; Child Safety Protocols</w:t>
      </w:r>
    </w:p>
    <w:p>
      <w:pPr>
        <w:pBdr>
          <w:bottom w:val="single" w:color="2E6DA4" w:sz="6"/>
        </w:pBdr>
        <w:spacing w:after="0" w:before="0"/>
      </w:pPr>
      <w:r>
        <w:t xml:space="preserve"/>
      </w:r>
    </w:p>
    <w:p>
      <w:pPr>
        <w:spacing w:after="160" w:before="80"/>
      </w:pPr>
      <w:r>
        <w:rPr>
          <w:rFonts w:ascii="Calibri" w:cs="Calibri" w:eastAsia="Calibri" w:hAnsi="Calibri"/>
          <w:color w:val="333333"/>
          <w:sz w:val="19"/>
          <w:szCs w:val="19"/>
        </w:rPr>
        <w:t xml:space="preserve">PixelCraft maintains one of the most comprehensive child safety and advertising compliance frameworks in the Indian agency landscape. This framework has been independently audited and is reviewed annually by our legal team.</w:t>
      </w:r>
    </w:p>
    <w:p>
      <w:pPr>
        <w:spacing w:after="160" w:before="80"/>
      </w:pPr>
      <w:r>
        <w:rPr>
          <w:rFonts w:ascii="Calibri" w:cs="Calibri" w:eastAsia="Calibri" w:hAnsi="Calibri"/>
          <w:color w:val="333333"/>
          <w:sz w:val="19"/>
          <w:szCs w:val="19"/>
        </w:rPr>
        <w:t xml:space="preserve">Our Compliance Framework covers: Pre-production (script review, claim verification, talent recruitment protocols); During production (on-set welfare officer, working hours compliance, safe environment protocols); Post-production (content review against platform policies, market-specific standards); and Media placement (age-appropriate environments, COPPA/GDPR compliance for digital).</w:t>
      </w:r>
    </w:p>
    <w:p>
      <w:pPr>
        <w:spacing w:after="160" w:before="80"/>
      </w:pPr>
      <w:r>
        <w:rPr>
          <w:rFonts w:ascii="Calibri" w:cs="Calibri" w:eastAsia="Calibri" w:hAnsi="Calibri"/>
          <w:color w:val="333333"/>
          <w:sz w:val="19"/>
          <w:szCs w:val="19"/>
        </w:rPr>
        <w:t xml:space="preserve">Market Coverage: We have direct compliance expertise in India (ASCI, FSSAI, BIS), UK (ASA, CAP), UAE (NMC), and Singapore (ASAS). For USA, Australia, and other markets, we work with our established compliance partner network.</w:t>
      </w:r>
    </w:p>
    <w:p>
      <w:pPr>
        <w:spacing w:after="160" w:before="80"/>
      </w:pPr>
      <w:r>
        <w:rPr>
          <w:rFonts w:ascii="Calibri" w:cs="Calibri" w:eastAsia="Calibri" w:hAnsi="Calibri"/>
          <w:color w:val="333333"/>
          <w:sz w:val="19"/>
          <w:szCs w:val="19"/>
        </w:rPr>
        <w:t xml:space="preserve">Claims Review: All health and nutritional claims go through a 4-step review process: (1) Internal legal review; (2) Client R&amp;D substantiation; (3) Market-specific regulatory review; (4) Final sign-off by Senior Compliance Director. No claims are published without this complete process.</w:t>
      </w:r>
    </w:p>
    <w:p>
      <w:r>
        <w:br w:type="page"/>
      </w:r>
    </w:p>
    <w:p>
      <w:pPr>
        <w:pStyle w:val="Heading1"/>
        <w:spacing w:after="120" w:before="240"/>
      </w:pPr>
      <w:r>
        <w:rPr>
          <w:rFonts w:ascii="Calibri" w:cs="Calibri" w:eastAsia="Calibri" w:hAnsi="Calibri"/>
          <w:b/>
          <w:bCs/>
          <w:color w:val="1B3A6B"/>
          <w:sz w:val="28"/>
          <w:szCs w:val="28"/>
        </w:rPr>
        <w:t xml:space="preserve">10. Proposed Team</w:t>
      </w:r>
    </w:p>
    <w:p>
      <w:pPr>
        <w:pBdr>
          <w:bottom w:val="single" w:color="2E6DA4" w:sz="6"/>
        </w:pBdr>
        <w:spacing w:after="0" w:before="0"/>
      </w:pPr>
      <w:r>
        <w:t xml:space="preserve"/>
      </w:r>
    </w:p>
    <w:p>
      <w:pPr>
        <w:spacing w:after="160" w:before="80"/>
      </w:pPr>
      <w:r>
        <w:rPr>
          <w:rFonts w:ascii="Calibri" w:cs="Calibri" w:eastAsia="Calibri" w:hAnsi="Calibri"/>
          <w:color w:val="333333"/>
          <w:sz w:val="19"/>
          <w:szCs w:val="19"/>
        </w:rPr>
        <w:t xml:space="preserve">The following core team will be dedicated to this account. All team members are confirmed available.</w:t>
      </w:r>
    </w:p>
    <w:p>
      <w:pPr>
        <w:spacing w:after="160" w:before="80"/>
      </w:pPr>
      <w:r>
        <w:rPr>
          <w:rFonts w:ascii="Calibri" w:cs="Calibri" w:eastAsia="Calibri" w:hAnsi="Calibri"/>
          <w:color w:val="333333"/>
          <w:sz w:val="19"/>
          <w:szCs w:val="19"/>
        </w:rPr>
        <w:t xml:space="preserve">Ananya Mehrotra — Account Director (VP, 18 years experience). Overall account ownership, senior client relationship, quality oversight.</w:t>
      </w:r>
    </w:p>
    <w:p>
      <w:pPr>
        <w:spacing w:after="160" w:before="80"/>
      </w:pPr>
      <w:r>
        <w:rPr>
          <w:rFonts w:ascii="Calibri" w:cs="Calibri" w:eastAsia="Calibri" w:hAnsi="Calibri"/>
          <w:color w:val="333333"/>
          <w:sz w:val="19"/>
          <w:szCs w:val="19"/>
        </w:rPr>
        <w:t xml:space="preserve">Rohan Krishnamurthy — Creative Director (14 years). Creative leadership, TVC concept development, campaign vision.</w:t>
      </w:r>
    </w:p>
    <w:p>
      <w:pPr>
        <w:spacing w:after="160" w:before="80"/>
      </w:pPr>
      <w:r>
        <w:rPr>
          <w:rFonts w:ascii="Calibri" w:cs="Calibri" w:eastAsia="Calibri" w:hAnsi="Calibri"/>
          <w:color w:val="333333"/>
          <w:sz w:val="19"/>
          <w:szCs w:val="19"/>
        </w:rPr>
        <w:t xml:space="preserve">Priya Nair — Senior Art Director (10 years). Key visual development, campaign visual identity, digital creative.</w:t>
      </w:r>
    </w:p>
    <w:p>
      <w:pPr>
        <w:spacing w:after="160" w:before="80"/>
      </w:pPr>
      <w:r>
        <w:rPr>
          <w:rFonts w:ascii="Calibri" w:cs="Calibri" w:eastAsia="Calibri" w:hAnsi="Calibri"/>
          <w:color w:val="333333"/>
          <w:sz w:val="19"/>
          <w:szCs w:val="19"/>
        </w:rPr>
        <w:t xml:space="preserve">Vikram Joshi — Production Director (16 years). TVC production management, casting, post-production oversight.</w:t>
      </w:r>
    </w:p>
    <w:p>
      <w:pPr>
        <w:spacing w:after="160" w:before="80"/>
      </w:pPr>
      <w:r>
        <w:rPr>
          <w:rFonts w:ascii="Calibri" w:cs="Calibri" w:eastAsia="Calibri" w:hAnsi="Calibri"/>
          <w:color w:val="333333"/>
          <w:sz w:val="19"/>
          <w:szCs w:val="19"/>
        </w:rPr>
        <w:t xml:space="preserve">Farah Khan — Social Media Director (9 years). Content strategy, community management, influencer partnerships.</w:t>
      </w:r>
    </w:p>
    <w:p>
      <w:pPr>
        <w:spacing w:after="160" w:before="80"/>
      </w:pPr>
      <w:r>
        <w:rPr>
          <w:rFonts w:ascii="Calibri" w:cs="Calibri" w:eastAsia="Calibri" w:hAnsi="Calibri"/>
          <w:color w:val="333333"/>
          <w:sz w:val="19"/>
          <w:szCs w:val="19"/>
        </w:rPr>
        <w:t xml:space="preserve">Amit Gupta — Paid Media Director (11 years). Media strategy, planning, buying and optimization.</w:t>
      </w:r>
    </w:p>
    <w:p>
      <w:pPr>
        <w:spacing w:after="160" w:before="80"/>
      </w:pPr>
      <w:r>
        <w:rPr>
          <w:rFonts w:ascii="Calibri" w:cs="Calibri" w:eastAsia="Calibri" w:hAnsi="Calibri"/>
          <w:color w:val="333333"/>
          <w:sz w:val="19"/>
          <w:szCs w:val="19"/>
        </w:rPr>
        <w:t xml:space="preserve">Dr. Leela Sharma — Compliance Director (8 years). Compliance framework, script review, market-specific sign-offs.</w:t>
      </w:r>
    </w:p>
    <w:p>
      <w:pPr>
        <w:spacing w:after="160" w:before="80"/>
      </w:pPr>
      <w:r>
        <w:rPr>
          <w:rFonts w:ascii="Calibri" w:cs="Calibri" w:eastAsia="Calibri" w:hAnsi="Calibri"/>
          <w:color w:val="333333"/>
          <w:sz w:val="19"/>
          <w:szCs w:val="19"/>
        </w:rPr>
        <w:t xml:space="preserve">Karan Mehta — Project Director (7 years). Day-to-day project management, timelines, stakeholder coordination.</w:t>
      </w:r>
    </w:p>
    <w:p>
      <w:r>
        <w:br w:type="page"/>
      </w:r>
    </w:p>
    <w:p>
      <w:pPr>
        <w:pStyle w:val="Heading1"/>
        <w:spacing w:after="120" w:before="240"/>
      </w:pPr>
      <w:r>
        <w:rPr>
          <w:rFonts w:ascii="Calibri" w:cs="Calibri" w:eastAsia="Calibri" w:hAnsi="Calibri"/>
          <w:b/>
          <w:bCs/>
          <w:color w:val="1B3A6B"/>
          <w:sz w:val="28"/>
          <w:szCs w:val="28"/>
        </w:rPr>
        <w:t xml:space="preserve">11. Project Timelines</w:t>
      </w:r>
    </w:p>
    <w:p>
      <w:pPr>
        <w:pBdr>
          <w:bottom w:val="single" w:color="2E6DA4" w:sz="6"/>
        </w:pBdr>
        <w:spacing w:after="0" w:before="0"/>
      </w:pPr>
      <w:r>
        <w:t xml:space="preserve"/>
      </w:r>
    </w:p>
    <w:p>
      <w:pPr>
        <w:spacing w:after="160" w:before="80"/>
      </w:pPr>
      <w:r>
        <w:rPr>
          <w:rFonts w:ascii="Calibri" w:cs="Calibri" w:eastAsia="Calibri" w:hAnsi="Calibri"/>
          <w:color w:val="333333"/>
          <w:sz w:val="19"/>
          <w:szCs w:val="19"/>
        </w:rPr>
        <w:t xml:space="preserve">The following indicative timeline has been developed based on the RFQ's specified deadlines. All timelines assume client-side approvals within 3 working days unless otherwise agreed.</w:t>
      </w:r>
    </w:p>
    <w:p>
      <w:pPr>
        <w:spacing w:after="160" w:before="80"/>
      </w:pPr>
      <w:r>
        <w:rPr>
          <w:rFonts w:ascii="Calibri" w:cs="Calibri" w:eastAsia="Calibri" w:hAnsi="Calibri"/>
          <w:color w:val="333333"/>
          <w:sz w:val="19"/>
          <w:szCs w:val="19"/>
        </w:rPr>
        <w:t xml:space="preserve">Week 1-2: Project kick-off, team onboarding, stakeholder interviews, brand immersion.</w:t>
      </w:r>
    </w:p>
    <w:p>
      <w:pPr>
        <w:spacing w:after="160" w:before="80"/>
      </w:pPr>
      <w:r>
        <w:rPr>
          <w:rFonts w:ascii="Calibri" w:cs="Calibri" w:eastAsia="Calibri" w:hAnsi="Calibri"/>
          <w:color w:val="333333"/>
          <w:sz w:val="19"/>
          <w:szCs w:val="19"/>
        </w:rPr>
        <w:t xml:space="preserve">Week 3-5: Category research, consumer insight synthesis, competitive audit, brand positioning workshop.</w:t>
      </w:r>
    </w:p>
    <w:p>
      <w:pPr>
        <w:spacing w:after="160" w:before="80"/>
      </w:pPr>
      <w:r>
        <w:rPr>
          <w:rFonts w:ascii="Calibri" w:cs="Calibri" w:eastAsia="Calibri" w:hAnsi="Calibri"/>
          <w:color w:val="333333"/>
          <w:sz w:val="19"/>
          <w:szCs w:val="19"/>
        </w:rPr>
        <w:t xml:space="preserve">Week 6-8: Creative territory development, client review, territory selection, TVC brief.</w:t>
      </w:r>
    </w:p>
    <w:p>
      <w:pPr>
        <w:spacing w:after="160" w:before="80"/>
      </w:pPr>
      <w:r>
        <w:rPr>
          <w:rFonts w:ascii="Calibri" w:cs="Calibri" w:eastAsia="Calibri" w:hAnsi="Calibri"/>
          <w:color w:val="333333"/>
          <w:sz w:val="19"/>
          <w:szCs w:val="19"/>
        </w:rPr>
        <w:t xml:space="preserve">Week 9-11: TVC script development (2 options), storyboard, animatic, client review.</w:t>
      </w:r>
    </w:p>
    <w:p>
      <w:pPr>
        <w:spacing w:after="160" w:before="80"/>
      </w:pPr>
      <w:r>
        <w:rPr>
          <w:rFonts w:ascii="Calibri" w:cs="Calibri" w:eastAsia="Calibri" w:hAnsi="Calibri"/>
          <w:color w:val="333333"/>
          <w:sz w:val="19"/>
          <w:szCs w:val="19"/>
        </w:rPr>
        <w:t xml:space="preserve">Week 12-15: Pre-production (casting, locations, crew, compliance pre-clearance).</w:t>
      </w:r>
    </w:p>
    <w:p>
      <w:pPr>
        <w:spacing w:after="160" w:before="80"/>
      </w:pPr>
      <w:r>
        <w:rPr>
          <w:rFonts w:ascii="Calibri" w:cs="Calibri" w:eastAsia="Calibri" w:hAnsi="Calibri"/>
          <w:color w:val="333333"/>
          <w:sz w:val="19"/>
          <w:szCs w:val="19"/>
        </w:rPr>
        <w:t xml:space="preserve">Week 16-18: TVC shoot (3-4 days), on-set compliance sign-off, footage review.</w:t>
      </w:r>
    </w:p>
    <w:p>
      <w:pPr>
        <w:spacing w:after="160" w:before="80"/>
      </w:pPr>
      <w:r>
        <w:rPr>
          <w:rFonts w:ascii="Calibri" w:cs="Calibri" w:eastAsia="Calibri" w:hAnsi="Calibri"/>
          <w:color w:val="333333"/>
          <w:sz w:val="19"/>
          <w:szCs w:val="19"/>
        </w:rPr>
        <w:t xml:space="preserve">Week 19-23: Post-production, VFX, colour, sound, cutdowns, QC.</w:t>
      </w:r>
    </w:p>
    <w:p>
      <w:pPr>
        <w:spacing w:after="160" w:before="80"/>
      </w:pPr>
      <w:r>
        <w:rPr>
          <w:rFonts w:ascii="Calibri" w:cs="Calibri" w:eastAsia="Calibri" w:hAnsi="Calibri"/>
          <w:color w:val="333333"/>
          <w:sz w:val="19"/>
          <w:szCs w:val="19"/>
        </w:rPr>
        <w:t xml:space="preserve">Week 24: TVC master delivery, format delivery, compliance certificates.</w:t>
      </w:r>
    </w:p>
    <w:p>
      <w:pPr>
        <w:spacing w:after="160" w:before="80"/>
      </w:pPr>
      <w:r>
        <w:rPr>
          <w:rFonts w:ascii="Calibri" w:cs="Calibri" w:eastAsia="Calibri" w:hAnsi="Calibri"/>
          <w:color w:val="333333"/>
          <w:sz w:val="19"/>
          <w:szCs w:val="19"/>
        </w:rPr>
        <w:t xml:space="preserve">Week 14 onwards: Social content engine running in parallel — Month 1 calendar live.</w:t>
      </w:r>
    </w:p>
    <w:p>
      <w:pPr>
        <w:spacing w:after="160" w:before="80"/>
      </w:pPr>
      <w:r>
        <w:rPr>
          <w:rFonts w:ascii="Calibri" w:cs="Calibri" w:eastAsia="Calibri" w:hAnsi="Calibri"/>
          <w:color w:val="333333"/>
          <w:sz w:val="19"/>
          <w:szCs w:val="19"/>
        </w:rPr>
        <w:t xml:space="preserve">Week 20 onwards: Paid media campaigns live, with weekly optimization reports.</w:t>
      </w:r>
    </w:p>
    <w:p>
      <w:pPr>
        <w:spacing w:after="160" w:before="80"/>
      </w:pPr>
      <w:r>
        <w:rPr>
          <w:rFonts w:ascii="Calibri" w:cs="Calibri" w:eastAsia="Calibri" w:hAnsi="Calibri"/>
          <w:color w:val="333333"/>
          <w:sz w:val="19"/>
          <w:szCs w:val="19"/>
        </w:rPr>
        <w:t xml:space="preserve">Week 26-52: Ongoing social content delivery, media optimization, quarterly reviews.</w:t>
      </w:r>
    </w:p>
    <w:p>
      <w:r>
        <w:br w:type="page"/>
      </w:r>
    </w:p>
    <w:p>
      <w:pPr>
        <w:pStyle w:val="Heading1"/>
        <w:spacing w:after="120" w:before="240"/>
      </w:pPr>
      <w:r>
        <w:rPr>
          <w:rFonts w:ascii="Calibri" w:cs="Calibri" w:eastAsia="Calibri" w:hAnsi="Calibri"/>
          <w:b/>
          <w:bCs/>
          <w:color w:val="1B3A6B"/>
          <w:sz w:val="28"/>
          <w:szCs w:val="28"/>
        </w:rPr>
        <w:t xml:space="preserve">12. Commercial Proposal</w:t>
      </w:r>
    </w:p>
    <w:p>
      <w:pPr>
        <w:pBdr>
          <w:bottom w:val="single" w:color="2E6DA4" w:sz="6"/>
        </w:pBdr>
        <w:spacing w:after="0" w:before="0"/>
      </w:pPr>
      <w:r>
        <w:t xml:space="preserve"/>
      </w:r>
    </w:p>
    <w:p>
      <w:pPr>
        <w:shd w:fill="FFF3CD" w:val="solid"/>
        <w:spacing w:after="80" w:before="80"/>
      </w:pPr>
      <w:r>
        <w:rPr>
          <w:rFonts w:ascii="Calibri" w:cs="Calibri" w:eastAsia="Calibri" w:hAnsi="Calibri"/>
          <w:b/>
          <w:bCs/>
          <w:color w:val="C0392B"/>
          <w:sz w:val="17"/>
          <w:szCs w:val="17"/>
        </w:rPr>
        <w:t xml:space="preserve">⚠  TERMINOLOGY NOTE: In this document, 'Project Fee' = total agency charges inclusive of GST (18%). 'Agency Fee' = fee exclusive of GST. 'Total Cost' = synonym for Project Fee in summary tables. 'Passthrough Costs' = media spends, OOP expenses — billed separately at actuals. Evaluators should use 'Total Agency Fee (excl. GST)' for like-for-like comparison.</w:t>
      </w:r>
    </w:p>
    <w:p>
      <w:pPr>
        <w:spacing w:after="160" w:before="80"/>
      </w:pPr>
      <w:r>
        <w:rPr>
          <w:rFonts w:ascii="Calibri" w:cs="Calibri" w:eastAsia="Calibri" w:hAnsi="Calibri"/>
          <w:color w:val="333333"/>
          <w:sz w:val="19"/>
          <w:szCs w:val="19"/>
        </w:rPr>
        <w:t xml:space="preserve"/>
      </w:r>
    </w:p>
    <w:p>
      <w:pPr>
        <w:pStyle w:val="Heading2"/>
        <w:spacing w:after="120" w:before="240"/>
      </w:pPr>
      <w:r>
        <w:rPr>
          <w:rFonts w:ascii="Calibri" w:cs="Calibri" w:eastAsia="Calibri" w:hAnsi="Calibri"/>
          <w:b/>
          <w:bCs/>
          <w:color w:val="1B3A6B"/>
          <w:sz w:val="24"/>
          <w:szCs w:val="24"/>
        </w:rPr>
        <w:t xml:space="preserve">12.1 Lot-wise Summary — Total Cost Overview</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6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Lot #</w:t>
            </w:r>
          </w:p>
        </w:tc>
        <w:tc>
          <w:tcPr>
            <w:tcW w:type="dxa" w:w="35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Workstream</w:t>
            </w:r>
          </w:p>
        </w:tc>
        <w:tc>
          <w:tcPr>
            <w:tcW w:type="dxa" w:w="20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Agency Fee (ex-GST)</w:t>
            </w:r>
          </w:p>
        </w:tc>
        <w:tc>
          <w:tcPr>
            <w:tcW w:type="dxa" w:w="15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GST (18%)</w:t>
            </w:r>
          </w:p>
        </w:tc>
        <w:tc>
          <w:tcPr>
            <w:tcW w:type="dxa" w:w="22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Project Fee (incl. GST)</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w:t>
            </w:r>
          </w:p>
        </w:tc>
        <w:tc>
          <w:tcPr>
            <w:tcW w:type="dxa" w:w="35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Strategy &amp; Creative Development</w:t>
            </w:r>
          </w:p>
        </w:tc>
        <w:tc>
          <w:tcPr>
            <w:tcW w:type="dxa" w:w="2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₹32,00,000</w:t>
            </w:r>
          </w:p>
        </w:tc>
        <w:tc>
          <w:tcPr>
            <w:tcW w:type="dxa" w:w="15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₹5,76,000</w:t>
            </w:r>
          </w:p>
        </w:tc>
        <w:tc>
          <w:tcPr>
            <w:tcW w:type="dxa" w:w="22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₹37,76,000</w:t>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2</w:t>
            </w:r>
          </w:p>
        </w:tc>
        <w:tc>
          <w:tcPr>
            <w:tcW w:type="dxa" w:w="35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TVC Development</w:t>
            </w:r>
          </w:p>
        </w:tc>
        <w:tc>
          <w:tcPr>
            <w:tcW w:type="dxa" w:w="2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₹24,50,000</w:t>
            </w:r>
          </w:p>
        </w:tc>
        <w:tc>
          <w:tcPr>
            <w:tcW w:type="dxa" w:w="15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₹4,41,000</w:t>
            </w:r>
          </w:p>
        </w:tc>
        <w:tc>
          <w:tcPr>
            <w:tcW w:type="dxa" w:w="22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₹28,91,000</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3</w:t>
            </w:r>
          </w:p>
        </w:tc>
        <w:tc>
          <w:tcPr>
            <w:tcW w:type="dxa" w:w="35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TVC Production</w:t>
            </w:r>
          </w:p>
        </w:tc>
        <w:tc>
          <w:tcPr>
            <w:tcW w:type="dxa" w:w="2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₹54,00,000</w:t>
            </w:r>
          </w:p>
        </w:tc>
        <w:tc>
          <w:tcPr>
            <w:tcW w:type="dxa" w:w="15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₹9,72,000</w:t>
            </w:r>
          </w:p>
        </w:tc>
        <w:tc>
          <w:tcPr>
            <w:tcW w:type="dxa" w:w="22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₹63,72,000</w:t>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4</w:t>
            </w:r>
          </w:p>
        </w:tc>
        <w:tc>
          <w:tcPr>
            <w:tcW w:type="dxa" w:w="35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Social Organic Content (12 months)</w:t>
            </w:r>
          </w:p>
        </w:tc>
        <w:tc>
          <w:tcPr>
            <w:tcW w:type="dxa" w:w="2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₹38,00,000</w:t>
            </w:r>
          </w:p>
        </w:tc>
        <w:tc>
          <w:tcPr>
            <w:tcW w:type="dxa" w:w="15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₹6,84,000</w:t>
            </w:r>
          </w:p>
        </w:tc>
        <w:tc>
          <w:tcPr>
            <w:tcW w:type="dxa" w:w="22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₹44,84,000</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5</w:t>
            </w:r>
          </w:p>
        </w:tc>
        <w:tc>
          <w:tcPr>
            <w:tcW w:type="dxa" w:w="35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Paid Media Planning</w:t>
            </w:r>
          </w:p>
        </w:tc>
        <w:tc>
          <w:tcPr>
            <w:tcW w:type="dxa" w:w="2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₹12,50,000</w:t>
            </w:r>
          </w:p>
        </w:tc>
        <w:tc>
          <w:tcPr>
            <w:tcW w:type="dxa" w:w="15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₹2,25,000</w:t>
            </w:r>
          </w:p>
        </w:tc>
        <w:tc>
          <w:tcPr>
            <w:tcW w:type="dxa" w:w="22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₹14,75,000</w:t>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6</w:t>
            </w:r>
          </w:p>
        </w:tc>
        <w:tc>
          <w:tcPr>
            <w:tcW w:type="dxa" w:w="35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Paid Media Buying &amp; Optimization</w:t>
            </w:r>
          </w:p>
        </w:tc>
        <w:tc>
          <w:tcPr>
            <w:tcW w:type="dxa" w:w="2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₹28,00,000</w:t>
            </w:r>
          </w:p>
        </w:tc>
        <w:tc>
          <w:tcPr>
            <w:tcW w:type="dxa" w:w="15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₹5,04,000</w:t>
            </w:r>
          </w:p>
        </w:tc>
        <w:tc>
          <w:tcPr>
            <w:tcW w:type="dxa" w:w="22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₹33,04,000</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7</w:t>
            </w:r>
          </w:p>
        </w:tc>
        <w:tc>
          <w:tcPr>
            <w:tcW w:type="dxa" w:w="35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Kids Advertising Compliance Review</w:t>
            </w:r>
          </w:p>
        </w:tc>
        <w:tc>
          <w:tcPr>
            <w:tcW w:type="dxa" w:w="2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₹18,00,000</w:t>
            </w:r>
          </w:p>
        </w:tc>
        <w:tc>
          <w:tcPr>
            <w:tcW w:type="dxa" w:w="15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₹3,24,000</w:t>
            </w:r>
          </w:p>
        </w:tc>
        <w:tc>
          <w:tcPr>
            <w:tcW w:type="dxa" w:w="22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₹21,24,000</w:t>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8</w:t>
            </w:r>
          </w:p>
        </w:tc>
        <w:tc>
          <w:tcPr>
            <w:tcW w:type="dxa" w:w="35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Launch Program Management</w:t>
            </w:r>
          </w:p>
        </w:tc>
        <w:tc>
          <w:tcPr>
            <w:tcW w:type="dxa" w:w="2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₹22,00,000</w:t>
            </w:r>
          </w:p>
        </w:tc>
        <w:tc>
          <w:tcPr>
            <w:tcW w:type="dxa" w:w="15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₹3,96,000</w:t>
            </w:r>
          </w:p>
        </w:tc>
        <w:tc>
          <w:tcPr>
            <w:tcW w:type="dxa" w:w="22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₹25,96,000</w:t>
            </w:r>
          </w:p>
        </w:tc>
      </w:tr>
      <w:tr>
        <w:tc>
          <w:tcPr>
            <w:tcW w:type="dxa" w:w="600"/>
            <w:tcBorders>
              <w:top w:val="single" w:color="CCCCCC" w:sz="6"/>
              <w:left w:val="single" w:color="CCCCCC" w:sz="6"/>
              <w:bottom w:val="single" w:color="CCCCCC" w:sz="6"/>
              <w:right w:val="single" w:color="CCCCCC" w:sz="6"/>
            </w:tcBorders>
            <w:shd w:fill="D9E8F7" w:val="solid"/>
            <w:vAlign w:val="center"/>
          </w:tcPr>
          <w:p>
            <w:r>
              <w:rPr>
                <w:rFonts w:ascii="Calibri" w:cs="Calibri" w:eastAsia="Calibri" w:hAnsi="Calibri"/>
                <w:b/>
                <w:bCs/>
                <w:color w:val="1B3A6B"/>
                <w:sz w:val="17"/>
                <w:szCs w:val="17"/>
              </w:rPr>
              <w:t xml:space="preserve"/>
            </w:r>
          </w:p>
        </w:tc>
        <w:tc>
          <w:tcPr>
            <w:tcW w:type="dxa" w:w="3500"/>
            <w:tcBorders>
              <w:top w:val="single" w:color="CCCCCC" w:sz="6"/>
              <w:left w:val="single" w:color="CCCCCC" w:sz="6"/>
              <w:bottom w:val="single" w:color="CCCCCC" w:sz="6"/>
              <w:right w:val="single" w:color="CCCCCC" w:sz="6"/>
            </w:tcBorders>
            <w:shd w:fill="D9E8F7" w:val="solid"/>
            <w:vAlign w:val="center"/>
          </w:tcPr>
          <w:p>
            <w:r>
              <w:rPr>
                <w:rFonts w:ascii="Calibri" w:cs="Calibri" w:eastAsia="Calibri" w:hAnsi="Calibri"/>
                <w:b/>
                <w:bCs/>
                <w:color w:val="1B3A6B"/>
                <w:sz w:val="17"/>
                <w:szCs w:val="17"/>
              </w:rPr>
              <w:t xml:space="preserve">Total Agency Fee (ex-GST)</w:t>
            </w:r>
          </w:p>
        </w:tc>
        <w:tc>
          <w:tcPr>
            <w:tcW w:type="dxa" w:w="2000"/>
            <w:tcBorders>
              <w:top w:val="single" w:color="CCCCCC" w:sz="6"/>
              <w:left w:val="single" w:color="CCCCCC" w:sz="6"/>
              <w:bottom w:val="single" w:color="CCCCCC" w:sz="6"/>
              <w:right w:val="single" w:color="CCCCCC" w:sz="6"/>
            </w:tcBorders>
            <w:shd w:fill="D9E8F7" w:val="solid"/>
            <w:vAlign w:val="center"/>
          </w:tcPr>
          <w:p>
            <w:r>
              <w:rPr>
                <w:rFonts w:ascii="Calibri" w:cs="Calibri" w:eastAsia="Calibri" w:hAnsi="Calibri"/>
                <w:b/>
                <w:bCs/>
                <w:color w:val="1B3A6B"/>
                <w:sz w:val="17"/>
                <w:szCs w:val="17"/>
              </w:rPr>
              <w:t xml:space="preserve">₹2,29,00,000</w:t>
            </w:r>
          </w:p>
        </w:tc>
        <w:tc>
          <w:tcPr>
            <w:tcW w:type="dxa" w:w="1500"/>
            <w:tcBorders>
              <w:top w:val="single" w:color="CCCCCC" w:sz="6"/>
              <w:left w:val="single" w:color="CCCCCC" w:sz="6"/>
              <w:bottom w:val="single" w:color="CCCCCC" w:sz="6"/>
              <w:right w:val="single" w:color="CCCCCC" w:sz="6"/>
            </w:tcBorders>
            <w:shd w:fill="D9E8F7" w:val="solid"/>
            <w:vAlign w:val="center"/>
          </w:tcPr>
          <w:p>
            <w:r>
              <w:rPr>
                <w:rFonts w:ascii="Calibri" w:cs="Calibri" w:eastAsia="Calibri" w:hAnsi="Calibri"/>
                <w:b/>
                <w:bCs/>
                <w:color w:val="1B3A6B"/>
                <w:sz w:val="17"/>
                <w:szCs w:val="17"/>
              </w:rPr>
              <w:t xml:space="preserve">₹41,22,000</w:t>
            </w:r>
          </w:p>
        </w:tc>
        <w:tc>
          <w:tcPr>
            <w:tcW w:type="dxa" w:w="2200"/>
            <w:tcBorders>
              <w:top w:val="single" w:color="CCCCCC" w:sz="6"/>
              <w:left w:val="single" w:color="CCCCCC" w:sz="6"/>
              <w:bottom w:val="single" w:color="CCCCCC" w:sz="6"/>
              <w:right w:val="single" w:color="CCCCCC" w:sz="6"/>
            </w:tcBorders>
            <w:shd w:fill="D9E8F7" w:val="solid"/>
            <w:vAlign w:val="center"/>
          </w:tcPr>
          <w:p>
            <w:r>
              <w:rPr>
                <w:rFonts w:ascii="Calibri" w:cs="Calibri" w:eastAsia="Calibri" w:hAnsi="Calibri"/>
                <w:b/>
                <w:bCs/>
                <w:color w:val="1B3A6B"/>
                <w:sz w:val="17"/>
                <w:szCs w:val="17"/>
              </w:rPr>
              <w:t xml:space="preserve"/>
            </w:r>
          </w:p>
        </w:tc>
      </w:tr>
      <w:tr>
        <w:tc>
          <w:tcPr>
            <w:tcW w:type="dxa" w:w="600"/>
            <w:tcBorders>
              <w:top w:val="single" w:color="CCCCCC" w:sz="6"/>
              <w:left w:val="single" w:color="CCCCCC" w:sz="6"/>
              <w:bottom w:val="single" w:color="CCCCCC" w:sz="6"/>
              <w:right w:val="single" w:color="CCCCCC" w:sz="6"/>
            </w:tcBorders>
            <w:shd w:fill="1B3A6B" w:val="solid"/>
            <w:vAlign w:val="center"/>
          </w:tcPr>
          <w:p>
            <w:r>
              <w:rPr>
                <w:rFonts w:ascii="Calibri" w:cs="Calibri" w:eastAsia="Calibri" w:hAnsi="Calibri"/>
                <w:b/>
                <w:bCs/>
                <w:color w:val="FFFFFF"/>
                <w:sz w:val="17"/>
                <w:szCs w:val="17"/>
              </w:rPr>
              <w:t xml:space="preserve"/>
            </w:r>
          </w:p>
        </w:tc>
        <w:tc>
          <w:tcPr>
            <w:tcW w:type="dxa" w:w="3500"/>
            <w:tcBorders>
              <w:top w:val="single" w:color="CCCCCC" w:sz="6"/>
              <w:left w:val="single" w:color="CCCCCC" w:sz="6"/>
              <w:bottom w:val="single" w:color="CCCCCC" w:sz="6"/>
              <w:right w:val="single" w:color="CCCCCC" w:sz="6"/>
            </w:tcBorders>
            <w:shd w:fill="1B3A6B" w:val="solid"/>
            <w:vAlign w:val="center"/>
          </w:tcPr>
          <w:p>
            <w:r>
              <w:rPr>
                <w:rFonts w:ascii="Calibri" w:cs="Calibri" w:eastAsia="Calibri" w:hAnsi="Calibri"/>
                <w:b/>
                <w:bCs/>
                <w:color w:val="FFFFFF"/>
                <w:sz w:val="17"/>
                <w:szCs w:val="17"/>
              </w:rPr>
              <w:t xml:space="preserve">Total Cost / Project Fee (incl. GST)</w:t>
            </w:r>
          </w:p>
        </w:tc>
        <w:tc>
          <w:tcPr>
            <w:tcW w:type="dxa" w:w="2000"/>
            <w:tcBorders>
              <w:top w:val="single" w:color="CCCCCC" w:sz="6"/>
              <w:left w:val="single" w:color="CCCCCC" w:sz="6"/>
              <w:bottom w:val="single" w:color="CCCCCC" w:sz="6"/>
              <w:right w:val="single" w:color="CCCCCC" w:sz="6"/>
            </w:tcBorders>
            <w:shd w:fill="1B3A6B" w:val="solid"/>
            <w:vAlign w:val="center"/>
          </w:tcPr>
          <w:p>
            <w:r>
              <w:rPr>
                <w:rFonts w:ascii="Calibri" w:cs="Calibri" w:eastAsia="Calibri" w:hAnsi="Calibri"/>
                <w:b/>
                <w:bCs/>
                <w:color w:val="FFFFFF"/>
                <w:sz w:val="17"/>
                <w:szCs w:val="17"/>
              </w:rPr>
              <w:t xml:space="preserve"/>
            </w:r>
          </w:p>
        </w:tc>
        <w:tc>
          <w:tcPr>
            <w:tcW w:type="dxa" w:w="1500"/>
            <w:tcBorders>
              <w:top w:val="single" w:color="CCCCCC" w:sz="6"/>
              <w:left w:val="single" w:color="CCCCCC" w:sz="6"/>
              <w:bottom w:val="single" w:color="CCCCCC" w:sz="6"/>
              <w:right w:val="single" w:color="CCCCCC" w:sz="6"/>
            </w:tcBorders>
            <w:shd w:fill="1B3A6B" w:val="solid"/>
            <w:vAlign w:val="center"/>
          </w:tcPr>
          <w:p>
            <w:r>
              <w:rPr>
                <w:rFonts w:ascii="Calibri" w:cs="Calibri" w:eastAsia="Calibri" w:hAnsi="Calibri"/>
                <w:b/>
                <w:bCs/>
                <w:color w:val="FFFFFF"/>
                <w:sz w:val="17"/>
                <w:szCs w:val="17"/>
              </w:rPr>
              <w:t xml:space="preserve"/>
            </w:r>
          </w:p>
        </w:tc>
        <w:tc>
          <w:tcPr>
            <w:tcW w:type="dxa" w:w="2200"/>
            <w:tcBorders>
              <w:top w:val="single" w:color="CCCCCC" w:sz="6"/>
              <w:left w:val="single" w:color="CCCCCC" w:sz="6"/>
              <w:bottom w:val="single" w:color="CCCCCC" w:sz="6"/>
              <w:right w:val="single" w:color="CCCCCC" w:sz="6"/>
            </w:tcBorders>
            <w:shd w:fill="1B3A6B" w:val="solid"/>
            <w:vAlign w:val="center"/>
          </w:tcPr>
          <w:p>
            <w:r>
              <w:rPr>
                <w:rFonts w:ascii="Calibri" w:cs="Calibri" w:eastAsia="Calibri" w:hAnsi="Calibri"/>
                <w:b/>
                <w:bCs/>
                <w:color w:val="FFFFFF"/>
                <w:sz w:val="17"/>
                <w:szCs w:val="17"/>
              </w:rPr>
              <w:t xml:space="preserve">₹2,70,22,000</w:t>
            </w:r>
          </w:p>
        </w:tc>
      </w:tr>
    </w:tbl>
    <w:p>
      <w:pPr>
        <w:spacing w:after="160" w:before="80"/>
      </w:pPr>
      <w:r>
        <w:rPr>
          <w:rFonts w:ascii="Calibri" w:cs="Calibri" w:eastAsia="Calibri" w:hAnsi="Calibri"/>
          <w:color w:val="333333"/>
          <w:sz w:val="19"/>
          <w:szCs w:val="19"/>
        </w:rPr>
        <w:t xml:space="preserve"/>
      </w:r>
    </w:p>
    <w:p>
      <w:pPr>
        <w:shd w:fill="FFF3CD" w:val="solid"/>
        <w:spacing w:after="80" w:before="80"/>
      </w:pPr>
      <w:r>
        <w:rPr>
          <w:rFonts w:ascii="Calibri" w:cs="Calibri" w:eastAsia="Calibri" w:hAnsi="Calibri"/>
          <w:b/>
          <w:bCs/>
          <w:color w:val="C0392B"/>
          <w:sz w:val="17"/>
          <w:szCs w:val="17"/>
        </w:rPr>
        <w:t xml:space="preserve">⚠  The above 'Total Cost' / 'Project Fee' covers agency fees only. Recommended media spend (passthrough) for global launch period: INR 8-12 Crore (client-funded). PixelCraft charges no commission on media — billed at net rates with full transparency.</w:t>
      </w:r>
    </w:p>
    <w:p>
      <w:pPr>
        <w:spacing w:after="160" w:before="80"/>
      </w:pPr>
      <w:r>
        <w:rPr>
          <w:rFonts w:ascii="Calibri" w:cs="Calibri" w:eastAsia="Calibri" w:hAnsi="Calibri"/>
          <w:color w:val="333333"/>
          <w:sz w:val="19"/>
          <w:szCs w:val="19"/>
        </w:rPr>
        <w:t xml:space="preserve"/>
      </w:r>
    </w:p>
    <w:p>
      <w:pPr>
        <w:pStyle w:val="Heading2"/>
        <w:spacing w:after="120" w:before="240"/>
      </w:pPr>
      <w:r>
        <w:rPr>
          <w:rFonts w:ascii="Calibri" w:cs="Calibri" w:eastAsia="Calibri" w:hAnsi="Calibri"/>
          <w:b/>
          <w:bCs/>
          <w:color w:val="1B3A6B"/>
          <w:sz w:val="24"/>
          <w:szCs w:val="24"/>
        </w:rPr>
        <w:t xml:space="preserve">12.2 Lot 1 &amp; 2 — Detailed Breakdown: Strategy &amp; Creative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6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w:t>
            </w:r>
          </w:p>
        </w:tc>
        <w:tc>
          <w:tcPr>
            <w:tcW w:type="dxa" w:w="40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Deliverable</w:t>
            </w:r>
          </w:p>
        </w:tc>
        <w:tc>
          <w:tcPr>
            <w:tcW w:type="dxa" w:w="8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Qty</w:t>
            </w:r>
          </w:p>
        </w:tc>
        <w:tc>
          <w:tcPr>
            <w:tcW w:type="dxa" w:w="18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Unit Rate (₹)</w:t>
            </w:r>
          </w:p>
        </w:tc>
        <w:tc>
          <w:tcPr>
            <w:tcW w:type="dxa" w:w="16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Total (₹)</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1.1</w:t>
            </w:r>
          </w:p>
        </w:tc>
        <w:tc>
          <w:tcPr>
            <w:tcW w:type="dxa" w:w="4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Brand Strategy Workshop &amp; Report</w:t>
            </w:r>
          </w:p>
        </w:tc>
        <w:tc>
          <w:tcPr>
            <w:tcW w:type="dxa" w:w="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w:t>
            </w:r>
          </w:p>
        </w:tc>
        <w:tc>
          <w:tcPr>
            <w:tcW w:type="dxa" w:w="1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5,00,000</w:t>
            </w:r>
          </w:p>
        </w:tc>
        <w:tc>
          <w:tcPr>
            <w:tcW w:type="dxa" w:w="1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5,00,000</w:t>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1.2</w:t>
            </w:r>
          </w:p>
        </w:tc>
        <w:tc>
          <w:tcPr>
            <w:tcW w:type="dxa" w:w="4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Consumer Insight Synthesis</w:t>
            </w:r>
          </w:p>
        </w:tc>
        <w:tc>
          <w:tcPr>
            <w:tcW w:type="dxa" w:w="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1</w:t>
            </w:r>
          </w:p>
        </w:tc>
        <w:tc>
          <w:tcPr>
            <w:tcW w:type="dxa" w:w="1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2,50,000</w:t>
            </w:r>
          </w:p>
        </w:tc>
        <w:tc>
          <w:tcPr>
            <w:tcW w:type="dxa" w:w="1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2,50,000</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1.3</w:t>
            </w:r>
          </w:p>
        </w:tc>
        <w:tc>
          <w:tcPr>
            <w:tcW w:type="dxa" w:w="4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Messaging Architecture</w:t>
            </w:r>
          </w:p>
        </w:tc>
        <w:tc>
          <w:tcPr>
            <w:tcW w:type="dxa" w:w="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w:t>
            </w:r>
          </w:p>
        </w:tc>
        <w:tc>
          <w:tcPr>
            <w:tcW w:type="dxa" w:w="1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3,00,000</w:t>
            </w:r>
          </w:p>
        </w:tc>
        <w:tc>
          <w:tcPr>
            <w:tcW w:type="dxa" w:w="1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3,00,000</w:t>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1.4</w:t>
            </w:r>
          </w:p>
        </w:tc>
        <w:tc>
          <w:tcPr>
            <w:tcW w:type="dxa" w:w="4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Creative Territory x3</w:t>
            </w:r>
          </w:p>
        </w:tc>
        <w:tc>
          <w:tcPr>
            <w:tcW w:type="dxa" w:w="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3</w:t>
            </w:r>
          </w:p>
        </w:tc>
        <w:tc>
          <w:tcPr>
            <w:tcW w:type="dxa" w:w="1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4,50,000</w:t>
            </w:r>
          </w:p>
        </w:tc>
        <w:tc>
          <w:tcPr>
            <w:tcW w:type="dxa" w:w="1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13,50,000</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1.5</w:t>
            </w:r>
          </w:p>
        </w:tc>
        <w:tc>
          <w:tcPr>
            <w:tcW w:type="dxa" w:w="4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Key Visual Development</w:t>
            </w:r>
          </w:p>
        </w:tc>
        <w:tc>
          <w:tcPr>
            <w:tcW w:type="dxa" w:w="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w:t>
            </w:r>
          </w:p>
        </w:tc>
        <w:tc>
          <w:tcPr>
            <w:tcW w:type="dxa" w:w="1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3,50,000</w:t>
            </w:r>
          </w:p>
        </w:tc>
        <w:tc>
          <w:tcPr>
            <w:tcW w:type="dxa" w:w="1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3,50,000</w:t>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1.6</w:t>
            </w:r>
          </w:p>
        </w:tc>
        <w:tc>
          <w:tcPr>
            <w:tcW w:type="dxa" w:w="4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Master Campaign Toolkit</w:t>
            </w:r>
          </w:p>
        </w:tc>
        <w:tc>
          <w:tcPr>
            <w:tcW w:type="dxa" w:w="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1</w:t>
            </w:r>
          </w:p>
        </w:tc>
        <w:tc>
          <w:tcPr>
            <w:tcW w:type="dxa" w:w="1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4,50,000</w:t>
            </w:r>
          </w:p>
        </w:tc>
        <w:tc>
          <w:tcPr>
            <w:tcW w:type="dxa" w:w="1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4,50,000</w:t>
            </w:r>
          </w:p>
        </w:tc>
      </w:tr>
      <w:tr>
        <w:tc>
          <w:tcPr>
            <w:tcW w:type="dxa" w:w="600"/>
            <w:tcBorders>
              <w:top w:val="single" w:color="CCCCCC" w:sz="6"/>
              <w:left w:val="single" w:color="CCCCCC" w:sz="6"/>
              <w:bottom w:val="single" w:color="CCCCCC" w:sz="6"/>
              <w:right w:val="single" w:color="CCCCCC" w:sz="6"/>
            </w:tcBorders>
            <w:shd w:fill="D9E8F7" w:val="solid"/>
            <w:vAlign w:val="center"/>
          </w:tcPr>
          <w:p>
            <w:r>
              <w:rPr>
                <w:rFonts w:ascii="Calibri" w:cs="Calibri" w:eastAsia="Calibri" w:hAnsi="Calibri"/>
                <w:b/>
                <w:bCs/>
                <w:color w:val="1B3A6B"/>
                <w:sz w:val="17"/>
                <w:szCs w:val="17"/>
              </w:rPr>
              <w:t xml:space="preserve"/>
            </w:r>
          </w:p>
        </w:tc>
        <w:tc>
          <w:tcPr>
            <w:tcW w:type="dxa" w:w="4000"/>
            <w:tcBorders>
              <w:top w:val="single" w:color="CCCCCC" w:sz="6"/>
              <w:left w:val="single" w:color="CCCCCC" w:sz="6"/>
              <w:bottom w:val="single" w:color="CCCCCC" w:sz="6"/>
              <w:right w:val="single" w:color="CCCCCC" w:sz="6"/>
            </w:tcBorders>
            <w:shd w:fill="D9E8F7" w:val="solid"/>
            <w:vAlign w:val="center"/>
          </w:tcPr>
          <w:p>
            <w:r>
              <w:rPr>
                <w:rFonts w:ascii="Calibri" w:cs="Calibri" w:eastAsia="Calibri" w:hAnsi="Calibri"/>
                <w:b/>
                <w:bCs/>
                <w:color w:val="1B3A6B"/>
                <w:sz w:val="17"/>
                <w:szCs w:val="17"/>
              </w:rPr>
              <w:t xml:space="preserve">LOT 1 SUBTOTAL</w:t>
            </w:r>
          </w:p>
        </w:tc>
        <w:tc>
          <w:tcPr>
            <w:tcW w:type="dxa" w:w="800"/>
            <w:tcBorders>
              <w:top w:val="single" w:color="CCCCCC" w:sz="6"/>
              <w:left w:val="single" w:color="CCCCCC" w:sz="6"/>
              <w:bottom w:val="single" w:color="CCCCCC" w:sz="6"/>
              <w:right w:val="single" w:color="CCCCCC" w:sz="6"/>
            </w:tcBorders>
            <w:shd w:fill="D9E8F7" w:val="solid"/>
            <w:vAlign w:val="center"/>
          </w:tcPr>
          <w:p>
            <w:r>
              <w:rPr>
                <w:rFonts w:ascii="Calibri" w:cs="Calibri" w:eastAsia="Calibri" w:hAnsi="Calibri"/>
                <w:b/>
                <w:bCs/>
                <w:color w:val="1B3A6B"/>
                <w:sz w:val="17"/>
                <w:szCs w:val="17"/>
              </w:rPr>
              <w:t xml:space="preserve"/>
            </w:r>
          </w:p>
        </w:tc>
        <w:tc>
          <w:tcPr>
            <w:tcW w:type="dxa" w:w="1800"/>
            <w:tcBorders>
              <w:top w:val="single" w:color="CCCCCC" w:sz="6"/>
              <w:left w:val="single" w:color="CCCCCC" w:sz="6"/>
              <w:bottom w:val="single" w:color="CCCCCC" w:sz="6"/>
              <w:right w:val="single" w:color="CCCCCC" w:sz="6"/>
            </w:tcBorders>
            <w:shd w:fill="D9E8F7" w:val="solid"/>
            <w:vAlign w:val="center"/>
          </w:tcPr>
          <w:p>
            <w:r>
              <w:rPr>
                <w:rFonts w:ascii="Calibri" w:cs="Calibri" w:eastAsia="Calibri" w:hAnsi="Calibri"/>
                <w:b/>
                <w:bCs/>
                <w:color w:val="1B3A6B"/>
                <w:sz w:val="17"/>
                <w:szCs w:val="17"/>
              </w:rPr>
              <w:t xml:space="preserve"/>
            </w:r>
          </w:p>
        </w:tc>
        <w:tc>
          <w:tcPr>
            <w:tcW w:type="dxa" w:w="1600"/>
            <w:tcBorders>
              <w:top w:val="single" w:color="CCCCCC" w:sz="6"/>
              <w:left w:val="single" w:color="CCCCCC" w:sz="6"/>
              <w:bottom w:val="single" w:color="CCCCCC" w:sz="6"/>
              <w:right w:val="single" w:color="CCCCCC" w:sz="6"/>
            </w:tcBorders>
            <w:shd w:fill="D9E8F7" w:val="solid"/>
            <w:vAlign w:val="center"/>
          </w:tcPr>
          <w:p>
            <w:r>
              <w:rPr>
                <w:rFonts w:ascii="Calibri" w:cs="Calibri" w:eastAsia="Calibri" w:hAnsi="Calibri"/>
                <w:b/>
                <w:bCs/>
                <w:color w:val="1B3A6B"/>
                <w:sz w:val="17"/>
                <w:szCs w:val="17"/>
              </w:rPr>
              <w:t xml:space="preserve">₹32,00,000</w:t>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2.1</w:t>
            </w:r>
          </w:p>
        </w:tc>
        <w:tc>
          <w:tcPr>
            <w:tcW w:type="dxa" w:w="4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TVC Script (x2 options)</w:t>
            </w:r>
          </w:p>
        </w:tc>
        <w:tc>
          <w:tcPr>
            <w:tcW w:type="dxa" w:w="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2</w:t>
            </w:r>
          </w:p>
        </w:tc>
        <w:tc>
          <w:tcPr>
            <w:tcW w:type="dxa" w:w="1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3,00,000</w:t>
            </w:r>
          </w:p>
        </w:tc>
        <w:tc>
          <w:tcPr>
            <w:tcW w:type="dxa" w:w="1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6,00,000</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2.2</w:t>
            </w:r>
          </w:p>
        </w:tc>
        <w:tc>
          <w:tcPr>
            <w:tcW w:type="dxa" w:w="4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Full Storyboard</w:t>
            </w:r>
          </w:p>
        </w:tc>
        <w:tc>
          <w:tcPr>
            <w:tcW w:type="dxa" w:w="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w:t>
            </w:r>
          </w:p>
        </w:tc>
        <w:tc>
          <w:tcPr>
            <w:tcW w:type="dxa" w:w="1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2,50,000</w:t>
            </w:r>
          </w:p>
        </w:tc>
        <w:tc>
          <w:tcPr>
            <w:tcW w:type="dxa" w:w="1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2,50,000</w:t>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2.3</w:t>
            </w:r>
          </w:p>
        </w:tc>
        <w:tc>
          <w:tcPr>
            <w:tcW w:type="dxa" w:w="4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Animatic</w:t>
            </w:r>
          </w:p>
        </w:tc>
        <w:tc>
          <w:tcPr>
            <w:tcW w:type="dxa" w:w="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1</w:t>
            </w:r>
          </w:p>
        </w:tc>
        <w:tc>
          <w:tcPr>
            <w:tcW w:type="dxa" w:w="1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4,50,000</w:t>
            </w:r>
          </w:p>
        </w:tc>
        <w:tc>
          <w:tcPr>
            <w:tcW w:type="dxa" w:w="1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4,50,000</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2.4</w:t>
            </w:r>
          </w:p>
        </w:tc>
        <w:tc>
          <w:tcPr>
            <w:tcW w:type="dxa" w:w="4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Packshot Plan &amp; Product Script</w:t>
            </w:r>
          </w:p>
        </w:tc>
        <w:tc>
          <w:tcPr>
            <w:tcW w:type="dxa" w:w="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w:t>
            </w:r>
          </w:p>
        </w:tc>
        <w:tc>
          <w:tcPr>
            <w:tcW w:type="dxa" w:w="1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1,50,000</w:t>
            </w:r>
          </w:p>
        </w:tc>
        <w:tc>
          <w:tcPr>
            <w:tcW w:type="dxa" w:w="1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1,50,000</w:t>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2.5</w:t>
            </w:r>
          </w:p>
        </w:tc>
        <w:tc>
          <w:tcPr>
            <w:tcW w:type="dxa" w:w="4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Creative Supervision — Production</w:t>
            </w:r>
          </w:p>
        </w:tc>
        <w:tc>
          <w:tcPr>
            <w:tcW w:type="dxa" w:w="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1</w:t>
            </w:r>
          </w:p>
        </w:tc>
        <w:tc>
          <w:tcPr>
            <w:tcW w:type="dxa" w:w="1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5,50,000</w:t>
            </w:r>
          </w:p>
        </w:tc>
        <w:tc>
          <w:tcPr>
            <w:tcW w:type="dxa" w:w="1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5,50,000</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2.6</w:t>
            </w:r>
          </w:p>
        </w:tc>
        <w:tc>
          <w:tcPr>
            <w:tcW w:type="dxa" w:w="4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Post-Production QC &amp; Supervision</w:t>
            </w:r>
          </w:p>
        </w:tc>
        <w:tc>
          <w:tcPr>
            <w:tcW w:type="dxa" w:w="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w:t>
            </w:r>
          </w:p>
        </w:tc>
        <w:tc>
          <w:tcPr>
            <w:tcW w:type="dxa" w:w="1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4,50,000</w:t>
            </w:r>
          </w:p>
        </w:tc>
        <w:tc>
          <w:tcPr>
            <w:tcW w:type="dxa" w:w="1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4,50,000</w:t>
            </w:r>
          </w:p>
        </w:tc>
      </w:tr>
      <w:tr>
        <w:tc>
          <w:tcPr>
            <w:tcW w:type="dxa" w:w="600"/>
            <w:tcBorders>
              <w:top w:val="single" w:color="CCCCCC" w:sz="6"/>
              <w:left w:val="single" w:color="CCCCCC" w:sz="6"/>
              <w:bottom w:val="single" w:color="CCCCCC" w:sz="6"/>
              <w:right w:val="single" w:color="CCCCCC" w:sz="6"/>
            </w:tcBorders>
            <w:shd w:fill="D9E8F7" w:val="solid"/>
            <w:vAlign w:val="center"/>
          </w:tcPr>
          <w:p>
            <w:r>
              <w:rPr>
                <w:rFonts w:ascii="Calibri" w:cs="Calibri" w:eastAsia="Calibri" w:hAnsi="Calibri"/>
                <w:b/>
                <w:bCs/>
                <w:color w:val="1B3A6B"/>
                <w:sz w:val="17"/>
                <w:szCs w:val="17"/>
              </w:rPr>
              <w:t xml:space="preserve"/>
            </w:r>
          </w:p>
        </w:tc>
        <w:tc>
          <w:tcPr>
            <w:tcW w:type="dxa" w:w="4000"/>
            <w:tcBorders>
              <w:top w:val="single" w:color="CCCCCC" w:sz="6"/>
              <w:left w:val="single" w:color="CCCCCC" w:sz="6"/>
              <w:bottom w:val="single" w:color="CCCCCC" w:sz="6"/>
              <w:right w:val="single" w:color="CCCCCC" w:sz="6"/>
            </w:tcBorders>
            <w:shd w:fill="D9E8F7" w:val="solid"/>
            <w:vAlign w:val="center"/>
          </w:tcPr>
          <w:p>
            <w:r>
              <w:rPr>
                <w:rFonts w:ascii="Calibri" w:cs="Calibri" w:eastAsia="Calibri" w:hAnsi="Calibri"/>
                <w:b/>
                <w:bCs/>
                <w:color w:val="1B3A6B"/>
                <w:sz w:val="17"/>
                <w:szCs w:val="17"/>
              </w:rPr>
              <w:t xml:space="preserve">LOT 2 SUBTOTAL</w:t>
            </w:r>
          </w:p>
        </w:tc>
        <w:tc>
          <w:tcPr>
            <w:tcW w:type="dxa" w:w="800"/>
            <w:tcBorders>
              <w:top w:val="single" w:color="CCCCCC" w:sz="6"/>
              <w:left w:val="single" w:color="CCCCCC" w:sz="6"/>
              <w:bottom w:val="single" w:color="CCCCCC" w:sz="6"/>
              <w:right w:val="single" w:color="CCCCCC" w:sz="6"/>
            </w:tcBorders>
            <w:shd w:fill="D9E8F7" w:val="solid"/>
            <w:vAlign w:val="center"/>
          </w:tcPr>
          <w:p>
            <w:r>
              <w:rPr>
                <w:rFonts w:ascii="Calibri" w:cs="Calibri" w:eastAsia="Calibri" w:hAnsi="Calibri"/>
                <w:b/>
                <w:bCs/>
                <w:color w:val="1B3A6B"/>
                <w:sz w:val="17"/>
                <w:szCs w:val="17"/>
              </w:rPr>
              <w:t xml:space="preserve"/>
            </w:r>
          </w:p>
        </w:tc>
        <w:tc>
          <w:tcPr>
            <w:tcW w:type="dxa" w:w="1800"/>
            <w:tcBorders>
              <w:top w:val="single" w:color="CCCCCC" w:sz="6"/>
              <w:left w:val="single" w:color="CCCCCC" w:sz="6"/>
              <w:bottom w:val="single" w:color="CCCCCC" w:sz="6"/>
              <w:right w:val="single" w:color="CCCCCC" w:sz="6"/>
            </w:tcBorders>
            <w:shd w:fill="D9E8F7" w:val="solid"/>
            <w:vAlign w:val="center"/>
          </w:tcPr>
          <w:p>
            <w:r>
              <w:rPr>
                <w:rFonts w:ascii="Calibri" w:cs="Calibri" w:eastAsia="Calibri" w:hAnsi="Calibri"/>
                <w:b/>
                <w:bCs/>
                <w:color w:val="1B3A6B"/>
                <w:sz w:val="17"/>
                <w:szCs w:val="17"/>
              </w:rPr>
              <w:t xml:space="preserve"/>
            </w:r>
          </w:p>
        </w:tc>
        <w:tc>
          <w:tcPr>
            <w:tcW w:type="dxa" w:w="1600"/>
            <w:tcBorders>
              <w:top w:val="single" w:color="CCCCCC" w:sz="6"/>
              <w:left w:val="single" w:color="CCCCCC" w:sz="6"/>
              <w:bottom w:val="single" w:color="CCCCCC" w:sz="6"/>
              <w:right w:val="single" w:color="CCCCCC" w:sz="6"/>
            </w:tcBorders>
            <w:shd w:fill="D9E8F7" w:val="solid"/>
            <w:vAlign w:val="center"/>
          </w:tcPr>
          <w:p>
            <w:r>
              <w:rPr>
                <w:rFonts w:ascii="Calibri" w:cs="Calibri" w:eastAsia="Calibri" w:hAnsi="Calibri"/>
                <w:b/>
                <w:bCs/>
                <w:color w:val="1B3A6B"/>
                <w:sz w:val="17"/>
                <w:szCs w:val="17"/>
              </w:rPr>
              <w:t xml:space="preserve">₹24,50,000</w:t>
            </w:r>
          </w:p>
        </w:tc>
      </w:tr>
    </w:tbl>
    <w:p>
      <w:pPr>
        <w:spacing w:after="160" w:before="80"/>
      </w:pPr>
      <w:r>
        <w:rPr>
          <w:rFonts w:ascii="Calibri" w:cs="Calibri" w:eastAsia="Calibri" w:hAnsi="Calibri"/>
          <w:color w:val="333333"/>
          <w:sz w:val="19"/>
          <w:szCs w:val="19"/>
        </w:rPr>
        <w:t xml:space="preserve"/>
      </w:r>
    </w:p>
    <w:p>
      <w:pPr>
        <w:pStyle w:val="Heading2"/>
        <w:spacing w:after="120" w:before="240"/>
      </w:pPr>
      <w:r>
        <w:rPr>
          <w:rFonts w:ascii="Calibri" w:cs="Calibri" w:eastAsia="Calibri" w:hAnsi="Calibri"/>
          <w:b/>
          <w:bCs/>
          <w:color w:val="1B3A6B"/>
          <w:sz w:val="24"/>
          <w:szCs w:val="24"/>
        </w:rPr>
        <w:t xml:space="preserve">12.3 Lot 3 — TVC Production Breakdown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6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w:t>
            </w:r>
          </w:p>
        </w:tc>
        <w:tc>
          <w:tcPr>
            <w:tcW w:type="dxa" w:w="40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Production Line Item</w:t>
            </w:r>
          </w:p>
        </w:tc>
        <w:tc>
          <w:tcPr>
            <w:tcW w:type="dxa" w:w="8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Qty</w:t>
            </w:r>
          </w:p>
        </w:tc>
        <w:tc>
          <w:tcPr>
            <w:tcW w:type="dxa" w:w="18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Rate (₹)</w:t>
            </w:r>
          </w:p>
        </w:tc>
        <w:tc>
          <w:tcPr>
            <w:tcW w:type="dxa" w:w="16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Amount (₹)</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A</w:t>
            </w:r>
          </w:p>
        </w:tc>
        <w:tc>
          <w:tcPr>
            <w:tcW w:type="dxa" w:w="4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PRE-PRODUCTION</w:t>
            </w:r>
          </w:p>
        </w:tc>
        <w:tc>
          <w:tcPr>
            <w:tcW w:type="dxa" w:w="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
            </w:r>
          </w:p>
        </w:tc>
        <w:tc>
          <w:tcPr>
            <w:tcW w:type="dxa" w:w="1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
            </w:r>
          </w:p>
        </w:tc>
        <w:tc>
          <w:tcPr>
            <w:tcW w:type="dxa" w:w="1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A1</w:t>
            </w:r>
          </w:p>
        </w:tc>
        <w:tc>
          <w:tcPr>
            <w:tcW w:type="dxa" w:w="4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Director Fee (Award winner — kids specialist)</w:t>
            </w:r>
          </w:p>
        </w:tc>
        <w:tc>
          <w:tcPr>
            <w:tcW w:type="dxa" w:w="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1</w:t>
            </w:r>
          </w:p>
        </w:tc>
        <w:tc>
          <w:tcPr>
            <w:tcW w:type="dxa" w:w="1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4,00,000</w:t>
            </w:r>
          </w:p>
        </w:tc>
        <w:tc>
          <w:tcPr>
            <w:tcW w:type="dxa" w:w="1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4,00,000</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A2</w:t>
            </w:r>
          </w:p>
        </w:tc>
        <w:tc>
          <w:tcPr>
            <w:tcW w:type="dxa" w:w="4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DOP + Camera Team</w:t>
            </w:r>
          </w:p>
        </w:tc>
        <w:tc>
          <w:tcPr>
            <w:tcW w:type="dxa" w:w="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w:t>
            </w:r>
          </w:p>
        </w:tc>
        <w:tc>
          <w:tcPr>
            <w:tcW w:type="dxa" w:w="1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2,20,000</w:t>
            </w:r>
          </w:p>
        </w:tc>
        <w:tc>
          <w:tcPr>
            <w:tcW w:type="dxa" w:w="1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2,20,000</w:t>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A3</w:t>
            </w:r>
          </w:p>
        </w:tc>
        <w:tc>
          <w:tcPr>
            <w:tcW w:type="dxa" w:w="4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Child Talent (Lead x2, Supporting x4)</w:t>
            </w:r>
          </w:p>
        </w:tc>
        <w:tc>
          <w:tcPr>
            <w:tcW w:type="dxa" w:w="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6</w:t>
            </w:r>
          </w:p>
        </w:tc>
        <w:tc>
          <w:tcPr>
            <w:tcW w:type="dxa" w:w="1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Varied</w:t>
            </w:r>
          </w:p>
        </w:tc>
        <w:tc>
          <w:tcPr>
            <w:tcW w:type="dxa" w:w="1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9,80,000</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A4</w:t>
            </w:r>
          </w:p>
        </w:tc>
        <w:tc>
          <w:tcPr>
            <w:tcW w:type="dxa" w:w="4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Adult Talent (x2)</w:t>
            </w:r>
          </w:p>
        </w:tc>
        <w:tc>
          <w:tcPr>
            <w:tcW w:type="dxa" w:w="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2</w:t>
            </w:r>
          </w:p>
        </w:tc>
        <w:tc>
          <w:tcPr>
            <w:tcW w:type="dxa" w:w="1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85,000</w:t>
            </w:r>
          </w:p>
        </w:tc>
        <w:tc>
          <w:tcPr>
            <w:tcW w:type="dxa" w:w="1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1,70,000</w:t>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A5</w:t>
            </w:r>
          </w:p>
        </w:tc>
        <w:tc>
          <w:tcPr>
            <w:tcW w:type="dxa" w:w="4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Child Welfare Officer (on-set, all days)</w:t>
            </w:r>
          </w:p>
        </w:tc>
        <w:tc>
          <w:tcPr>
            <w:tcW w:type="dxa" w:w="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1</w:t>
            </w:r>
          </w:p>
        </w:tc>
        <w:tc>
          <w:tcPr>
            <w:tcW w:type="dxa" w:w="1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90,000</w:t>
            </w:r>
          </w:p>
        </w:tc>
        <w:tc>
          <w:tcPr>
            <w:tcW w:type="dxa" w:w="1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90,000</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A6</w:t>
            </w:r>
          </w:p>
        </w:tc>
        <w:tc>
          <w:tcPr>
            <w:tcW w:type="dxa" w:w="4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Production Design + Wardrobe</w:t>
            </w:r>
          </w:p>
        </w:tc>
        <w:tc>
          <w:tcPr>
            <w:tcW w:type="dxa" w:w="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w:t>
            </w:r>
          </w:p>
        </w:tc>
        <w:tc>
          <w:tcPr>
            <w:tcW w:type="dxa" w:w="1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2,80,000</w:t>
            </w:r>
          </w:p>
        </w:tc>
        <w:tc>
          <w:tcPr>
            <w:tcW w:type="dxa" w:w="1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2,80,000</w:t>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A7</w:t>
            </w:r>
          </w:p>
        </w:tc>
        <w:tc>
          <w:tcPr>
            <w:tcW w:type="dxa" w:w="4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Pre-production Admin &amp; Logistics</w:t>
            </w:r>
          </w:p>
        </w:tc>
        <w:tc>
          <w:tcPr>
            <w:tcW w:type="dxa" w:w="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1</w:t>
            </w:r>
          </w:p>
        </w:tc>
        <w:tc>
          <w:tcPr>
            <w:tcW w:type="dxa" w:w="1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1,50,000</w:t>
            </w:r>
          </w:p>
        </w:tc>
        <w:tc>
          <w:tcPr>
            <w:tcW w:type="dxa" w:w="1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1,50,000</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
            </w:r>
          </w:p>
        </w:tc>
        <w:tc>
          <w:tcPr>
            <w:tcW w:type="dxa" w:w="4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Pre-Production Subtotal</w:t>
            </w:r>
          </w:p>
        </w:tc>
        <w:tc>
          <w:tcPr>
            <w:tcW w:type="dxa" w:w="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
            </w:r>
          </w:p>
        </w:tc>
        <w:tc>
          <w:tcPr>
            <w:tcW w:type="dxa" w:w="1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
            </w:r>
          </w:p>
        </w:tc>
        <w:tc>
          <w:tcPr>
            <w:tcW w:type="dxa" w:w="1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22,90,000</w:t>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B</w:t>
            </w:r>
          </w:p>
        </w:tc>
        <w:tc>
          <w:tcPr>
            <w:tcW w:type="dxa" w:w="4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SHOOT EXECUTION (4 Days)</w:t>
            </w:r>
          </w:p>
        </w:tc>
        <w:tc>
          <w:tcPr>
            <w:tcW w:type="dxa" w:w="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
            </w:r>
          </w:p>
        </w:tc>
        <w:tc>
          <w:tcPr>
            <w:tcW w:type="dxa" w:w="1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
            </w:r>
          </w:p>
        </w:tc>
        <w:tc>
          <w:tcPr>
            <w:tcW w:type="dxa" w:w="1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B1</w:t>
            </w:r>
          </w:p>
        </w:tc>
        <w:tc>
          <w:tcPr>
            <w:tcW w:type="dxa" w:w="4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Studio Hire — PixelCraft Films, Mumbai (4 days)</w:t>
            </w:r>
          </w:p>
        </w:tc>
        <w:tc>
          <w:tcPr>
            <w:tcW w:type="dxa" w:w="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4</w:t>
            </w:r>
          </w:p>
        </w:tc>
        <w:tc>
          <w:tcPr>
            <w:tcW w:type="dxa" w:w="1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2,00,000</w:t>
            </w:r>
          </w:p>
        </w:tc>
        <w:tc>
          <w:tcPr>
            <w:tcW w:type="dxa" w:w="1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8,00,000</w:t>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B2</w:t>
            </w:r>
          </w:p>
        </w:tc>
        <w:tc>
          <w:tcPr>
            <w:tcW w:type="dxa" w:w="4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Equipment Package (Camera + Lighting)</w:t>
            </w:r>
          </w:p>
        </w:tc>
        <w:tc>
          <w:tcPr>
            <w:tcW w:type="dxa" w:w="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4</w:t>
            </w:r>
          </w:p>
        </w:tc>
        <w:tc>
          <w:tcPr>
            <w:tcW w:type="dxa" w:w="1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1,20,000</w:t>
            </w:r>
          </w:p>
        </w:tc>
        <w:tc>
          <w:tcPr>
            <w:tcW w:type="dxa" w:w="1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4,80,000</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B3</w:t>
            </w:r>
          </w:p>
        </w:tc>
        <w:tc>
          <w:tcPr>
            <w:tcW w:type="dxa" w:w="4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Crew (18-person)</w:t>
            </w:r>
          </w:p>
        </w:tc>
        <w:tc>
          <w:tcPr>
            <w:tcW w:type="dxa" w:w="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4</w:t>
            </w:r>
          </w:p>
        </w:tc>
        <w:tc>
          <w:tcPr>
            <w:tcW w:type="dxa" w:w="1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3,20,000</w:t>
            </w:r>
          </w:p>
        </w:tc>
        <w:tc>
          <w:tcPr>
            <w:tcW w:type="dxa" w:w="1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12,80,000</w:t>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B4</w:t>
            </w:r>
          </w:p>
        </w:tc>
        <w:tc>
          <w:tcPr>
            <w:tcW w:type="dxa" w:w="4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Catering (50 pax)</w:t>
            </w:r>
          </w:p>
        </w:tc>
        <w:tc>
          <w:tcPr>
            <w:tcW w:type="dxa" w:w="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4</w:t>
            </w:r>
          </w:p>
        </w:tc>
        <w:tc>
          <w:tcPr>
            <w:tcW w:type="dxa" w:w="1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52,000</w:t>
            </w:r>
          </w:p>
        </w:tc>
        <w:tc>
          <w:tcPr>
            <w:tcW w:type="dxa" w:w="1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2,08,000</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B5</w:t>
            </w:r>
          </w:p>
        </w:tc>
        <w:tc>
          <w:tcPr>
            <w:tcW w:type="dxa" w:w="4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Production Consumables + Misc</w:t>
            </w:r>
          </w:p>
        </w:tc>
        <w:tc>
          <w:tcPr>
            <w:tcW w:type="dxa" w:w="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w:t>
            </w:r>
          </w:p>
        </w:tc>
        <w:tc>
          <w:tcPr>
            <w:tcW w:type="dxa" w:w="1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1,20,000</w:t>
            </w:r>
          </w:p>
        </w:tc>
        <w:tc>
          <w:tcPr>
            <w:tcW w:type="dxa" w:w="1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1,20,000</w:t>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
            </w:r>
          </w:p>
        </w:tc>
        <w:tc>
          <w:tcPr>
            <w:tcW w:type="dxa" w:w="4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Shoot Subtotal</w:t>
            </w:r>
          </w:p>
        </w:tc>
        <w:tc>
          <w:tcPr>
            <w:tcW w:type="dxa" w:w="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
            </w:r>
          </w:p>
        </w:tc>
        <w:tc>
          <w:tcPr>
            <w:tcW w:type="dxa" w:w="1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
            </w:r>
          </w:p>
        </w:tc>
        <w:tc>
          <w:tcPr>
            <w:tcW w:type="dxa" w:w="1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28,88,000</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C</w:t>
            </w:r>
          </w:p>
        </w:tc>
        <w:tc>
          <w:tcPr>
            <w:tcW w:type="dxa" w:w="4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POST-PRODUCTION</w:t>
            </w:r>
          </w:p>
        </w:tc>
        <w:tc>
          <w:tcPr>
            <w:tcW w:type="dxa" w:w="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
            </w:r>
          </w:p>
        </w:tc>
        <w:tc>
          <w:tcPr>
            <w:tcW w:type="dxa" w:w="1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
            </w:r>
          </w:p>
        </w:tc>
        <w:tc>
          <w:tcPr>
            <w:tcW w:type="dxa" w:w="1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C1</w:t>
            </w:r>
          </w:p>
        </w:tc>
        <w:tc>
          <w:tcPr>
            <w:tcW w:type="dxa" w:w="4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Offline Editing (60s + 30s masters)</w:t>
            </w:r>
          </w:p>
        </w:tc>
        <w:tc>
          <w:tcPr>
            <w:tcW w:type="dxa" w:w="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2</w:t>
            </w:r>
          </w:p>
        </w:tc>
        <w:tc>
          <w:tcPr>
            <w:tcW w:type="dxa" w:w="1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2,20,000</w:t>
            </w:r>
          </w:p>
        </w:tc>
        <w:tc>
          <w:tcPr>
            <w:tcW w:type="dxa" w:w="1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4,40,000</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C2</w:t>
            </w:r>
          </w:p>
        </w:tc>
        <w:tc>
          <w:tcPr>
            <w:tcW w:type="dxa" w:w="4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VFX &amp; Motion Graphics (product CG)</w:t>
            </w:r>
          </w:p>
        </w:tc>
        <w:tc>
          <w:tcPr>
            <w:tcW w:type="dxa" w:w="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w:t>
            </w:r>
          </w:p>
        </w:tc>
        <w:tc>
          <w:tcPr>
            <w:tcW w:type="dxa" w:w="1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3,80,000</w:t>
            </w:r>
          </w:p>
        </w:tc>
        <w:tc>
          <w:tcPr>
            <w:tcW w:type="dxa" w:w="1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3,80,000</w:t>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C3</w:t>
            </w:r>
          </w:p>
        </w:tc>
        <w:tc>
          <w:tcPr>
            <w:tcW w:type="dxa" w:w="4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Colour Grading (DaVinci)</w:t>
            </w:r>
          </w:p>
        </w:tc>
        <w:tc>
          <w:tcPr>
            <w:tcW w:type="dxa" w:w="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1</w:t>
            </w:r>
          </w:p>
        </w:tc>
        <w:tc>
          <w:tcPr>
            <w:tcW w:type="dxa" w:w="1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1,80,000</w:t>
            </w:r>
          </w:p>
        </w:tc>
        <w:tc>
          <w:tcPr>
            <w:tcW w:type="dxa" w:w="1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1,80,000</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C4</w:t>
            </w:r>
          </w:p>
        </w:tc>
        <w:tc>
          <w:tcPr>
            <w:tcW w:type="dxa" w:w="4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Sound Design + Music Composition</w:t>
            </w:r>
          </w:p>
        </w:tc>
        <w:tc>
          <w:tcPr>
            <w:tcW w:type="dxa" w:w="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w:t>
            </w:r>
          </w:p>
        </w:tc>
        <w:tc>
          <w:tcPr>
            <w:tcW w:type="dxa" w:w="1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3,20,000</w:t>
            </w:r>
          </w:p>
        </w:tc>
        <w:tc>
          <w:tcPr>
            <w:tcW w:type="dxa" w:w="1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3,20,000</w:t>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C5</w:t>
            </w:r>
          </w:p>
        </w:tc>
        <w:tc>
          <w:tcPr>
            <w:tcW w:type="dxa" w:w="4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Format Cutdowns (8 digital formats)</w:t>
            </w:r>
          </w:p>
        </w:tc>
        <w:tc>
          <w:tcPr>
            <w:tcW w:type="dxa" w:w="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8</w:t>
            </w:r>
          </w:p>
        </w:tc>
        <w:tc>
          <w:tcPr>
            <w:tcW w:type="dxa" w:w="1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50,000</w:t>
            </w:r>
          </w:p>
        </w:tc>
        <w:tc>
          <w:tcPr>
            <w:tcW w:type="dxa" w:w="1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4,00,000</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C6</w:t>
            </w:r>
          </w:p>
        </w:tc>
        <w:tc>
          <w:tcPr>
            <w:tcW w:type="dxa" w:w="4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Final Delivery + Cloud Archive</w:t>
            </w:r>
          </w:p>
        </w:tc>
        <w:tc>
          <w:tcPr>
            <w:tcW w:type="dxa" w:w="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w:t>
            </w:r>
          </w:p>
        </w:tc>
        <w:tc>
          <w:tcPr>
            <w:tcW w:type="dxa" w:w="18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1,02,000</w:t>
            </w:r>
          </w:p>
        </w:tc>
        <w:tc>
          <w:tcPr>
            <w:tcW w:type="dxa" w:w="1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1,02,000</w:t>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
            </w:r>
          </w:p>
        </w:tc>
        <w:tc>
          <w:tcPr>
            <w:tcW w:type="dxa" w:w="4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Post-Production Subtotal</w:t>
            </w:r>
          </w:p>
        </w:tc>
        <w:tc>
          <w:tcPr>
            <w:tcW w:type="dxa" w:w="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
            </w:r>
          </w:p>
        </w:tc>
        <w:tc>
          <w:tcPr>
            <w:tcW w:type="dxa" w:w="18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
            </w:r>
          </w:p>
        </w:tc>
        <w:tc>
          <w:tcPr>
            <w:tcW w:type="dxa" w:w="1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18,22,000</w:t>
            </w:r>
          </w:p>
        </w:tc>
      </w:tr>
      <w:tr>
        <w:tc>
          <w:tcPr>
            <w:tcW w:type="dxa" w:w="600"/>
            <w:tcBorders>
              <w:top w:val="single" w:color="CCCCCC" w:sz="6"/>
              <w:left w:val="single" w:color="CCCCCC" w:sz="6"/>
              <w:bottom w:val="single" w:color="CCCCCC" w:sz="6"/>
              <w:right w:val="single" w:color="CCCCCC" w:sz="6"/>
            </w:tcBorders>
            <w:shd w:fill="D9E8F7" w:val="solid"/>
            <w:vAlign w:val="center"/>
          </w:tcPr>
          <w:p>
            <w:r>
              <w:rPr>
                <w:rFonts w:ascii="Calibri" w:cs="Calibri" w:eastAsia="Calibri" w:hAnsi="Calibri"/>
                <w:b/>
                <w:bCs/>
                <w:color w:val="1B3A6B"/>
                <w:sz w:val="17"/>
                <w:szCs w:val="17"/>
              </w:rPr>
              <w:t xml:space="preserve"/>
            </w:r>
          </w:p>
        </w:tc>
        <w:tc>
          <w:tcPr>
            <w:tcW w:type="dxa" w:w="4000"/>
            <w:tcBorders>
              <w:top w:val="single" w:color="CCCCCC" w:sz="6"/>
              <w:left w:val="single" w:color="CCCCCC" w:sz="6"/>
              <w:bottom w:val="single" w:color="CCCCCC" w:sz="6"/>
              <w:right w:val="single" w:color="CCCCCC" w:sz="6"/>
            </w:tcBorders>
            <w:shd w:fill="D9E8F7" w:val="solid"/>
            <w:vAlign w:val="center"/>
          </w:tcPr>
          <w:p>
            <w:r>
              <w:rPr>
                <w:rFonts w:ascii="Calibri" w:cs="Calibri" w:eastAsia="Calibri" w:hAnsi="Calibri"/>
                <w:b/>
                <w:bCs/>
                <w:color w:val="1B3A6B"/>
                <w:sz w:val="17"/>
                <w:szCs w:val="17"/>
              </w:rPr>
              <w:t xml:space="preserve">LOT 3 TOTAL AGENCY FEE (ex-GST)</w:t>
            </w:r>
          </w:p>
        </w:tc>
        <w:tc>
          <w:tcPr>
            <w:tcW w:type="dxa" w:w="800"/>
            <w:tcBorders>
              <w:top w:val="single" w:color="CCCCCC" w:sz="6"/>
              <w:left w:val="single" w:color="CCCCCC" w:sz="6"/>
              <w:bottom w:val="single" w:color="CCCCCC" w:sz="6"/>
              <w:right w:val="single" w:color="CCCCCC" w:sz="6"/>
            </w:tcBorders>
            <w:shd w:fill="D9E8F7" w:val="solid"/>
            <w:vAlign w:val="center"/>
          </w:tcPr>
          <w:p>
            <w:r>
              <w:rPr>
                <w:rFonts w:ascii="Calibri" w:cs="Calibri" w:eastAsia="Calibri" w:hAnsi="Calibri"/>
                <w:b/>
                <w:bCs/>
                <w:color w:val="1B3A6B"/>
                <w:sz w:val="17"/>
                <w:szCs w:val="17"/>
              </w:rPr>
              <w:t xml:space="preserve"/>
            </w:r>
          </w:p>
        </w:tc>
        <w:tc>
          <w:tcPr>
            <w:tcW w:type="dxa" w:w="1800"/>
            <w:tcBorders>
              <w:top w:val="single" w:color="CCCCCC" w:sz="6"/>
              <w:left w:val="single" w:color="CCCCCC" w:sz="6"/>
              <w:bottom w:val="single" w:color="CCCCCC" w:sz="6"/>
              <w:right w:val="single" w:color="CCCCCC" w:sz="6"/>
            </w:tcBorders>
            <w:shd w:fill="D9E8F7" w:val="solid"/>
            <w:vAlign w:val="center"/>
          </w:tcPr>
          <w:p>
            <w:r>
              <w:rPr>
                <w:rFonts w:ascii="Calibri" w:cs="Calibri" w:eastAsia="Calibri" w:hAnsi="Calibri"/>
                <w:b/>
                <w:bCs/>
                <w:color w:val="1B3A6B"/>
                <w:sz w:val="17"/>
                <w:szCs w:val="17"/>
              </w:rPr>
              <w:t xml:space="preserve"/>
            </w:r>
          </w:p>
        </w:tc>
        <w:tc>
          <w:tcPr>
            <w:tcW w:type="dxa" w:w="1600"/>
            <w:tcBorders>
              <w:top w:val="single" w:color="CCCCCC" w:sz="6"/>
              <w:left w:val="single" w:color="CCCCCC" w:sz="6"/>
              <w:bottom w:val="single" w:color="CCCCCC" w:sz="6"/>
              <w:right w:val="single" w:color="CCCCCC" w:sz="6"/>
            </w:tcBorders>
            <w:shd w:fill="D9E8F7" w:val="solid"/>
            <w:vAlign w:val="center"/>
          </w:tcPr>
          <w:p>
            <w:r>
              <w:rPr>
                <w:rFonts w:ascii="Calibri" w:cs="Calibri" w:eastAsia="Calibri" w:hAnsi="Calibri"/>
                <w:b/>
                <w:bCs/>
                <w:color w:val="1B3A6B"/>
                <w:sz w:val="17"/>
                <w:szCs w:val="17"/>
              </w:rPr>
              <w:t xml:space="preserve">₹54,00,000</w:t>
            </w:r>
          </w:p>
        </w:tc>
      </w:tr>
    </w:tbl>
    <w:p>
      <w:pPr>
        <w:spacing w:after="160" w:before="80"/>
      </w:pPr>
      <w:r>
        <w:rPr>
          <w:rFonts w:ascii="Calibri" w:cs="Calibri" w:eastAsia="Calibri" w:hAnsi="Calibri"/>
          <w:color w:val="333333"/>
          <w:sz w:val="19"/>
          <w:szCs w:val="19"/>
        </w:rPr>
        <w:t xml:space="preserve"/>
      </w:r>
    </w:p>
    <w:p>
      <w:pPr>
        <w:pStyle w:val="Heading2"/>
        <w:spacing w:after="120" w:before="240"/>
      </w:pPr>
      <w:r>
        <w:rPr>
          <w:rFonts w:ascii="Calibri" w:cs="Calibri" w:eastAsia="Calibri" w:hAnsi="Calibri"/>
          <w:b/>
          <w:bCs/>
          <w:color w:val="1B3A6B"/>
          <w:sz w:val="24"/>
          <w:szCs w:val="24"/>
        </w:rPr>
        <w:t xml:space="preserve">12.4 Lots 4-8 — Summary (Detailed sheets on request)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Lot</w:t>
            </w:r>
          </w:p>
        </w:tc>
        <w:tc>
          <w:tcPr>
            <w:tcW w:type="dxa" w:w="30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Workstream</w:t>
            </w:r>
          </w:p>
        </w:tc>
        <w:tc>
          <w:tcPr>
            <w:tcW w:type="dxa" w:w="35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Key Deliverables</w:t>
            </w:r>
          </w:p>
        </w:tc>
        <w:tc>
          <w:tcPr>
            <w:tcW w:type="dxa" w:w="22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Agency Fee (ex-GST)</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4</w:t>
            </w:r>
          </w:p>
        </w:tc>
        <w:tc>
          <w:tcPr>
            <w:tcW w:type="dxa" w:w="3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Social Organic Content</w:t>
            </w:r>
          </w:p>
        </w:tc>
        <w:tc>
          <w:tcPr>
            <w:tcW w:type="dxa" w:w="35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288 assets/yr, 3 platforms, content calendar, community mgmt</w:t>
            </w:r>
          </w:p>
        </w:tc>
        <w:tc>
          <w:tcPr>
            <w:tcW w:type="dxa" w:w="22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₹38,00,000</w:t>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5</w:t>
            </w:r>
          </w:p>
        </w:tc>
        <w:tc>
          <w:tcPr>
            <w:tcW w:type="dxa" w:w="3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Paid Media Planning</w:t>
            </w:r>
          </w:p>
        </w:tc>
        <w:tc>
          <w:tcPr>
            <w:tcW w:type="dxa" w:w="35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Annual plan + quarterly plans, audience strategy</w:t>
            </w:r>
          </w:p>
        </w:tc>
        <w:tc>
          <w:tcPr>
            <w:tcW w:type="dxa" w:w="22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₹12,50,000</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6</w:t>
            </w:r>
          </w:p>
        </w:tc>
        <w:tc>
          <w:tcPr>
            <w:tcW w:type="dxa" w:w="3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Paid Media Buying &amp; Opt.</w:t>
            </w:r>
          </w:p>
        </w:tc>
        <w:tc>
          <w:tcPr>
            <w:tcW w:type="dxa" w:w="35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Campaign setup, 12-month management, weekly reports</w:t>
            </w:r>
          </w:p>
        </w:tc>
        <w:tc>
          <w:tcPr>
            <w:tcW w:type="dxa" w:w="22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₹28,00,000</w:t>
            </w:r>
          </w:p>
        </w:tc>
      </w:tr>
      <w:tr>
        <w:tc>
          <w:tcPr>
            <w:tcW w:type="dxa" w:w="6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7</w:t>
            </w:r>
          </w:p>
        </w:tc>
        <w:tc>
          <w:tcPr>
            <w:tcW w:type="dxa" w:w="30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Compliance Review</w:t>
            </w:r>
          </w:p>
        </w:tc>
        <w:tc>
          <w:tcPr>
            <w:tcW w:type="dxa" w:w="35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All markets, all formats, compliance certificates x8</w:t>
            </w:r>
          </w:p>
        </w:tc>
        <w:tc>
          <w:tcPr>
            <w:tcW w:type="dxa" w:w="22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₹18,00,000</w:t>
            </w:r>
          </w:p>
        </w:tc>
      </w:tr>
      <w:tr>
        <w:tc>
          <w:tcPr>
            <w:tcW w:type="dxa" w:w="6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8</w:t>
            </w:r>
          </w:p>
        </w:tc>
        <w:tc>
          <w:tcPr>
            <w:tcW w:type="dxa" w:w="3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Program Management</w:t>
            </w:r>
          </w:p>
        </w:tc>
        <w:tc>
          <w:tcPr>
            <w:tcW w:type="dxa" w:w="35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Full-time PM lead + coordinator, 12 months</w:t>
            </w:r>
          </w:p>
        </w:tc>
        <w:tc>
          <w:tcPr>
            <w:tcW w:type="dxa" w:w="22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₹22,00,000</w:t>
            </w:r>
          </w:p>
        </w:tc>
      </w:tr>
    </w:tbl>
    <w:p>
      <w:pPr>
        <w:spacing w:after="160" w:before="80"/>
      </w:pPr>
      <w:r>
        <w:rPr>
          <w:rFonts w:ascii="Calibri" w:cs="Calibri" w:eastAsia="Calibri" w:hAnsi="Calibri"/>
          <w:color w:val="333333"/>
          <w:sz w:val="19"/>
          <w:szCs w:val="19"/>
        </w:rPr>
        <w:t xml:space="preserve"/>
      </w:r>
    </w:p>
    <w:p>
      <w:r>
        <w:br w:type="page"/>
      </w:r>
    </w:p>
    <w:p>
      <w:pPr>
        <w:pStyle w:val="Heading1"/>
        <w:spacing w:after="120" w:before="240"/>
      </w:pPr>
      <w:r>
        <w:rPr>
          <w:rFonts w:ascii="Calibri" w:cs="Calibri" w:eastAsia="Calibri" w:hAnsi="Calibri"/>
          <w:b/>
          <w:bCs/>
          <w:color w:val="1B3A6B"/>
          <w:sz w:val="28"/>
          <w:szCs w:val="28"/>
        </w:rPr>
        <w:t xml:space="preserve">13. Payment Structure</w:t>
      </w:r>
    </w:p>
    <w:p>
      <w:pPr>
        <w:pBdr>
          <w:bottom w:val="single" w:color="2E6DA4" w:sz="6"/>
        </w:pBdr>
        <w:spacing w:after="0" w:before="0"/>
      </w:pPr>
      <w:r>
        <w:t xml:space="preserve"/>
      </w:r>
    </w:p>
    <w:p>
      <w:pPr>
        <w:spacing w:after="160" w:before="80"/>
      </w:pPr>
      <w:r>
        <w:rPr>
          <w:rFonts w:ascii="Calibri" w:cs="Calibri" w:eastAsia="Calibri" w:hAnsi="Calibri"/>
          <w:color w:val="333333"/>
          <w:sz w:val="19"/>
          <w:szCs w:val="19"/>
        </w:rPr>
        <w:t xml:space="preserve">PixelCraft proposes milestone-based payments aligned to key delivery points. All amounts below are exclusive of GST (18% applicable on each invoice).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5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Milestone</w:t>
            </w:r>
          </w:p>
        </w:tc>
        <w:tc>
          <w:tcPr>
            <w:tcW w:type="dxa" w:w="12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Payment %</w:t>
            </w:r>
          </w:p>
        </w:tc>
        <w:tc>
          <w:tcPr>
            <w:tcW w:type="dxa" w:w="22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Amount (₹, ex-GST)</w:t>
            </w:r>
          </w:p>
        </w:tc>
        <w:tc>
          <w:tcPr>
            <w:tcW w:type="dxa" w:w="2400"/>
            <w:gridSpan w:val="1"/>
            <w:tcBorders>
              <w:top w:val="single" w:color="1B3A6B" w:sz="6"/>
              <w:left w:val="single" w:color="1B3A6B" w:sz="6"/>
              <w:bottom w:val="single" w:color="1B3A6B" w:sz="6"/>
              <w:right w:val="single" w:color="1B3A6B" w:sz="6"/>
            </w:tcBorders>
            <w:shd w:fill="1B3A6B" w:val="solid"/>
            <w:vAlign w:val="center"/>
          </w:tcPr>
          <w:p>
            <w:pPr>
              <w:jc w:val="center"/>
            </w:pPr>
            <w:r>
              <w:rPr>
                <w:rFonts w:ascii="Calibri" w:cs="Calibri" w:eastAsia="Calibri" w:hAnsi="Calibri"/>
                <w:b/>
                <w:bCs/>
                <w:color w:val="FFFFFF"/>
                <w:sz w:val="18"/>
                <w:szCs w:val="18"/>
              </w:rPr>
              <w:t xml:space="preserve">Trigger</w:t>
            </w:r>
          </w:p>
        </w:tc>
      </w:tr>
      <w:tr>
        <w:tc>
          <w:tcPr>
            <w:tcW w:type="dxa" w:w="35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Project Mobilisation</w:t>
            </w:r>
          </w:p>
        </w:tc>
        <w:tc>
          <w:tcPr>
            <w:tcW w:type="dxa" w:w="12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20%</w:t>
            </w:r>
          </w:p>
        </w:tc>
        <w:tc>
          <w:tcPr>
            <w:tcW w:type="dxa" w:w="22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₹45,80,000</w:t>
            </w:r>
          </w:p>
        </w:tc>
        <w:tc>
          <w:tcPr>
            <w:tcW w:type="dxa" w:w="24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Within 10 days of LOI</w:t>
            </w:r>
          </w:p>
        </w:tc>
      </w:tr>
      <w:tr>
        <w:tc>
          <w:tcPr>
            <w:tcW w:type="dxa" w:w="35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Strategy &amp; Creative Lock</w:t>
            </w:r>
          </w:p>
        </w:tc>
        <w:tc>
          <w:tcPr>
            <w:tcW w:type="dxa" w:w="12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15%</w:t>
            </w:r>
          </w:p>
        </w:tc>
        <w:tc>
          <w:tcPr>
            <w:tcW w:type="dxa" w:w="22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₹34,35,000</w:t>
            </w:r>
          </w:p>
        </w:tc>
        <w:tc>
          <w:tcPr>
            <w:tcW w:type="dxa" w:w="24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On territory approval</w:t>
            </w:r>
          </w:p>
        </w:tc>
      </w:tr>
      <w:tr>
        <w:tc>
          <w:tcPr>
            <w:tcW w:type="dxa" w:w="35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TVC Pre-Production Complete</w:t>
            </w:r>
          </w:p>
        </w:tc>
        <w:tc>
          <w:tcPr>
            <w:tcW w:type="dxa" w:w="12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15%</w:t>
            </w:r>
          </w:p>
        </w:tc>
        <w:tc>
          <w:tcPr>
            <w:tcW w:type="dxa" w:w="22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₹34,35,000</w:t>
            </w:r>
          </w:p>
        </w:tc>
        <w:tc>
          <w:tcPr>
            <w:tcW w:type="dxa" w:w="24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 week before shoot</w:t>
            </w:r>
          </w:p>
        </w:tc>
      </w:tr>
      <w:tr>
        <w:tc>
          <w:tcPr>
            <w:tcW w:type="dxa" w:w="35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TVC Master Delivery</w:t>
            </w:r>
          </w:p>
        </w:tc>
        <w:tc>
          <w:tcPr>
            <w:tcW w:type="dxa" w:w="12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20%</w:t>
            </w:r>
          </w:p>
        </w:tc>
        <w:tc>
          <w:tcPr>
            <w:tcW w:type="dxa" w:w="22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₹45,80,000</w:t>
            </w:r>
          </w:p>
        </w:tc>
        <w:tc>
          <w:tcPr>
            <w:tcW w:type="dxa" w:w="24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On final delivery</w:t>
            </w:r>
          </w:p>
        </w:tc>
      </w:tr>
      <w:tr>
        <w:tc>
          <w:tcPr>
            <w:tcW w:type="dxa" w:w="35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Month 6 Review</w:t>
            </w:r>
          </w:p>
        </w:tc>
        <w:tc>
          <w:tcPr>
            <w:tcW w:type="dxa" w:w="12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15%</w:t>
            </w:r>
          </w:p>
        </w:tc>
        <w:tc>
          <w:tcPr>
            <w:tcW w:type="dxa" w:w="22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₹34,35,000</w:t>
            </w:r>
          </w:p>
        </w:tc>
        <w:tc>
          <w:tcPr>
            <w:tcW w:type="dxa" w:w="24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Month 6</w:t>
            </w:r>
          </w:p>
        </w:tc>
      </w:tr>
      <w:tr>
        <w:tc>
          <w:tcPr>
            <w:tcW w:type="dxa" w:w="35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Campaign Close &amp; Final Report</w:t>
            </w:r>
          </w:p>
        </w:tc>
        <w:tc>
          <w:tcPr>
            <w:tcW w:type="dxa" w:w="12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15%</w:t>
            </w:r>
          </w:p>
        </w:tc>
        <w:tc>
          <w:tcPr>
            <w:tcW w:type="dxa" w:w="22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₹34,35,000</w:t>
            </w:r>
          </w:p>
        </w:tc>
        <w:tc>
          <w:tcPr>
            <w:tcW w:type="dxa" w:w="24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val="false"/>
                <w:bCs w:val="false"/>
                <w:color w:val="000000"/>
                <w:sz w:val="17"/>
                <w:szCs w:val="17"/>
              </w:rPr>
              <w:t xml:space="preserve">On final report delivery</w:t>
            </w:r>
          </w:p>
        </w:tc>
      </w:tr>
      <w:tr>
        <w:tc>
          <w:tcPr>
            <w:tcW w:type="dxa" w:w="35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TOTAL</w:t>
            </w:r>
          </w:p>
        </w:tc>
        <w:tc>
          <w:tcPr>
            <w:tcW w:type="dxa" w:w="12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100%</w:t>
            </w:r>
          </w:p>
        </w:tc>
        <w:tc>
          <w:tcPr>
            <w:tcW w:type="dxa" w:w="22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₹2,29,00,000</w:t>
            </w:r>
          </w:p>
        </w:tc>
        <w:tc>
          <w:tcPr>
            <w:tcW w:type="dxa" w:w="24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
            </w:r>
          </w:p>
        </w:tc>
      </w:tr>
    </w:tbl>
    <w:p>
      <w:pPr>
        <w:spacing w:after="160" w:before="80"/>
      </w:pPr>
      <w:r>
        <w:rPr>
          <w:rFonts w:ascii="Calibri" w:cs="Calibri" w:eastAsia="Calibri" w:hAnsi="Calibri"/>
          <w:color w:val="333333"/>
          <w:sz w:val="19"/>
          <w:szCs w:val="19"/>
        </w:rPr>
        <w:t xml:space="preserve"/>
      </w:r>
    </w:p>
    <w:p>
      <w:r>
        <w:br w:type="page"/>
      </w:r>
    </w:p>
    <w:p>
      <w:pPr>
        <w:pStyle w:val="Heading1"/>
        <w:spacing w:after="120" w:before="240"/>
      </w:pPr>
      <w:r>
        <w:rPr>
          <w:rFonts w:ascii="Calibri" w:cs="Calibri" w:eastAsia="Calibri" w:hAnsi="Calibri"/>
          <w:b/>
          <w:bCs/>
          <w:color w:val="1B3A6B"/>
          <w:sz w:val="28"/>
          <w:szCs w:val="28"/>
        </w:rPr>
        <w:t xml:space="preserve">14. Terms &amp; Conditions</w:t>
      </w:r>
    </w:p>
    <w:p>
      <w:pPr>
        <w:pBdr>
          <w:bottom w:val="single" w:color="2E6DA4" w:sz="6"/>
        </w:pBdr>
        <w:spacing w:after="0" w:before="0"/>
      </w:pPr>
      <w:r>
        <w:t xml:space="preserve"/>
      </w:r>
    </w:p>
    <w:p>
      <w:pPr>
        <w:pStyle w:val="Heading3"/>
        <w:spacing w:after="120" w:before="240"/>
      </w:pPr>
      <w:r>
        <w:rPr>
          <w:rFonts w:ascii="Calibri" w:cs="Calibri" w:eastAsia="Calibri" w:hAnsi="Calibri"/>
          <w:b/>
          <w:bCs/>
          <w:color w:val="1B3A6B"/>
          <w:sz w:val="20"/>
          <w:szCs w:val="20"/>
        </w:rPr>
        <w:t xml:space="preserve">14.1 Validity</w:t>
      </w:r>
    </w:p>
    <w:p>
      <w:pPr>
        <w:spacing w:after="160" w:before="80"/>
      </w:pPr>
      <w:r>
        <w:rPr>
          <w:rFonts w:ascii="Calibri" w:cs="Calibri" w:eastAsia="Calibri" w:hAnsi="Calibri"/>
          <w:color w:val="333333"/>
          <w:sz w:val="19"/>
          <w:szCs w:val="19"/>
        </w:rPr>
        <w:t xml:space="preserve">This proposal is valid for 60 days from April 10, 2026.</w:t>
      </w:r>
    </w:p>
    <w:p>
      <w:pPr>
        <w:pStyle w:val="Heading3"/>
        <w:spacing w:after="120" w:before="240"/>
      </w:pPr>
      <w:r>
        <w:rPr>
          <w:rFonts w:ascii="Calibri" w:cs="Calibri" w:eastAsia="Calibri" w:hAnsi="Calibri"/>
          <w:b/>
          <w:bCs/>
          <w:color w:val="1B3A6B"/>
          <w:sz w:val="20"/>
          <w:szCs w:val="20"/>
        </w:rPr>
        <w:t xml:space="preserve">14.2 Currency</w:t>
      </w:r>
    </w:p>
    <w:p>
      <w:pPr>
        <w:spacing w:after="160" w:before="80"/>
      </w:pPr>
      <w:r>
        <w:rPr>
          <w:rFonts w:ascii="Calibri" w:cs="Calibri" w:eastAsia="Calibri" w:hAnsi="Calibri"/>
          <w:color w:val="333333"/>
          <w:sz w:val="19"/>
          <w:szCs w:val="19"/>
        </w:rPr>
        <w:t xml:space="preserve">All fees are in Indian Rupees (INR). GST at 18% is applicable on all fees.</w:t>
      </w:r>
    </w:p>
    <w:p>
      <w:pPr>
        <w:pStyle w:val="Heading3"/>
        <w:spacing w:after="120" w:before="240"/>
      </w:pPr>
      <w:r>
        <w:rPr>
          <w:rFonts w:ascii="Calibri" w:cs="Calibri" w:eastAsia="Calibri" w:hAnsi="Calibri"/>
          <w:b/>
          <w:bCs/>
          <w:color w:val="1B3A6B"/>
          <w:sz w:val="20"/>
          <w:szCs w:val="20"/>
        </w:rPr>
        <w:t xml:space="preserve">14.3 Exclusions</w:t>
      </w:r>
    </w:p>
    <w:p>
      <w:pPr>
        <w:spacing w:after="160" w:before="80"/>
      </w:pPr>
      <w:r>
        <w:rPr>
          <w:rFonts w:ascii="Calibri" w:cs="Calibri" w:eastAsia="Calibri" w:hAnsi="Calibri"/>
          <w:color w:val="333333"/>
          <w:sz w:val="19"/>
          <w:szCs w:val="19"/>
        </w:rPr>
        <w:t xml:space="preserve">Media budgets/spends are excluded and billed as passthrough at net rates. Travel and out-of-pocket expenses for outstation requirements are billed at actuals.</w:t>
      </w:r>
    </w:p>
    <w:p>
      <w:pPr>
        <w:pStyle w:val="Heading3"/>
        <w:spacing w:after="120" w:before="240"/>
      </w:pPr>
      <w:r>
        <w:rPr>
          <w:rFonts w:ascii="Calibri" w:cs="Calibri" w:eastAsia="Calibri" w:hAnsi="Calibri"/>
          <w:b/>
          <w:bCs/>
          <w:color w:val="1B3A6B"/>
          <w:sz w:val="20"/>
          <w:szCs w:val="20"/>
        </w:rPr>
        <w:t xml:space="preserve">14.4 IP Ownership</w:t>
      </w:r>
    </w:p>
    <w:p>
      <w:pPr>
        <w:spacing w:after="160" w:before="80"/>
      </w:pPr>
      <w:r>
        <w:rPr>
          <w:rFonts w:ascii="Calibri" w:cs="Calibri" w:eastAsia="Calibri" w:hAnsi="Calibri"/>
          <w:color w:val="333333"/>
          <w:sz w:val="19"/>
          <w:szCs w:val="19"/>
        </w:rPr>
        <w:t xml:space="preserve">All creative IP vests with the client upon full payment.</w:t>
      </w:r>
    </w:p>
    <w:p>
      <w:pPr>
        <w:pStyle w:val="Heading3"/>
        <w:spacing w:after="120" w:before="240"/>
      </w:pPr>
      <w:r>
        <w:rPr>
          <w:rFonts w:ascii="Calibri" w:cs="Calibri" w:eastAsia="Calibri" w:hAnsi="Calibri"/>
          <w:b/>
          <w:bCs/>
          <w:color w:val="1B3A6B"/>
          <w:sz w:val="20"/>
          <w:szCs w:val="20"/>
        </w:rPr>
        <w:t xml:space="preserve">14.5 Scope Changes</w:t>
      </w:r>
    </w:p>
    <w:p>
      <w:pPr>
        <w:spacing w:after="160" w:before="80"/>
      </w:pPr>
      <w:r>
        <w:rPr>
          <w:rFonts w:ascii="Calibri" w:cs="Calibri" w:eastAsia="Calibri" w:hAnsi="Calibri"/>
          <w:color w:val="333333"/>
          <w:sz w:val="19"/>
          <w:szCs w:val="19"/>
        </w:rPr>
        <w:t xml:space="preserve">Changes to scope require a formal Change Order document before implementation.</w:t>
      </w:r>
    </w:p>
    <w:p>
      <w:pPr>
        <w:pStyle w:val="Heading3"/>
        <w:spacing w:after="120" w:before="240"/>
      </w:pPr>
      <w:r>
        <w:rPr>
          <w:rFonts w:ascii="Calibri" w:cs="Calibri" w:eastAsia="Calibri" w:hAnsi="Calibri"/>
          <w:b/>
          <w:bCs/>
          <w:color w:val="1B3A6B"/>
          <w:sz w:val="20"/>
          <w:szCs w:val="20"/>
        </w:rPr>
        <w:t xml:space="preserve">14.6 Confidentiality</w:t>
      </w:r>
    </w:p>
    <w:p>
      <w:pPr>
        <w:spacing w:after="160" w:before="80"/>
      </w:pPr>
      <w:r>
        <w:rPr>
          <w:rFonts w:ascii="Calibri" w:cs="Calibri" w:eastAsia="Calibri" w:hAnsi="Calibri"/>
          <w:color w:val="333333"/>
          <w:sz w:val="19"/>
          <w:szCs w:val="19"/>
        </w:rPr>
        <w:t xml:space="preserve">This document is strictly confidential.</w:t>
      </w:r>
    </w:p>
    <w:p>
      <w:pPr>
        <w:pStyle w:val="Heading3"/>
        <w:spacing w:after="120" w:before="240"/>
      </w:pPr>
      <w:r>
        <w:rPr>
          <w:rFonts w:ascii="Calibri" w:cs="Calibri" w:eastAsia="Calibri" w:hAnsi="Calibri"/>
          <w:b/>
          <w:bCs/>
          <w:color w:val="1B3A6B"/>
          <w:sz w:val="20"/>
          <w:szCs w:val="20"/>
        </w:rPr>
        <w:t xml:space="preserve">14.7 Governing Law</w:t>
      </w:r>
    </w:p>
    <w:p>
      <w:pPr>
        <w:spacing w:after="160" w:before="80"/>
      </w:pPr>
      <w:r>
        <w:rPr>
          <w:rFonts w:ascii="Calibri" w:cs="Calibri" w:eastAsia="Calibri" w:hAnsi="Calibri"/>
          <w:color w:val="333333"/>
          <w:sz w:val="19"/>
          <w:szCs w:val="19"/>
        </w:rPr>
        <w:t xml:space="preserve">Laws of India. Jurisdiction: Mumbai courts.</w:t>
      </w:r>
    </w:p>
    <w:p>
      <w:r>
        <w:br w:type="page"/>
      </w:r>
    </w:p>
    <w:p>
      <w:pPr>
        <w:pStyle w:val="Heading1"/>
        <w:spacing w:after="120" w:before="240"/>
      </w:pPr>
      <w:r>
        <w:rPr>
          <w:rFonts w:ascii="Calibri" w:cs="Calibri" w:eastAsia="Calibri" w:hAnsi="Calibri"/>
          <w:b/>
          <w:bCs/>
          <w:color w:val="1B3A6B"/>
          <w:sz w:val="28"/>
          <w:szCs w:val="28"/>
        </w:rPr>
        <w:t xml:space="preserve">15. Appendices</w:t>
      </w:r>
    </w:p>
    <w:p>
      <w:pPr>
        <w:pBdr>
          <w:bottom w:val="single" w:color="2E6DA4" w:sz="6"/>
        </w:pBdr>
        <w:spacing w:after="0" w:before="0"/>
      </w:pPr>
      <w:r>
        <w:t xml:space="preserve"/>
      </w:r>
    </w:p>
    <w:p>
      <w:pPr>
        <w:pStyle w:val="Heading2"/>
        <w:spacing w:after="120" w:before="240"/>
      </w:pPr>
      <w:r>
        <w:rPr>
          <w:rFonts w:ascii="Calibri" w:cs="Calibri" w:eastAsia="Calibri" w:hAnsi="Calibri"/>
          <w:b/>
          <w:bCs/>
          <w:color w:val="1B3A6B"/>
          <w:sz w:val="24"/>
          <w:szCs w:val="24"/>
        </w:rPr>
        <w:t xml:space="preserve">Appendix A: PixelCraft Studios — Registration Details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bCs/>
                <w:color w:val="000000"/>
                <w:sz w:val="17"/>
                <w:szCs w:val="17"/>
              </w:rPr>
              <w:t xml:space="preserve">Company Name</w:t>
            </w:r>
          </w:p>
        </w:tc>
        <w:tc>
          <w:tcPr>
            <w:tcW w:type="dxa" w:w="5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PixelCraft Studios Private Limited</w:t>
            </w:r>
          </w:p>
        </w:tc>
      </w:tr>
      <w:tr>
        <w:tc>
          <w:tcPr>
            <w:tcW w:type="dxa" w:w="3500"/>
            <w:tcBorders>
              <w:top w:val="single" w:color="CCCCCC" w:sz="6"/>
              <w:left w:val="single" w:color="CCCCCC" w:sz="6"/>
              <w:bottom w:val="single" w:color="CCCCCC" w:sz="6"/>
              <w:right w:val="single" w:color="CCCCCC" w:sz="6"/>
            </w:tcBorders>
            <w:shd w:fill="E8F0FF" w:val="solid"/>
            <w:vAlign w:val="center"/>
          </w:tcPr>
          <w:p>
            <w:r>
              <w:rPr>
                <w:rFonts w:ascii="Calibri" w:cs="Calibri" w:eastAsia="Calibri" w:hAnsi="Calibri"/>
                <w:b/>
                <w:bCs/>
                <w:color w:val="000000"/>
                <w:sz w:val="17"/>
                <w:szCs w:val="17"/>
              </w:rPr>
              <w:t xml:space="preserve">Registered Office</w:t>
            </w:r>
          </w:p>
        </w:tc>
        <w:tc>
          <w:tcPr>
            <w:tcW w:type="dxa" w:w="5000"/>
            <w:tcBorders>
              <w:top w:val="single" w:color="CCCCCC" w:sz="6"/>
              <w:left w:val="single" w:color="CCCCCC" w:sz="6"/>
              <w:bottom w:val="single" w:color="CCCCCC" w:sz="6"/>
              <w:right w:val="single" w:color="CCCCCC" w:sz="6"/>
            </w:tcBorders>
            <w:shd w:fill="F5F8FF" w:val="solid"/>
            <w:vAlign w:val="center"/>
          </w:tcPr>
          <w:p>
            <w:r>
              <w:rPr>
                <w:rFonts w:ascii="Calibri" w:cs="Calibri" w:eastAsia="Calibri" w:hAnsi="Calibri"/>
                <w:b w:val="false"/>
                <w:bCs w:val="false"/>
                <w:color w:val="000000"/>
                <w:sz w:val="17"/>
                <w:szCs w:val="17"/>
              </w:rPr>
              <w:t xml:space="preserve">Unit 501, Infinity Tower, Andheri East, Mumbai 400069</w:t>
            </w:r>
          </w:p>
        </w:tc>
      </w:tr>
      <w:tr>
        <w:tc>
          <w:tcPr>
            <w:tcW w:type="dxa" w:w="35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bCs/>
                <w:color w:val="000000"/>
                <w:sz w:val="17"/>
                <w:szCs w:val="17"/>
              </w:rPr>
              <w:t xml:space="preserve">CIN</w:t>
            </w:r>
          </w:p>
        </w:tc>
        <w:tc>
          <w:tcPr>
            <w:tcW w:type="dxa" w:w="5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U74999MH2008PTC123456</w:t>
            </w:r>
          </w:p>
        </w:tc>
      </w:tr>
      <w:tr>
        <w:tc>
          <w:tcPr>
            <w:tcW w:type="dxa" w:w="3500"/>
            <w:tcBorders>
              <w:top w:val="single" w:color="CCCCCC" w:sz="6"/>
              <w:left w:val="single" w:color="CCCCCC" w:sz="6"/>
              <w:bottom w:val="single" w:color="CCCCCC" w:sz="6"/>
              <w:right w:val="single" w:color="CCCCCC" w:sz="6"/>
            </w:tcBorders>
            <w:shd w:fill="E8F0FF" w:val="solid"/>
            <w:vAlign w:val="center"/>
          </w:tcPr>
          <w:p>
            <w:r>
              <w:rPr>
                <w:rFonts w:ascii="Calibri" w:cs="Calibri" w:eastAsia="Calibri" w:hAnsi="Calibri"/>
                <w:b/>
                <w:bCs/>
                <w:color w:val="000000"/>
                <w:sz w:val="17"/>
                <w:szCs w:val="17"/>
              </w:rPr>
              <w:t xml:space="preserve">GST Number</w:t>
            </w:r>
          </w:p>
        </w:tc>
        <w:tc>
          <w:tcPr>
            <w:tcW w:type="dxa" w:w="5000"/>
            <w:tcBorders>
              <w:top w:val="single" w:color="CCCCCC" w:sz="6"/>
              <w:left w:val="single" w:color="CCCCCC" w:sz="6"/>
              <w:bottom w:val="single" w:color="CCCCCC" w:sz="6"/>
              <w:right w:val="single" w:color="CCCCCC" w:sz="6"/>
            </w:tcBorders>
            <w:shd w:fill="F5F8FF" w:val="solid"/>
            <w:vAlign w:val="center"/>
          </w:tcPr>
          <w:p>
            <w:r>
              <w:rPr>
                <w:rFonts w:ascii="Calibri" w:cs="Calibri" w:eastAsia="Calibri" w:hAnsi="Calibri"/>
                <w:b w:val="false"/>
                <w:bCs w:val="false"/>
                <w:color w:val="000000"/>
                <w:sz w:val="17"/>
                <w:szCs w:val="17"/>
              </w:rPr>
              <w:t xml:space="preserve">27AABCP9876M1Z3</w:t>
            </w:r>
          </w:p>
        </w:tc>
      </w:tr>
      <w:tr>
        <w:tc>
          <w:tcPr>
            <w:tcW w:type="dxa" w:w="35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bCs/>
                <w:color w:val="000000"/>
                <w:sz w:val="17"/>
                <w:szCs w:val="17"/>
              </w:rPr>
              <w:t xml:space="preserve">PAN</w:t>
            </w:r>
          </w:p>
        </w:tc>
        <w:tc>
          <w:tcPr>
            <w:tcW w:type="dxa" w:w="5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AABCP9876M</w:t>
            </w:r>
          </w:p>
        </w:tc>
      </w:tr>
      <w:tr>
        <w:tc>
          <w:tcPr>
            <w:tcW w:type="dxa" w:w="3500"/>
            <w:tcBorders>
              <w:top w:val="single" w:color="CCCCCC" w:sz="6"/>
              <w:left w:val="single" w:color="CCCCCC" w:sz="6"/>
              <w:bottom w:val="single" w:color="CCCCCC" w:sz="6"/>
              <w:right w:val="single" w:color="CCCCCC" w:sz="6"/>
            </w:tcBorders>
            <w:shd w:fill="E8F0FF" w:val="solid"/>
            <w:vAlign w:val="center"/>
          </w:tcPr>
          <w:p>
            <w:r>
              <w:rPr>
                <w:rFonts w:ascii="Calibri" w:cs="Calibri" w:eastAsia="Calibri" w:hAnsi="Calibri"/>
                <w:b/>
                <w:bCs/>
                <w:color w:val="000000"/>
                <w:sz w:val="17"/>
                <w:szCs w:val="17"/>
              </w:rPr>
              <w:t xml:space="preserve">MSME Status</w:t>
            </w:r>
          </w:p>
        </w:tc>
        <w:tc>
          <w:tcPr>
            <w:tcW w:type="dxa" w:w="5000"/>
            <w:tcBorders>
              <w:top w:val="single" w:color="CCCCCC" w:sz="6"/>
              <w:left w:val="single" w:color="CCCCCC" w:sz="6"/>
              <w:bottom w:val="single" w:color="CCCCCC" w:sz="6"/>
              <w:right w:val="single" w:color="CCCCCC" w:sz="6"/>
            </w:tcBorders>
            <w:shd w:fill="F5F8FF" w:val="solid"/>
            <w:vAlign w:val="center"/>
          </w:tcPr>
          <w:p>
            <w:r>
              <w:rPr>
                <w:rFonts w:ascii="Calibri" w:cs="Calibri" w:eastAsia="Calibri" w:hAnsi="Calibri"/>
                <w:b w:val="false"/>
                <w:bCs w:val="false"/>
                <w:color w:val="000000"/>
                <w:sz w:val="17"/>
                <w:szCs w:val="17"/>
              </w:rPr>
              <w:t xml:space="preserve">Medium Enterprise (udyam reg no: MH-01-0000123)</w:t>
            </w:r>
          </w:p>
        </w:tc>
      </w:tr>
      <w:tr>
        <w:tc>
          <w:tcPr>
            <w:tcW w:type="dxa" w:w="3500"/>
            <w:tcBorders>
              <w:top w:val="single" w:color="CCCCCC" w:sz="6"/>
              <w:left w:val="single" w:color="CCCCCC" w:sz="6"/>
              <w:bottom w:val="single" w:color="CCCCCC" w:sz="6"/>
              <w:right w:val="single" w:color="CCCCCC" w:sz="6"/>
            </w:tcBorders>
            <w:shd w:fill="F2F3F4" w:val="solid"/>
            <w:vAlign w:val="center"/>
          </w:tcPr>
          <w:p>
            <w:r>
              <w:rPr>
                <w:rFonts w:ascii="Calibri" w:cs="Calibri" w:eastAsia="Calibri" w:hAnsi="Calibri"/>
                <w:b/>
                <w:bCs/>
                <w:color w:val="000000"/>
                <w:sz w:val="17"/>
                <w:szCs w:val="17"/>
              </w:rPr>
              <w:t xml:space="preserve">Bank</w:t>
            </w:r>
          </w:p>
        </w:tc>
        <w:tc>
          <w:tcPr>
            <w:tcW w:type="dxa" w:w="5000"/>
            <w:tcBorders>
              <w:top w:val="single" w:color="CCCCCC" w:sz="6"/>
              <w:left w:val="single" w:color="CCCCCC" w:sz="6"/>
              <w:bottom w:val="single" w:color="CCCCCC" w:sz="6"/>
              <w:right w:val="single" w:color="CCCCCC" w:sz="6"/>
            </w:tcBorders>
            <w:shd w:fill="FFFFFF" w:val="solid"/>
            <w:vAlign w:val="center"/>
          </w:tcPr>
          <w:p>
            <w:r>
              <w:rPr>
                <w:rFonts w:ascii="Calibri" w:cs="Calibri" w:eastAsia="Calibri" w:hAnsi="Calibri"/>
                <w:b w:val="false"/>
                <w:bCs w:val="false"/>
                <w:color w:val="000000"/>
                <w:sz w:val="17"/>
                <w:szCs w:val="17"/>
              </w:rPr>
              <w:t xml:space="preserve">HDFC Bank, Andheri Branch | A/c: 50XXXXXXXX | IFSC: HDFC0003456</w:t>
            </w:r>
          </w:p>
        </w:tc>
      </w:tr>
    </w:tbl>
    <w:p>
      <w:pPr>
        <w:spacing w:after="160" w:before="80"/>
      </w:pPr>
      <w:r>
        <w:rPr>
          <w:rFonts w:ascii="Calibri" w:cs="Calibri" w:eastAsia="Calibri" w:hAnsi="Calibri"/>
          <w:color w:val="333333"/>
          <w:sz w:val="19"/>
          <w:szCs w:val="19"/>
        </w:rPr>
        <w:t xml:space="preserve"/>
      </w:r>
    </w:p>
    <w:p>
      <w:pPr>
        <w:pStyle w:val="Heading2"/>
        <w:spacing w:after="120" w:before="240"/>
      </w:pPr>
      <w:r>
        <w:rPr>
          <w:rFonts w:ascii="Calibri" w:cs="Calibri" w:eastAsia="Calibri" w:hAnsi="Calibri"/>
          <w:b/>
          <w:bCs/>
          <w:color w:val="1B3A6B"/>
          <w:sz w:val="24"/>
          <w:szCs w:val="24"/>
        </w:rPr>
        <w:t xml:space="preserve">Appendix B: Compliance Certifications (attached separately)</w:t>
      </w:r>
    </w:p>
    <w:p>
      <w:pPr>
        <w:spacing w:after="160" w:before="80"/>
      </w:pPr>
      <w:r>
        <w:rPr>
          <w:rFonts w:ascii="Calibri" w:cs="Calibri" w:eastAsia="Calibri" w:hAnsi="Calibri"/>
          <w:color w:val="333333"/>
          <w:sz w:val="19"/>
          <w:szCs w:val="19"/>
        </w:rPr>
        <w:t xml:space="preserve">The following certifications are provided as separate attachments: (1) ASCI Membership Certificate; (2) ISO 9001:2015 Quality Management Certificate; (3) Child Welfare Officer Certification — Dr. Leela Sharma; (4) PixelCraft UK — ASA Member Certificate; (5) Sample Compliance Checklist Template.</w:t>
      </w:r>
    </w:p>
    <w:p>
      <w:pPr>
        <w:spacing w:after="160" w:before="80"/>
      </w:pPr>
      <w:r>
        <w:rPr>
          <w:rFonts w:ascii="Calibri" w:cs="Calibri" w:eastAsia="Calibri" w:hAnsi="Calibri"/>
          <w:color w:val="333333"/>
          <w:sz w:val="19"/>
          <w:szCs w:val="19"/>
        </w:rPr>
        <w:t xml:space="preserve"/>
      </w:r>
    </w:p>
    <w:p>
      <w:pPr>
        <w:pStyle w:val="Heading2"/>
        <w:spacing w:after="120" w:before="240"/>
      </w:pPr>
      <w:r>
        <w:rPr>
          <w:rFonts w:ascii="Calibri" w:cs="Calibri" w:eastAsia="Calibri" w:hAnsi="Calibri"/>
          <w:b/>
          <w:bCs/>
          <w:color w:val="1B3A6B"/>
          <w:sz w:val="24"/>
          <w:szCs w:val="24"/>
        </w:rPr>
        <w:t xml:space="preserve">Appendix C: Selected Agency Showreel</w:t>
      </w:r>
    </w:p>
    <w:p>
      <w:pPr>
        <w:spacing w:after="160" w:before="80"/>
      </w:pPr>
      <w:r>
        <w:rPr>
          <w:rFonts w:ascii="Calibri" w:cs="Calibri" w:eastAsia="Calibri" w:hAnsi="Calibri"/>
          <w:color w:val="333333"/>
          <w:sz w:val="19"/>
          <w:szCs w:val="19"/>
        </w:rPr>
        <w:t xml:space="preserve">Access our kids and family category showreel at: https://vimeo.com/pixelcraft/kidsfamily2025 (Password: PC2026)</w:t>
      </w:r>
    </w:p>
    <w:p>
      <w:pPr>
        <w:spacing w:after="160" w:before="80"/>
      </w:pPr>
      <w:r>
        <w:rPr>
          <w:rFonts w:ascii="Calibri" w:cs="Calibri" w:eastAsia="Calibri" w:hAnsi="Calibri"/>
          <w:color w:val="333333"/>
          <w:sz w:val="19"/>
          <w:szCs w:val="19"/>
        </w:rPr>
        <w:t xml:space="preserve"/>
      </w:r>
    </w:p>
    <w:p>
      <w:pPr>
        <w:spacing w:after="160" w:before="80"/>
      </w:pPr>
      <w:r>
        <w:rPr>
          <w:rFonts w:ascii="Calibri" w:cs="Calibri" w:eastAsia="Calibri" w:hAnsi="Calibri"/>
          <w:color w:val="333333"/>
          <w:sz w:val="19"/>
          <w:szCs w:val="19"/>
        </w:rPr>
        <w:t xml:space="preserve">Thank you for considering PixelCraft Studios for this exciting assignment. We are fully committed to delivering world-class work and look forward to the opportunity to partner with the Global Brand Marketing Team.</w:t>
      </w:r>
    </w:p>
    <w:p>
      <w:pPr>
        <w:spacing w:after="160" w:before="80"/>
      </w:pPr>
      <w:r>
        <w:rPr>
          <w:rFonts w:ascii="Calibri" w:cs="Calibri" w:eastAsia="Calibri" w:hAnsi="Calibri"/>
          <w:color w:val="333333"/>
          <w:sz w:val="19"/>
          <w:szCs w:val="19"/>
        </w:rPr>
        <w:t xml:space="preserve"/>
      </w:r>
    </w:p>
    <w:p>
      <w:pPr>
        <w:spacing w:after="160" w:before="80"/>
      </w:pPr>
      <w:r>
        <w:rPr>
          <w:rFonts w:ascii="Calibri" w:cs="Calibri" w:eastAsia="Calibri" w:hAnsi="Calibri"/>
          <w:color w:val="333333"/>
          <w:sz w:val="19"/>
          <w:szCs w:val="19"/>
        </w:rPr>
        <w:t xml:space="preserve">Ananya Mehrotra | VP – Client Solutions</w:t>
      </w:r>
    </w:p>
    <w:p>
      <w:pPr>
        <w:spacing w:after="160" w:before="80"/>
      </w:pPr>
      <w:r>
        <w:rPr>
          <w:rFonts w:ascii="Calibri" w:cs="Calibri" w:eastAsia="Calibri" w:hAnsi="Calibri"/>
          <w:color w:val="333333"/>
          <w:sz w:val="19"/>
          <w:szCs w:val="19"/>
        </w:rPr>
        <w:t xml:space="preserve">a.mehrotra@pixelcraft.in | +91-9876123456</w:t>
      </w:r>
    </w:p>
    <w:p>
      <w:pPr>
        <w:spacing w:after="160" w:before="80"/>
      </w:pPr>
      <w:r>
        <w:rPr>
          <w:rFonts w:ascii="Calibri" w:cs="Calibri" w:eastAsia="Calibri" w:hAnsi="Calibri"/>
          <w:color w:val="333333"/>
          <w:sz w:val="19"/>
          <w:szCs w:val="19"/>
        </w:rPr>
        <w:t xml:space="preserve">PixelCraft Studios Pvt. Ltd. | pixelcraft.in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2026-04-10T19:46:42.638Z</dcterms:created>
  <dcterms:modified xsi:type="dcterms:W3CDTF">2026-04-10T19:46:42.639Z</dcterms:modified>
</cp:coreProperties>
</file>

<file path=docProps/custom.xml><?xml version="1.0" encoding="utf-8"?>
<Properties xmlns="http://schemas.openxmlformats.org/officeDocument/2006/custom-properties" xmlns:vt="http://schemas.openxmlformats.org/officeDocument/2006/docPropsVTypes"/>
</file>