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p>
    <w:p>
      <w:pPr>
        <w:spacing w:after="160"/>
      </w:pPr>
    </w:p>
    <w:p>
      <w:pPr>
        <w:spacing w:after="160"/>
      </w:pPr>
    </w:p>
    <w:p>
      <w:pPr>
        <w:spacing w:after="240"/>
        <w:jc w:val="center"/>
      </w:pPr>
      <w:r>
        <w:rPr>
          <w:b/>
          <w:bCs/>
          <w:color w:val="1F3F7B"/>
          <w:sz w:val="56"/>
          <w:szCs w:val="56"/>
        </w:rPr>
        <w:t xml:space="preserve">CIM Network Data Import Platform</w:t>
      </w:r>
    </w:p>
    <w:p>
      <w:pPr>
        <w:spacing w:after="200"/>
        <w:jc w:val="center"/>
      </w:pPr>
      <w:r>
        <w:rPr>
          <w:color w:val="2E86C1"/>
          <w:sz w:val="36"/>
          <w:szCs w:val="36"/>
        </w:rPr>
        <w:t xml:space="preserve">Architecture, Design &amp; Technical Reference</w:t>
      </w:r>
    </w:p>
    <w:p>
      <w:pPr>
        <w:pBdr>
          <w:bottom w:val="single" w:color="2E86C1" w:sz="6"/>
        </w:pBdr>
        <w:spacing w:after="200"/>
      </w:pPr>
    </w:p>
    <w:p>
      <w:pPr>
        <w:spacing w:after="120"/>
        <w:jc w:val="center"/>
      </w:pPr>
      <w:r>
        <w:rPr>
          <w:color w:val="555555"/>
          <w:sz w:val="22"/>
          <w:szCs w:val="22"/>
        </w:rPr>
        <w:t xml:space="preserve">Version 5  |  September 2026</w:t>
      </w:r>
    </w:p>
    <w:p>
      <w:pPr>
        <w:spacing w:after="800"/>
        <w:jc w:val="center"/>
      </w:pPr>
      <w:r>
        <w:rPr>
          <w:color w:val="666666"/>
          <w:sz w:val="20"/>
          <w:szCs w:val="20"/>
        </w:rPr>
        <w:t xml:space="preserve">Java 11  ·  Spring Boot 2.7.3  ·  MongoDB 6  ·  Neo4j 6.1  ·  Apache Jena 4.10</w:t>
      </w:r>
    </w:p>
    <w:p>
      <w:r>
        <w:br w:type="page"/>
      </w:r>
    </w:p>
    <w:p>
      <w:pPr>
        <w:pStyle w:val="Heading1"/>
        <w:spacing w:after="200" w:before="400"/>
        <w:rPr>
          <w:b/>
          <w:bCs/>
          <w:color w:val="1F3F7B"/>
          <w:sz w:val="28"/>
          <w:szCs w:val="28"/>
        </w:rPr>
      </w:pPr>
      <w:r>
        <w:t xml:space="preserve">1. Platform Overview</w:t>
      </w:r>
    </w:p>
    <w:p>
      <w:pPr>
        <w:spacing w:after="120"/>
      </w:pPr>
      <w:r>
        <w:rPr>
          <w:color w:val="000000"/>
          <w:sz w:val="20"/>
          <w:szCs w:val="20"/>
        </w:rPr>
        <w:t xml:space="preserve">The CIM Network Data Import Platform ingests IEC 61970/61968 Common Information Model (CIM) power grid data from multiple file formats, validates each object against a CIM OWL class hierarchy, persists the data in MongoDB, enriches it with derived topological attributes, and exports a topology graph to Neo4j for downstream analysis.</w:t>
      </w:r>
    </w:p>
    <w:p>
      <w:pPr>
        <w:spacing w:after="160"/>
      </w:pPr>
    </w:p>
    <w:p>
      <w:pPr>
        <w:pStyle w:val="Heading2"/>
        <w:spacing w:after="160" w:before="300"/>
        <w:rPr>
          <w:b/>
          <w:bCs/>
          <w:color w:val="2E86C1"/>
          <w:sz w:val="24"/>
          <w:szCs w:val="24"/>
        </w:rPr>
      </w:pPr>
      <w:r>
        <w:t xml:space="preserve">1.1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gridSpan w:val="1"/>
            <w:tcBorders>
              <w:top w:val="single" w:color="AAAAAA" w:sz="1"/>
              <w:left w:val="single" w:color="AAAAAA" w:sz="1"/>
              <w:bottom w:val="single" w:color="AAAAAA" w:sz="1"/>
              <w:right w:val="single" w:color="AAAAAA" w:sz="1"/>
            </w:tcBorders>
            <w:shd w:fill="1F3F7B" w:color="1F3F7B" w:val="clear"/>
            <w:tcMar>
              <w:top w:type="dxa" w:w="80"/>
              <w:left w:type="dxa" w:w="120"/>
              <w:bottom w:type="dxa" w:w="80"/>
              <w:right w:type="dxa" w:w="120"/>
            </w:tcMar>
            <w:vAlign w:val="center"/>
          </w:tcPr>
          <w:p>
            <w:pPr>
              <w:spacing w:after="60" w:before="60"/>
              <w:jc w:val="left"/>
            </w:pPr>
            <w:r>
              <w:rPr>
                <w:b/>
                <w:bCs/>
                <w:color w:val="FFFFFF"/>
                <w:sz w:val="18"/>
                <w:szCs w:val="18"/>
              </w:rPr>
              <w:t xml:space="preserve">Component</w:t>
            </w:r>
          </w:p>
        </w:tc>
        <w:tc>
          <w:tcPr>
            <w:tcW w:type="dxa" w:w="2200"/>
            <w:gridSpan w:val="1"/>
            <w:tcBorders>
              <w:top w:val="single" w:color="AAAAAA" w:sz="1"/>
              <w:left w:val="single" w:color="AAAAAA" w:sz="1"/>
              <w:bottom w:val="single" w:color="AAAAAA" w:sz="1"/>
              <w:right w:val="single" w:color="AAAAAA" w:sz="1"/>
            </w:tcBorders>
            <w:shd w:fill="1F3F7B" w:color="1F3F7B" w:val="clear"/>
            <w:tcMar>
              <w:top w:type="dxa" w:w="80"/>
              <w:left w:type="dxa" w:w="120"/>
              <w:bottom w:type="dxa" w:w="80"/>
              <w:right w:type="dxa" w:w="120"/>
            </w:tcMar>
            <w:vAlign w:val="center"/>
          </w:tcPr>
          <w:p>
            <w:pPr>
              <w:spacing w:after="60" w:before="60"/>
              <w:jc w:val="left"/>
            </w:pPr>
            <w:r>
              <w:rPr>
                <w:b/>
                <w:bCs/>
                <w:color w:val="FFFFFF"/>
                <w:sz w:val="18"/>
                <w:szCs w:val="18"/>
              </w:rPr>
              <w:t xml:space="preserve">Technology</w:t>
            </w:r>
          </w:p>
        </w:tc>
        <w:tc>
          <w:tcPr>
            <w:tcW w:type="dxa" w:w="1400"/>
            <w:gridSpan w:val="1"/>
            <w:tcBorders>
              <w:top w:val="single" w:color="AAAAAA" w:sz="1"/>
              <w:left w:val="single" w:color="AAAAAA" w:sz="1"/>
              <w:bottom w:val="single" w:color="AAAAAA" w:sz="1"/>
              <w:right w:val="single" w:color="AAAAAA" w:sz="1"/>
            </w:tcBorders>
            <w:shd w:fill="1F3F7B" w:color="1F3F7B" w:val="clear"/>
            <w:tcMar>
              <w:top w:type="dxa" w:w="80"/>
              <w:left w:type="dxa" w:w="120"/>
              <w:bottom w:type="dxa" w:w="80"/>
              <w:right w:type="dxa" w:w="120"/>
            </w:tcMar>
            <w:vAlign w:val="center"/>
          </w:tcPr>
          <w:p>
            <w:pPr>
              <w:spacing w:after="60" w:before="60"/>
              <w:jc w:val="left"/>
            </w:pPr>
            <w:r>
              <w:rPr>
                <w:b/>
                <w:bCs/>
                <w:color w:val="FFFFFF"/>
                <w:sz w:val="18"/>
                <w:szCs w:val="18"/>
              </w:rPr>
              <w:t xml:space="preserve">Version</w:t>
            </w:r>
          </w:p>
        </w:tc>
        <w:tc>
          <w:tcPr>
            <w:tcW w:type="dxa" w:w="3000"/>
            <w:gridSpan w:val="1"/>
            <w:tcBorders>
              <w:top w:val="single" w:color="AAAAAA" w:sz="1"/>
              <w:left w:val="single" w:color="AAAAAA" w:sz="1"/>
              <w:bottom w:val="single" w:color="AAAAAA" w:sz="1"/>
              <w:right w:val="single" w:color="AAAAAA" w:sz="1"/>
            </w:tcBorders>
            <w:shd w:fill="1F3F7B" w:color="1F3F7B" w:val="clear"/>
            <w:tcMar>
              <w:top w:type="dxa" w:w="80"/>
              <w:left w:type="dxa" w:w="120"/>
              <w:bottom w:type="dxa" w:w="80"/>
              <w:right w:type="dxa" w:w="120"/>
            </w:tcMar>
            <w:vAlign w:val="center"/>
          </w:tcPr>
          <w:p>
            <w:pPr>
              <w:spacing w:after="60" w:before="60"/>
              <w:jc w:val="left"/>
            </w:pPr>
            <w:r>
              <w:rPr>
                <w:b/>
                <w:bCs/>
                <w:color w:val="FFFFFF"/>
                <w:sz w:val="18"/>
                <w:szCs w:val="18"/>
              </w:rPr>
              <w:t xml:space="preserve">Role</w:t>
            </w:r>
          </w:p>
        </w:tc>
      </w:tr>
      <w:tr>
        <w:tc>
          <w:tcPr>
            <w:tcW w:type="dxa" w:w="18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Application</w:t>
            </w:r>
          </w:p>
        </w:tc>
        <w:tc>
          <w:tcPr>
            <w:tcW w:type="dxa" w:w="22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Java / Spring Boot</w:t>
            </w:r>
          </w:p>
        </w:tc>
        <w:tc>
          <w:tcPr>
            <w:tcW w:type="dxa" w:w="14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11 / 2.7.3</w:t>
            </w:r>
          </w:p>
        </w:tc>
        <w:tc>
          <w:tcPr>
            <w:tcW w:type="dxa" w:w="30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REST API + async processing</w:t>
            </w:r>
          </w:p>
        </w:tc>
      </w:tr>
      <w:tr>
        <w:tc>
          <w:tcPr>
            <w:tcW w:type="dxa" w:w="18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Document Store</w:t>
            </w:r>
          </w:p>
        </w:tc>
        <w:tc>
          <w:tcPr>
            <w:tcW w:type="dxa" w:w="22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MongoDB</w:t>
            </w:r>
          </w:p>
        </w:tc>
        <w:tc>
          <w:tcPr>
            <w:tcW w:type="dxa" w:w="14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6.x</w:t>
            </w:r>
          </w:p>
        </w:tc>
        <w:tc>
          <w:tcPr>
            <w:tcW w:type="dxa" w:w="30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CIM objects, raw objects, jobs</w:t>
            </w:r>
          </w:p>
        </w:tc>
      </w:tr>
      <w:tr>
        <w:tc>
          <w:tcPr>
            <w:tcW w:type="dxa" w:w="18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Graph Database</w:t>
            </w:r>
          </w:p>
        </w:tc>
        <w:tc>
          <w:tcPr>
            <w:tcW w:type="dxa" w:w="22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Neo4j</w:t>
            </w:r>
          </w:p>
        </w:tc>
        <w:tc>
          <w:tcPr>
            <w:tcW w:type="dxa" w:w="14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6.1.0</w:t>
            </w:r>
          </w:p>
        </w:tc>
        <w:tc>
          <w:tcPr>
            <w:tcW w:type="dxa" w:w="30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Topology graph export</w:t>
            </w:r>
          </w:p>
        </w:tc>
      </w:tr>
      <w:tr>
        <w:tc>
          <w:tcPr>
            <w:tcW w:type="dxa" w:w="18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Graph Driver</w:t>
            </w:r>
          </w:p>
        </w:tc>
        <w:tc>
          <w:tcPr>
            <w:tcW w:type="dxa" w:w="22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Neo4j Java Driver</w:t>
            </w:r>
          </w:p>
        </w:tc>
        <w:tc>
          <w:tcPr>
            <w:tcW w:type="dxa" w:w="14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5.21.0</w:t>
            </w:r>
          </w:p>
        </w:tc>
        <w:tc>
          <w:tcPr>
            <w:tcW w:type="dxa" w:w="30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Neo4j connectivity</w:t>
            </w:r>
          </w:p>
        </w:tc>
      </w:tr>
      <w:tr>
        <w:tc>
          <w:tcPr>
            <w:tcW w:type="dxa" w:w="18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OWL Parser</w:t>
            </w:r>
          </w:p>
        </w:tc>
        <w:tc>
          <w:tcPr>
            <w:tcW w:type="dxa" w:w="22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Apache Jena</w:t>
            </w:r>
          </w:p>
        </w:tc>
        <w:tc>
          <w:tcPr>
            <w:tcW w:type="dxa" w:w="14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4.10</w:t>
            </w:r>
          </w:p>
        </w:tc>
        <w:tc>
          <w:tcPr>
            <w:tcW w:type="dxa" w:w="30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CIM OWL hierarchy loading</w:t>
            </w:r>
          </w:p>
        </w:tc>
      </w:tr>
      <w:tr>
        <w:tc>
          <w:tcPr>
            <w:tcW w:type="dxa" w:w="18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API Docs</w:t>
            </w:r>
          </w:p>
        </w:tc>
        <w:tc>
          <w:tcPr>
            <w:tcW w:type="dxa" w:w="22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Springfox</w:t>
            </w:r>
          </w:p>
        </w:tc>
        <w:tc>
          <w:tcPr>
            <w:tcW w:type="dxa" w:w="14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3.0.0</w:t>
            </w:r>
          </w:p>
        </w:tc>
        <w:tc>
          <w:tcPr>
            <w:tcW w:type="dxa" w:w="30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Swagger 2.0 UI</w:t>
            </w:r>
          </w:p>
        </w:tc>
      </w:tr>
      <w:tr>
        <w:tc>
          <w:tcPr>
            <w:tcW w:type="dxa" w:w="18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Archive Support</w:t>
            </w:r>
          </w:p>
        </w:tc>
        <w:tc>
          <w:tcPr>
            <w:tcW w:type="dxa" w:w="22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Apache Commons Compress</w:t>
            </w:r>
          </w:p>
        </w:tc>
        <w:tc>
          <w:tcPr>
            <w:tcW w:type="dxa" w:w="14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1.24.0</w:t>
            </w:r>
          </w:p>
        </w:tc>
        <w:tc>
          <w:tcPr>
            <w:tcW w:type="dxa" w:w="30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ZIP / TAR / TGZ extraction</w:t>
            </w:r>
          </w:p>
        </w:tc>
      </w:tr>
    </w:tbl>
    <w:p>
      <w:pPr>
        <w:spacing w:after="160"/>
      </w:pPr>
    </w:p>
    <w:p>
      <w:pPr>
        <w:pStyle w:val="Heading2"/>
        <w:spacing w:after="160" w:before="300"/>
        <w:rPr>
          <w:b/>
          <w:bCs/>
          <w:color w:val="2E86C1"/>
          <w:sz w:val="24"/>
          <w:szCs w:val="24"/>
        </w:rPr>
      </w:pPr>
      <w:r>
        <w:t xml:space="preserve">1.2 MongoDB Collections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400"/>
            <w:gridSpan w:val="1"/>
            <w:tcBorders>
              <w:top w:val="single" w:color="AAAAAA" w:sz="1"/>
              <w:left w:val="single" w:color="AAAAAA" w:sz="1"/>
              <w:bottom w:val="single" w:color="AAAAAA" w:sz="1"/>
              <w:right w:val="single" w:color="AAAAAA" w:sz="1"/>
            </w:tcBorders>
            <w:shd w:fill="1F3F7B" w:color="1F3F7B" w:val="clear"/>
            <w:tcMar>
              <w:top w:type="dxa" w:w="80"/>
              <w:left w:type="dxa" w:w="120"/>
              <w:bottom w:type="dxa" w:w="80"/>
              <w:right w:type="dxa" w:w="120"/>
            </w:tcMar>
            <w:vAlign w:val="center"/>
          </w:tcPr>
          <w:p>
            <w:pPr>
              <w:spacing w:after="60" w:before="60"/>
              <w:jc w:val="left"/>
            </w:pPr>
            <w:r>
              <w:rPr>
                <w:b/>
                <w:bCs/>
                <w:color w:val="FFFFFF"/>
                <w:sz w:val="18"/>
                <w:szCs w:val="18"/>
              </w:rPr>
              <w:t xml:space="preserve">Collection</w:t>
            </w:r>
          </w:p>
        </w:tc>
        <w:tc>
          <w:tcPr>
            <w:tcW w:type="dxa" w:w="6000"/>
            <w:gridSpan w:val="1"/>
            <w:tcBorders>
              <w:top w:val="single" w:color="AAAAAA" w:sz="1"/>
              <w:left w:val="single" w:color="AAAAAA" w:sz="1"/>
              <w:bottom w:val="single" w:color="AAAAAA" w:sz="1"/>
              <w:right w:val="single" w:color="AAAAAA" w:sz="1"/>
            </w:tcBorders>
            <w:shd w:fill="1F3F7B" w:color="1F3F7B" w:val="clear"/>
            <w:tcMar>
              <w:top w:type="dxa" w:w="80"/>
              <w:left w:type="dxa" w:w="120"/>
              <w:bottom w:type="dxa" w:w="80"/>
              <w:right w:type="dxa" w:w="120"/>
            </w:tcMar>
            <w:vAlign w:val="center"/>
          </w:tcPr>
          <w:p>
            <w:pPr>
              <w:spacing w:after="60" w:before="60"/>
              <w:jc w:val="left"/>
            </w:pPr>
            <w:r>
              <w:rPr>
                <w:b/>
                <w:bCs/>
                <w:color w:val="FFFFFF"/>
                <w:sz w:val="18"/>
                <w:szCs w:val="18"/>
              </w:rPr>
              <w:t xml:space="preserve">Purpose</w:t>
            </w:r>
          </w:p>
        </w:tc>
      </w:tr>
      <w:tr>
        <w:tc>
          <w:tcPr>
            <w:tcW w:type="dxa" w:w="24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cim_objects</w:t>
            </w:r>
          </w:p>
        </w:tc>
        <w:tc>
          <w:tcPr>
            <w:tcW w:type="dxa" w:w="60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CIM-translated objects — one document per CIM entity. Enriched attributes written here in Phase 3.</w:t>
            </w:r>
          </w:p>
        </w:tc>
      </w:tr>
      <w:tr>
        <w:tc>
          <w:tcPr>
            <w:tcW w:type="dxa" w:w="24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raw_objects</w:t>
            </w:r>
          </w:p>
        </w:tc>
        <w:tc>
          <w:tcPr>
            <w:tcW w:type="dxa" w:w="60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Vendor-format raw objects — untouched original values. Never modified after import.</w:t>
            </w:r>
          </w:p>
        </w:tc>
      </w:tr>
      <w:tr>
        <w:tc>
          <w:tcPr>
            <w:tcW w:type="dxa" w:w="24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validation_jobs</w:t>
            </w:r>
          </w:p>
        </w:tc>
        <w:tc>
          <w:tcPr>
            <w:tcW w:type="dxa" w:w="60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Full lifecycle of each import job: phases, timings, status, enabled namespaces, phase history (import + export).</w:t>
            </w:r>
          </w:p>
        </w:tc>
      </w:tr>
      <w:tr>
        <w:tc>
          <w:tcPr>
            <w:tcW w:type="dxa" w:w="24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cim_classes</w:t>
            </w:r>
          </w:p>
        </w:tc>
        <w:tc>
          <w:tcPr>
            <w:tcW w:type="dxa" w:w="60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OWL-derived class hierarchy: ancestors, own attributes, package, stereotype.</w:t>
            </w:r>
          </w:p>
        </w:tc>
      </w:tr>
      <w:tr>
        <w:tc>
          <w:tcPr>
            <w:tcW w:type="dxa" w:w="24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namespace_configs</w:t>
            </w:r>
          </w:p>
        </w:tc>
        <w:tc>
          <w:tcPr>
            <w:tcW w:type="dxa" w:w="60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Org-scoped namespace prefix → URI mappings used during parsing.</w:t>
            </w:r>
          </w:p>
        </w:tc>
      </w:tr>
      <w:tr>
        <w:tc>
          <w:tcPr>
            <w:tcW w:type="dxa" w:w="24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neo4j_export_configs</w:t>
            </w:r>
          </w:p>
        </w:tc>
        <w:tc>
          <w:tcPr>
            <w:tcW w:type="dxa" w:w="60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Named export configs: which CIM types go into FULL / SANITISED / RATIONALISED variants.</w:t>
            </w:r>
          </w:p>
        </w:tc>
      </w:tr>
    </w:tbl>
    <w:p>
      <w:pPr>
        <w:spacing w:after="160"/>
      </w:pPr>
    </w:p>
    <w:p>
      <w:r>
        <w:br w:type="page"/>
      </w:r>
    </w:p>
    <w:p>
      <w:pPr>
        <w:pStyle w:val="Heading1"/>
        <w:spacing w:after="200" w:before="400"/>
        <w:rPr>
          <w:b/>
          <w:bCs/>
          <w:color w:val="1F3F7B"/>
          <w:sz w:val="28"/>
          <w:szCs w:val="28"/>
        </w:rPr>
      </w:pPr>
      <w:r>
        <w:t xml:space="preserve">2. System Architecture</w:t>
      </w:r>
    </w:p>
    <w:p>
      <w:pPr>
        <w:pStyle w:val="Heading2"/>
        <w:spacing w:after="160" w:before="300"/>
        <w:rPr>
          <w:b/>
          <w:bCs/>
          <w:color w:val="2E86C1"/>
          <w:sz w:val="24"/>
          <w:szCs w:val="24"/>
        </w:rPr>
      </w:pPr>
      <w:r>
        <w:t xml:space="preserve">2.1 Package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00"/>
            <w:gridSpan w:val="1"/>
            <w:tcBorders>
              <w:top w:val="single" w:color="AAAAAA" w:sz="1"/>
              <w:left w:val="single" w:color="AAAAAA" w:sz="1"/>
              <w:bottom w:val="single" w:color="AAAAAA" w:sz="1"/>
              <w:right w:val="single" w:color="AAAAAA" w:sz="1"/>
            </w:tcBorders>
            <w:shd w:fill="1F3F7B" w:color="1F3F7B" w:val="clear"/>
            <w:tcMar>
              <w:top w:type="dxa" w:w="80"/>
              <w:left w:type="dxa" w:w="120"/>
              <w:bottom w:type="dxa" w:w="80"/>
              <w:right w:type="dxa" w:w="120"/>
            </w:tcMar>
            <w:vAlign w:val="center"/>
          </w:tcPr>
          <w:p>
            <w:pPr>
              <w:spacing w:after="60" w:before="60"/>
              <w:jc w:val="left"/>
            </w:pPr>
            <w:r>
              <w:rPr>
                <w:b/>
                <w:bCs/>
                <w:color w:val="FFFFFF"/>
                <w:sz w:val="18"/>
                <w:szCs w:val="18"/>
              </w:rPr>
              <w:t xml:space="preserve">Package</w:t>
            </w:r>
          </w:p>
        </w:tc>
        <w:tc>
          <w:tcPr>
            <w:tcW w:type="dxa" w:w="3000"/>
            <w:gridSpan w:val="1"/>
            <w:tcBorders>
              <w:top w:val="single" w:color="AAAAAA" w:sz="1"/>
              <w:left w:val="single" w:color="AAAAAA" w:sz="1"/>
              <w:bottom w:val="single" w:color="AAAAAA" w:sz="1"/>
              <w:right w:val="single" w:color="AAAAAA" w:sz="1"/>
            </w:tcBorders>
            <w:shd w:fill="1F3F7B" w:color="1F3F7B" w:val="clear"/>
            <w:tcMar>
              <w:top w:type="dxa" w:w="80"/>
              <w:left w:type="dxa" w:w="120"/>
              <w:bottom w:type="dxa" w:w="80"/>
              <w:right w:type="dxa" w:w="120"/>
            </w:tcMar>
            <w:vAlign w:val="center"/>
          </w:tcPr>
          <w:p>
            <w:pPr>
              <w:spacing w:after="60" w:before="60"/>
              <w:jc w:val="left"/>
            </w:pPr>
            <w:r>
              <w:rPr>
                <w:b/>
                <w:bCs/>
                <w:color w:val="FFFFFF"/>
                <w:sz w:val="18"/>
                <w:szCs w:val="18"/>
              </w:rPr>
              <w:t xml:space="preserve">Key Classes</w:t>
            </w:r>
          </w:p>
        </w:tc>
        <w:tc>
          <w:tcPr>
            <w:tcW w:type="dxa" w:w="3600"/>
            <w:gridSpan w:val="1"/>
            <w:tcBorders>
              <w:top w:val="single" w:color="AAAAAA" w:sz="1"/>
              <w:left w:val="single" w:color="AAAAAA" w:sz="1"/>
              <w:bottom w:val="single" w:color="AAAAAA" w:sz="1"/>
              <w:right w:val="single" w:color="AAAAAA" w:sz="1"/>
            </w:tcBorders>
            <w:shd w:fill="1F3F7B" w:color="1F3F7B" w:val="clear"/>
            <w:tcMar>
              <w:top w:type="dxa" w:w="80"/>
              <w:left w:type="dxa" w:w="120"/>
              <w:bottom w:type="dxa" w:w="80"/>
              <w:right w:type="dxa" w:w="120"/>
            </w:tcMar>
            <w:vAlign w:val="center"/>
          </w:tcPr>
          <w:p>
            <w:pPr>
              <w:spacing w:after="60" w:before="60"/>
              <w:jc w:val="left"/>
            </w:pPr>
            <w:r>
              <w:rPr>
                <w:b/>
                <w:bCs/>
                <w:color w:val="FFFFFF"/>
                <w:sz w:val="18"/>
                <w:szCs w:val="18"/>
              </w:rPr>
              <w:t xml:space="preserve">Responsibility</w:t>
            </w:r>
          </w:p>
        </w:tc>
      </w:tr>
      <w:tr>
        <w:tc>
          <w:tcPr>
            <w:tcW w:type="dxa" w:w="18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config</w:t>
            </w:r>
          </w:p>
        </w:tc>
        <w:tc>
          <w:tcPr>
            <w:tcW w:type="dxa" w:w="30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MongoConfig, Neo4jConfig, OpenApiConfig</w:t>
            </w:r>
          </w:p>
        </w:tc>
        <w:tc>
          <w:tcPr>
            <w:tcW w:type="dxa" w:w="36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Spring beans, DB connections, Swagger Docket</w:t>
            </w:r>
          </w:p>
        </w:tc>
      </w:tr>
      <w:tr>
        <w:tc>
          <w:tcPr>
            <w:tcW w:type="dxa" w:w="18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controller</w:t>
            </w:r>
          </w:p>
        </w:tc>
        <w:tc>
          <w:tcPr>
            <w:tcW w:type="dxa" w:w="30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ImportController, AdminController, QueryController, Neo4jExportConfigController</w:t>
            </w:r>
          </w:p>
        </w:tc>
        <w:tc>
          <w:tcPr>
            <w:tcW w:type="dxa" w:w="36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REST endpoints</w:t>
            </w:r>
          </w:p>
        </w:tc>
      </w:tr>
      <w:tr>
        <w:tc>
          <w:tcPr>
            <w:tcW w:type="dxa" w:w="18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model/mongo</w:t>
            </w:r>
          </w:p>
        </w:tc>
        <w:tc>
          <w:tcPr>
            <w:tcW w:type="dxa" w:w="30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ValidationJob, CimObjectRecord, PhaseRecord, StageTimings, ExportRequest</w:t>
            </w:r>
          </w:p>
        </w:tc>
        <w:tc>
          <w:tcPr>
            <w:tcW w:type="dxa" w:w="36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MongoDB document models</w:t>
            </w:r>
          </w:p>
        </w:tc>
      </w:tr>
      <w:tr>
        <w:tc>
          <w:tcPr>
            <w:tcW w:type="dxa" w:w="18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model/cim</w:t>
            </w:r>
          </w:p>
        </w:tc>
        <w:tc>
          <w:tcPr>
            <w:tcW w:type="dxa" w:w="30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CIMObject</w:t>
            </w:r>
          </w:p>
        </w:tc>
        <w:tc>
          <w:tcPr>
            <w:tcW w:type="dxa" w:w="36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Parsed CIM entity before persistence</w:t>
            </w:r>
          </w:p>
        </w:tc>
      </w:tr>
      <w:tr>
        <w:tc>
          <w:tcPr>
            <w:tcW w:type="dxa" w:w="18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service</w:t>
            </w:r>
          </w:p>
        </w:tc>
        <w:tc>
          <w:tcPr>
            <w:tcW w:type="dxa" w:w="30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ImportService, CimEnrichmentService, Neo4jExportService, CIMOwlParser, CIMStandardService, NamespaceService</w:t>
            </w:r>
          </w:p>
        </w:tc>
        <w:tc>
          <w:tcPr>
            <w:tcW w:type="dxa" w:w="36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Business logic</w:t>
            </w:r>
          </w:p>
        </w:tc>
      </w:tr>
      <w:tr>
        <w:tc>
          <w:tcPr>
            <w:tcW w:type="dxa" w:w="18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streaming</w:t>
            </w:r>
          </w:p>
        </w:tc>
        <w:tc>
          <w:tcPr>
            <w:tcW w:type="dxa" w:w="30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StreamingRdfXmlParser, StreamingMilsoftCsvParser, StreamingReferenceResolver, ProgressTracker</w:t>
            </w:r>
          </w:p>
        </w:tc>
        <w:tc>
          <w:tcPr>
            <w:tcW w:type="dxa" w:w="36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File parsing and reference resolution</w:t>
            </w:r>
          </w:p>
        </w:tc>
      </w:tr>
      <w:tr>
        <w:tc>
          <w:tcPr>
            <w:tcW w:type="dxa" w:w="18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validation/registry</w:t>
            </w:r>
          </w:p>
        </w:tc>
        <w:tc>
          <w:tcPr>
            <w:tcW w:type="dxa" w:w="30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CIMHierarchyRegistry, PathValidationResult</w:t>
            </w:r>
          </w:p>
        </w:tc>
        <w:tc>
          <w:tcPr>
            <w:tcW w:type="dxa" w:w="36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OWL hierarchy query + path validation</w:t>
            </w:r>
          </w:p>
        </w:tc>
      </w:tr>
      <w:tr>
        <w:tc>
          <w:tcPr>
            <w:tcW w:type="dxa" w:w="18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util</w:t>
            </w:r>
          </w:p>
        </w:tc>
        <w:tc>
          <w:tcPr>
            <w:tcW w:type="dxa" w:w="30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MapKeySanitizer</w:t>
            </w:r>
          </w:p>
        </w:tc>
        <w:tc>
          <w:tcPr>
            <w:tcW w:type="dxa" w:w="36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Dot → underscore key encoding for MongoDB</w:t>
            </w:r>
          </w:p>
        </w:tc>
      </w:tr>
      <w:tr>
        <w:tc>
          <w:tcPr>
            <w:tcW w:type="dxa" w:w="18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repository</w:t>
            </w:r>
          </w:p>
        </w:tc>
        <w:tc>
          <w:tcPr>
            <w:tcW w:type="dxa" w:w="30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Repositories</w:t>
            </w:r>
          </w:p>
        </w:tc>
        <w:tc>
          <w:tcPr>
            <w:tcW w:type="dxa" w:w="36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All Spring Data MongoDB repositories</w:t>
            </w:r>
          </w:p>
        </w:tc>
      </w:tr>
    </w:tbl>
    <w:p>
      <w:pPr>
        <w:spacing w:after="160"/>
      </w:pPr>
    </w:p>
    <w:p>
      <w:pPr>
        <w:pStyle w:val="Heading2"/>
        <w:spacing w:after="160" w:before="300"/>
        <w:rPr>
          <w:b/>
          <w:bCs/>
          <w:color w:val="2E86C1"/>
          <w:sz w:val="24"/>
          <w:szCs w:val="24"/>
        </w:rPr>
      </w:pPr>
      <w:r>
        <w:t xml:space="preserve">2.2 Full Data Flow</w:t>
      </w:r>
    </w:p>
    <w:p>
      <w:pPr>
        <w:spacing w:after="120"/>
      </w:pPr>
      <w:r>
        <w:rPr>
          <w:color w:val="000000"/>
          <w:sz w:val="20"/>
          <w:szCs w:val="20"/>
        </w:rPr>
        <w:t xml:space="preserve">The platform processes data through four sequential phases per import job:</w:t>
      </w:r>
    </w:p>
    <w:p>
      <w:pPr>
        <w:pStyle w:val="ListParagraph"/>
        <w:numPr>
          <w:ilvl w:val="0"/>
          <w:numId w:val="1"/>
        </w:numPr>
        <w:spacing w:after="80"/>
      </w:pPr>
      <w:r>
        <w:rPr>
          <w:sz w:val="20"/>
          <w:szCs w:val="20"/>
        </w:rPr>
        <w:t xml:space="preserve">Phase 1 — Stream Parse: File is read in streaming fashion. Each CIM object is parsed, validated, and written to MongoDB immediately (no full-file buffering).</w:t>
      </w:r>
    </w:p>
    <w:p>
      <w:pPr>
        <w:pStyle w:val="ListParagraph"/>
        <w:numPr>
          <w:ilvl w:val="0"/>
          <w:numId w:val="1"/>
        </w:numPr>
        <w:spacing w:after="80"/>
      </w:pPr>
      <w:r>
        <w:rPr>
          <w:sz w:val="20"/>
          <w:szCs w:val="20"/>
        </w:rPr>
        <w:t xml:space="preserve">Phase 2 — Reference Resolution: Cross-object references (rdfId pointers) are resolved within the job scope. resolvedRefIds map is populated on each cim_objects document.</w:t>
      </w:r>
    </w:p>
    <w:p>
      <w:pPr>
        <w:pStyle w:val="ListParagraph"/>
        <w:numPr>
          <w:ilvl w:val="0"/>
          <w:numId w:val="1"/>
        </w:numPr>
        <w:spacing w:after="80"/>
      </w:pPr>
      <w:r>
        <w:rPr>
          <w:sz w:val="20"/>
          <w:szCs w:val="20"/>
        </w:rPr>
        <w:t xml:space="preserve">Phase 3 — CIM Enrichment: Derived attributes (nominalVoltage, substationMrid, subGeographicalRegionMrid, geographicalRegionMrid and their names) are computed from resolved reference chains in MongoDB and written to cim_objects.attributes. raw_objects are never modified.</w:t>
      </w:r>
    </w:p>
    <w:p>
      <w:pPr>
        <w:pStyle w:val="ListParagraph"/>
        <w:numPr>
          <w:ilvl w:val="0"/>
          <w:numId w:val="1"/>
        </w:numPr>
        <w:spacing w:after="80"/>
      </w:pPr>
      <w:r>
        <w:rPr>
          <w:sz w:val="20"/>
          <w:szCs w:val="20"/>
        </w:rPr>
        <w:t xml:space="preserve">Phase 4 — Neo4j Export (optional): Enriched cim_objects are exported as nodes and relationships to Neo4j. Three topology variants are supported: FULL (DB140-0), SANITISED (DB140-1), RATIONALISED (DB140-2). Controlled by exportToNeo4j flag (default true).</w:t>
      </w:r>
    </w:p>
    <w:p>
      <w:pPr>
        <w:spacing w:after="160"/>
      </w:pPr>
    </w:p>
    <w:p>
      <w:r>
        <w:br w:type="page"/>
      </w:r>
    </w:p>
    <w:p>
      <w:pPr>
        <w:pStyle w:val="Heading1"/>
        <w:spacing w:after="200" w:before="400"/>
        <w:rPr>
          <w:b/>
          <w:bCs/>
          <w:color w:val="1F3F7B"/>
          <w:sz w:val="28"/>
          <w:szCs w:val="28"/>
        </w:rPr>
      </w:pPr>
      <w:r>
        <w:t xml:space="preserve">3. API Reference</w:t>
      </w:r>
    </w:p>
    <w:p>
      <w:pPr>
        <w:pStyle w:val="Heading2"/>
        <w:spacing w:after="160" w:before="300"/>
        <w:rPr>
          <w:b/>
          <w:bCs/>
          <w:color w:val="2E86C1"/>
          <w:sz w:val="24"/>
          <w:szCs w:val="24"/>
        </w:rPr>
      </w:pPr>
      <w:r>
        <w:t xml:space="preserve">3.1 Import API</w:t>
      </w:r>
    </w:p>
    <w:p>
      <w:pPr>
        <w:pStyle w:val="Heading3"/>
        <w:spacing w:after="120" w:before="200"/>
        <w:rPr>
          <w:b/>
          <w:bCs/>
          <w:color w:val="1F3F7B"/>
          <w:sz w:val="22"/>
          <w:szCs w:val="22"/>
        </w:rPr>
      </w:pPr>
      <w:r>
        <w:t xml:space="preserve">POST /api/import</w:t>
      </w:r>
    </w:p>
    <w:p>
      <w:pPr>
        <w:spacing w:after="120"/>
      </w:pPr>
      <w:r>
        <w:rPr>
          <w:color w:val="000000"/>
          <w:sz w:val="20"/>
          <w:szCs w:val="20"/>
        </w:rPr>
        <w:t xml:space="preserve">Imports a CIM file from the server filesystem. Triggers all four phases automatically.</w:t>
      </w:r>
    </w:p>
    <w:p>
      <w:pPr>
        <w:spacing w:after="160"/>
      </w:pPr>
    </w:p>
    <w:p>
      <w:pPr>
        <w:spacing w:after="120"/>
      </w:pPr>
      <w:r>
        <w:rPr>
          <w:b/>
          <w:bCs/>
          <w:color w:val="000000"/>
          <w:sz w:val="20"/>
          <w:szCs w:val="20"/>
        </w:rPr>
        <w:t xml:space="preserve">Request body:</w:t>
      </w:r>
    </w:p>
    <w:p>
      <w:pPr>
        <w:spacing w:after="80"/>
        <w:ind w:left="720"/>
      </w:pPr>
      <w:r>
        <w:rPr>
          <w:rFonts w:ascii="Courier New" w:cs="Courier New" w:eastAsia="Courier New" w:hAnsi="Courier New"/>
          <w:color w:val="1A5276"/>
          <w:sz w:val="18"/>
          <w:szCs w:val="18"/>
        </w:rPr>
        <w:t xml:space="preserve">{</w:t>
      </w:r>
    </w:p>
    <w:p>
      <w:pPr>
        <w:spacing w:after="80"/>
        <w:ind w:left="720"/>
      </w:pPr>
      <w:r>
        <w:rPr>
          <w:rFonts w:ascii="Courier New" w:cs="Courier New" w:eastAsia="Courier New" w:hAnsi="Courier New"/>
          <w:color w:val="1A5276"/>
          <w:sz w:val="18"/>
          <w:szCs w:val="18"/>
        </w:rPr>
        <w:t xml:space="preserve">  "filePath":      "/data/DB140.xml",   // required — server-side path</w:t>
      </w:r>
    </w:p>
    <w:p>
      <w:pPr>
        <w:spacing w:after="80"/>
        <w:ind w:left="720"/>
      </w:pPr>
      <w:r>
        <w:rPr>
          <w:rFonts w:ascii="Courier New" w:cs="Courier New" w:eastAsia="Courier New" w:hAnsi="Courier New"/>
          <w:color w:val="1A5276"/>
          <w:sz w:val="18"/>
          <w:szCs w:val="18"/>
        </w:rPr>
        <w:t xml:space="preserve">  "networkVersion": "DB140",             // required — version tag for all objects</w:t>
      </w:r>
    </w:p>
    <w:p>
      <w:pPr>
        <w:spacing w:after="80"/>
        <w:ind w:left="720"/>
      </w:pPr>
      <w:r>
        <w:rPr>
          <w:rFonts w:ascii="Courier New" w:cs="Courier New" w:eastAsia="Courier New" w:hAnsi="Courier New"/>
          <w:color w:val="1A5276"/>
          <w:sz w:val="18"/>
          <w:szCs w:val="18"/>
        </w:rPr>
        <w:t xml:space="preserve">  "fileType":       "RDF",               // optional — RDF | MILSOFT | JSON</w:t>
      </w:r>
    </w:p>
    <w:p>
      <w:pPr>
        <w:spacing w:after="80"/>
        <w:ind w:left="720"/>
      </w:pPr>
      <w:r>
        <w:rPr>
          <w:rFonts w:ascii="Courier New" w:cs="Courier New" w:eastAsia="Courier New" w:hAnsi="Courier New"/>
          <w:color w:val="1A5276"/>
          <w:sz w:val="18"/>
          <w:szCs w:val="18"/>
        </w:rPr>
        <w:t xml:space="preserve">  "exportToNeo4j":  true                 // optional — default true. false = stop after Phase 3</w:t>
      </w:r>
    </w:p>
    <w:p>
      <w:pPr>
        <w:spacing w:after="80"/>
        <w:ind w:left="720"/>
      </w:pPr>
      <w:r>
        <w:rPr>
          <w:rFonts w:ascii="Courier New" w:cs="Courier New" w:eastAsia="Courier New" w:hAnsi="Courier New"/>
          <w:color w:val="1A5276"/>
          <w:sz w:val="18"/>
          <w:szCs w:val="18"/>
        </w:rPr>
        <w:t xml:space="preserve">}</w:t>
      </w:r>
    </w:p>
    <w:p>
      <w:pPr>
        <w:spacing w:after="160"/>
      </w:pPr>
    </w:p>
    <w:p>
      <w:pPr>
        <w:spacing w:after="120"/>
      </w:pPr>
      <w:r>
        <w:rPr>
          <w:b/>
          <w:bCs/>
          <w:color w:val="000000"/>
          <w:sz w:val="20"/>
          <w:szCs w:val="20"/>
        </w:rPr>
        <w:t xml:space="preserve">Response (202 Accepted):</w:t>
      </w:r>
    </w:p>
    <w:p>
      <w:pPr>
        <w:spacing w:after="80"/>
        <w:ind w:left="720"/>
      </w:pPr>
      <w:r>
        <w:rPr>
          <w:rFonts w:ascii="Courier New" w:cs="Courier New" w:eastAsia="Courier New" w:hAnsi="Courier New"/>
          <w:color w:val="1A5276"/>
          <w:sz w:val="18"/>
          <w:szCs w:val="18"/>
        </w:rPr>
        <w:t xml:space="preserve">{</w:t>
      </w:r>
    </w:p>
    <w:p>
      <w:pPr>
        <w:spacing w:after="80"/>
        <w:ind w:left="720"/>
      </w:pPr>
      <w:r>
        <w:rPr>
          <w:rFonts w:ascii="Courier New" w:cs="Courier New" w:eastAsia="Courier New" w:hAnsi="Courier New"/>
          <w:color w:val="1A5276"/>
          <w:sz w:val="18"/>
          <w:szCs w:val="18"/>
        </w:rPr>
        <w:t xml:space="preserve">  "jobId":   "0166485d-a80c-420a-a2b9-6addf2e2ccbe",</w:t>
      </w:r>
    </w:p>
    <w:p>
      <w:pPr>
        <w:spacing w:after="80"/>
        <w:ind w:left="720"/>
      </w:pPr>
      <w:r>
        <w:rPr>
          <w:rFonts w:ascii="Courier New" w:cs="Courier New" w:eastAsia="Courier New" w:hAnsi="Courier New"/>
          <w:color w:val="1A5276"/>
          <w:sz w:val="18"/>
          <w:szCs w:val="18"/>
        </w:rPr>
        <w:t xml:space="preserve">  "status":  "ACCEPTED",</w:t>
      </w:r>
    </w:p>
    <w:p>
      <w:pPr>
        <w:spacing w:after="80"/>
        <w:ind w:left="720"/>
      </w:pPr>
      <w:r>
        <w:rPr>
          <w:rFonts w:ascii="Courier New" w:cs="Courier New" w:eastAsia="Courier New" w:hAnsi="Courier New"/>
          <w:color w:val="1A5276"/>
          <w:sz w:val="18"/>
          <w:szCs w:val="18"/>
        </w:rPr>
        <w:t xml:space="preserve">  "message": "Import started asynchronously"</w:t>
      </w:r>
    </w:p>
    <w:p>
      <w:pPr>
        <w:spacing w:after="80"/>
        <w:ind w:left="720"/>
      </w:pPr>
      <w:r>
        <w:rPr>
          <w:rFonts w:ascii="Courier New" w:cs="Courier New" w:eastAsia="Courier New" w:hAnsi="Courier New"/>
          <w:color w:val="1A5276"/>
          <w:sz w:val="18"/>
          <w:szCs w:val="18"/>
        </w:rPr>
        <w:t xml:space="preserve">}</w:t>
      </w:r>
    </w:p>
    <w:p>
      <w:pPr>
        <w:spacing w:after="160"/>
      </w:pPr>
    </w:p>
    <w:p>
      <w:pPr>
        <w:spacing w:after="120"/>
      </w:pPr>
      <w:r>
        <w:rPr>
          <w:b/>
          <w:bCs/>
          <w:color w:val="000000"/>
          <w:sz w:val="20"/>
          <w:szCs w:val="20"/>
        </w:rPr>
        <w:t xml:space="preserve">Notes:</w:t>
      </w:r>
    </w:p>
    <w:p>
      <w:pPr>
        <w:pStyle w:val="ListParagraph"/>
        <w:numPr>
          <w:ilvl w:val="0"/>
          <w:numId w:val="1"/>
        </w:numPr>
        <w:spacing w:after="80"/>
      </w:pPr>
      <w:r>
        <w:rPr>
          <w:sz w:val="20"/>
          <w:szCs w:val="20"/>
        </w:rPr>
        <w:t xml:space="preserve">Files &gt; 50 MB are processed asynchronously. Poll GET /api/import/status/{jobId} for progress.</w:t>
      </w:r>
    </w:p>
    <w:p>
      <w:pPr>
        <w:pStyle w:val="ListParagraph"/>
        <w:numPr>
          <w:ilvl w:val="0"/>
          <w:numId w:val="1"/>
        </w:numPr>
        <w:spacing w:after="80"/>
      </w:pPr>
      <w:r>
        <w:rPr>
          <w:sz w:val="20"/>
          <w:szCs w:val="20"/>
        </w:rPr>
        <w:t xml:space="preserve">Archive files (.zip, .tar, .tar.gz, .tgz) are extracted automatically — each entry is imported as a separate job.</w:t>
      </w:r>
    </w:p>
    <w:p>
      <w:pPr>
        <w:pStyle w:val="ListParagraph"/>
        <w:numPr>
          <w:ilvl w:val="0"/>
          <w:numId w:val="1"/>
        </w:numPr>
        <w:spacing w:after="80"/>
      </w:pPr>
      <w:r>
        <w:rPr>
          <w:sz w:val="20"/>
          <w:szCs w:val="20"/>
        </w:rPr>
        <w:t xml:space="preserve">Setting exportToNeo4j=false is useful when you want to batch import multiple files first and export to Neo4j later using the export API.</w:t>
      </w:r>
    </w:p>
    <w:p>
      <w:pPr>
        <w:spacing w:after="160"/>
      </w:pPr>
    </w:p>
    <w:p>
      <w:pPr>
        <w:pStyle w:val="Heading2"/>
        <w:spacing w:after="160" w:before="300"/>
        <w:rPr>
          <w:b/>
          <w:bCs/>
          <w:color w:val="2E86C1"/>
          <w:sz w:val="24"/>
          <w:szCs w:val="24"/>
        </w:rPr>
      </w:pPr>
      <w:r>
        <w:t xml:space="preserve">3.2 Neo4j Export API</w:t>
      </w:r>
    </w:p>
    <w:p>
      <w:pPr>
        <w:pStyle w:val="Heading3"/>
        <w:spacing w:after="120" w:before="200"/>
        <w:rPr>
          <w:b/>
          <w:bCs/>
          <w:color w:val="1F3F7B"/>
          <w:sz w:val="22"/>
          <w:szCs w:val="22"/>
        </w:rPr>
      </w:pPr>
      <w:r>
        <w:t xml:space="preserve">POST /api/admin/neo4j/export</w:t>
      </w:r>
    </w:p>
    <w:p>
      <w:pPr>
        <w:spacing w:after="120"/>
      </w:pPr>
      <w:r>
        <w:rPr>
          <w:color w:val="000000"/>
          <w:sz w:val="20"/>
          <w:szCs w:val="20"/>
        </w:rPr>
        <w:t xml:space="preserve">Triggers a Neo4j export for an existing imported job. Can export one variant or all three at once.</w:t>
      </w:r>
    </w:p>
    <w:p>
      <w:pPr>
        <w:spacing w:after="160"/>
      </w:pPr>
    </w:p>
    <w:p>
      <w:pPr>
        <w:spacing w:after="120"/>
      </w:pPr>
      <w:r>
        <w:rPr>
          <w:b/>
          <w:bCs/>
          <w:color w:val="000000"/>
          <w:sz w:val="20"/>
          <w:szCs w:val="20"/>
        </w:rPr>
        <w:t xml:space="preserve">Request body:</w:t>
      </w:r>
    </w:p>
    <w:p>
      <w:pPr>
        <w:spacing w:after="80"/>
        <w:ind w:left="720"/>
      </w:pPr>
      <w:r>
        <w:rPr>
          <w:rFonts w:ascii="Courier New" w:cs="Courier New" w:eastAsia="Courier New" w:hAnsi="Courier New"/>
          <w:color w:val="1A5276"/>
          <w:sz w:val="18"/>
          <w:szCs w:val="18"/>
        </w:rPr>
        <w:t xml:space="preserve">{</w:t>
      </w:r>
    </w:p>
    <w:p>
      <w:pPr>
        <w:spacing w:after="80"/>
        <w:ind w:left="720"/>
      </w:pPr>
      <w:r>
        <w:rPr>
          <w:rFonts w:ascii="Courier New" w:cs="Courier New" w:eastAsia="Courier New" w:hAnsi="Courier New"/>
          <w:color w:val="1A5276"/>
          <w:sz w:val="18"/>
          <w:szCs w:val="18"/>
        </w:rPr>
        <w:t xml:space="preserve">  "jobId":      "0166485d-...",    // required</w:t>
      </w:r>
    </w:p>
    <w:p>
      <w:pPr>
        <w:spacing w:after="80"/>
        <w:ind w:left="720"/>
      </w:pPr>
      <w:r>
        <w:rPr>
          <w:rFonts w:ascii="Courier New" w:cs="Courier New" w:eastAsia="Courier New" w:hAnsi="Courier New"/>
          <w:color w:val="1A5276"/>
          <w:sz w:val="18"/>
          <w:szCs w:val="18"/>
        </w:rPr>
        <w:t xml:space="preserve">  "mode":       "FROM_CONFIG",     // FROM_CONFIG | SINGLE_VARIANT | MULTI_VARIANT</w:t>
      </w:r>
    </w:p>
    <w:p>
      <w:pPr>
        <w:spacing w:after="80"/>
        <w:ind w:left="720"/>
      </w:pPr>
      <w:r>
        <w:rPr>
          <w:rFonts w:ascii="Courier New" w:cs="Courier New" w:eastAsia="Courier New" w:hAnsi="Courier New"/>
          <w:color w:val="1A5276"/>
          <w:sz w:val="18"/>
          <w:szCs w:val="18"/>
        </w:rPr>
        <w:t xml:space="preserve">  "configId":   "6820f398e010...", // required when mode=FROM_CONFIG</w:t>
      </w:r>
    </w:p>
    <w:p>
      <w:pPr>
        <w:spacing w:after="80"/>
        <w:ind w:left="720"/>
      </w:pPr>
      <w:r>
        <w:rPr>
          <w:rFonts w:ascii="Courier New" w:cs="Courier New" w:eastAsia="Courier New" w:hAnsi="Courier New"/>
          <w:color w:val="1A5276"/>
          <w:sz w:val="18"/>
          <w:szCs w:val="18"/>
        </w:rPr>
        <w:t xml:space="preserve">  "clearFirst": true,              // wipe existing nodes for this version before export</w:t>
      </w:r>
    </w:p>
    <w:p>
      <w:pPr>
        <w:spacing w:after="80"/>
        <w:ind w:left="720"/>
      </w:pPr>
      <w:r>
        <w:rPr>
          <w:rFonts w:ascii="Courier New" w:cs="Courier New" w:eastAsia="Courier New" w:hAnsi="Courier New"/>
          <w:color w:val="1A5276"/>
          <w:sz w:val="18"/>
          <w:szCs w:val="18"/>
        </w:rPr>
        <w:t xml:space="preserve">  "versionType": "SANITISED"       // optional — FULL | SANITISED | RATIONALISED</w:t>
      </w:r>
    </w:p>
    <w:p>
      <w:pPr>
        <w:spacing w:after="80"/>
        <w:ind w:left="720"/>
      </w:pPr>
      <w:r>
        <w:rPr>
          <w:rFonts w:ascii="Courier New" w:cs="Courier New" w:eastAsia="Courier New" w:hAnsi="Courier New"/>
          <w:color w:val="1A5276"/>
          <w:sz w:val="18"/>
          <w:szCs w:val="18"/>
        </w:rPr>
        <w:t xml:space="preserve">}</w:t>
      </w:r>
    </w:p>
    <w:p>
      <w:pPr>
        <w:spacing w:after="160"/>
      </w:pPr>
    </w:p>
    <w:p>
      <w:pPr>
        <w:spacing w:after="120"/>
      </w:pPr>
      <w:r>
        <w:rPr>
          <w:b/>
          <w:bCs/>
          <w:color w:val="000000"/>
          <w:sz w:val="20"/>
          <w:szCs w:val="20"/>
        </w:rPr>
        <w:t xml:space="preserve">FROM_CONFIG mode (recommended):</w:t>
      </w:r>
    </w:p>
    <w:p>
      <w:pPr>
        <w:pStyle w:val="ListParagraph"/>
        <w:numPr>
          <w:ilvl w:val="0"/>
          <w:numId w:val="1"/>
        </w:numPr>
        <w:spacing w:after="80"/>
      </w:pPr>
      <w:r>
        <w:rPr>
          <w:sz w:val="20"/>
          <w:szCs w:val="20"/>
        </w:rPr>
        <w:t xml:space="preserve">No versionType or cimTypes supplied → exports ALL THREE variants concurrently (FULL + SANITISED + RATIONALISED).</w:t>
      </w:r>
    </w:p>
    <w:p>
      <w:pPr>
        <w:pStyle w:val="ListParagraph"/>
        <w:numPr>
          <w:ilvl w:val="0"/>
          <w:numId w:val="1"/>
        </w:numPr>
        <w:spacing w:after="80"/>
      </w:pPr>
      <w:r>
        <w:rPr>
          <w:sz w:val="20"/>
          <w:szCs w:val="20"/>
        </w:rPr>
        <w:t xml:space="preserve">versionType supplied without cimTypes → exports that single variant using the config's stored type list.</w:t>
      </w:r>
    </w:p>
    <w:p>
      <w:pPr>
        <w:pStyle w:val="ListParagraph"/>
        <w:numPr>
          <w:ilvl w:val="0"/>
          <w:numId w:val="1"/>
        </w:numPr>
        <w:spacing w:after="80"/>
      </w:pPr>
      <w:r>
        <w:rPr>
          <w:sz w:val="20"/>
          <w:szCs w:val="20"/>
        </w:rPr>
        <w:t xml:space="preserve">versionType + cimTypes both supplied → exports using caller-supplied type list.</w:t>
      </w:r>
    </w:p>
    <w:p>
      <w:pPr>
        <w:spacing w:after="160"/>
      </w:pPr>
    </w:p>
    <w:p>
      <w:pPr>
        <w:pStyle w:val="Heading2"/>
        <w:spacing w:after="160" w:before="300"/>
        <w:rPr>
          <w:b/>
          <w:bCs/>
          <w:color w:val="2E86C1"/>
          <w:sz w:val="24"/>
          <w:szCs w:val="24"/>
        </w:rPr>
      </w:pPr>
      <w:r>
        <w:t xml:space="preserve">3.3 Re-Enrichment API</w:t>
      </w:r>
    </w:p>
    <w:p>
      <w:pPr>
        <w:pStyle w:val="Heading3"/>
        <w:spacing w:after="120" w:before="200"/>
        <w:rPr>
          <w:b/>
          <w:bCs/>
          <w:color w:val="1F3F7B"/>
          <w:sz w:val="22"/>
          <w:szCs w:val="22"/>
        </w:rPr>
      </w:pPr>
      <w:r>
        <w:t xml:space="preserve">POST /api/admin/enrich/{jobId}</w:t>
      </w:r>
    </w:p>
    <w:p>
      <w:pPr>
        <w:spacing w:after="120"/>
      </w:pPr>
      <w:r>
        <w:rPr>
          <w:color w:val="000000"/>
          <w:sz w:val="20"/>
          <w:szCs w:val="20"/>
        </w:rPr>
        <w:t xml:space="preserve">Re-runs Phase 3 CIM enrichment on an existing imported job without re-importing. Useful after code fixes or config changes.</w:t>
      </w:r>
    </w:p>
    <w:p>
      <w:pPr>
        <w:pStyle w:val="ListParagraph"/>
        <w:numPr>
          <w:ilvl w:val="0"/>
          <w:numId w:val="1"/>
        </w:numPr>
        <w:spacing w:after="80"/>
      </w:pPr>
      <w:r>
        <w:rPr>
          <w:sz w:val="20"/>
          <w:szCs w:val="20"/>
        </w:rPr>
        <w:t xml:space="preserve">orgId is read from the existing job record.</w:t>
      </w:r>
    </w:p>
    <w:p>
      <w:pPr>
        <w:pStyle w:val="ListParagraph"/>
        <w:numPr>
          <w:ilvl w:val="0"/>
          <w:numId w:val="1"/>
        </w:numPr>
        <w:spacing w:after="80"/>
      </w:pPr>
      <w:r>
        <w:rPr>
          <w:sz w:val="20"/>
          <w:szCs w:val="20"/>
        </w:rPr>
        <w:t xml:space="preserve">Enrichment only runs if the org is in ENRICHMENT_ENABLED_ORGS (currently: CAISO).</w:t>
      </w:r>
    </w:p>
    <w:p>
      <w:pPr>
        <w:pStyle w:val="ListParagraph"/>
        <w:numPr>
          <w:ilvl w:val="0"/>
          <w:numId w:val="1"/>
        </w:numPr>
        <w:spacing w:after="80"/>
      </w:pPr>
      <w:r>
        <w:rPr>
          <w:sz w:val="20"/>
          <w:szCs w:val="20"/>
        </w:rPr>
        <w:t xml:space="preserve">To add a new org: add one line to CimEnrichmentService.ENRICHMENT_ENABLED_ORGS.</w:t>
      </w:r>
    </w:p>
    <w:p>
      <w:pPr>
        <w:spacing w:after="160"/>
      </w:pPr>
    </w:p>
    <w:p>
      <w:pPr>
        <w:pStyle w:val="Heading2"/>
        <w:spacing w:after="160" w:before="300"/>
        <w:rPr>
          <w:b/>
          <w:bCs/>
          <w:color w:val="2E86C1"/>
          <w:sz w:val="24"/>
          <w:szCs w:val="24"/>
        </w:rPr>
      </w:pPr>
      <w:r>
        <w:t xml:space="preserve">3.4 Import Status API</w:t>
      </w:r>
    </w:p>
    <w:p>
      <w:pPr>
        <w:pStyle w:val="Heading3"/>
        <w:spacing w:after="120" w:before="200"/>
        <w:rPr>
          <w:b/>
          <w:bCs/>
          <w:color w:val="1F3F7B"/>
          <w:sz w:val="22"/>
          <w:szCs w:val="22"/>
        </w:rPr>
      </w:pPr>
      <w:r>
        <w:t xml:space="preserve">GET /api/import/status/{jobId}</w:t>
      </w:r>
    </w:p>
    <w:p>
      <w:pPr>
        <w:spacing w:after="120"/>
      </w:pPr>
      <w:r>
        <w:rPr>
          <w:color w:val="000000"/>
          <w:sz w:val="20"/>
          <w:szCs w:val="20"/>
        </w:rPr>
        <w:t xml:space="preserve">Returns the current status of an import job including all phase history entries.</w:t>
      </w:r>
    </w:p>
    <w:p>
      <w:pPr>
        <w:spacing w:after="160"/>
      </w:pPr>
    </w:p>
    <w:p>
      <w:pPr>
        <w:pStyle w:val="Heading2"/>
        <w:spacing w:after="160" w:before="300"/>
        <w:rPr>
          <w:b/>
          <w:bCs/>
          <w:color w:val="2E86C1"/>
          <w:sz w:val="24"/>
          <w:szCs w:val="24"/>
        </w:rPr>
      </w:pPr>
      <w:r>
        <w:t xml:space="preserve">3.5 Namespace APIs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800"/>
            <w:gridSpan w:val="1"/>
            <w:tcBorders>
              <w:top w:val="single" w:color="AAAAAA" w:sz="1"/>
              <w:left w:val="single" w:color="AAAAAA" w:sz="1"/>
              <w:bottom w:val="single" w:color="AAAAAA" w:sz="1"/>
              <w:right w:val="single" w:color="AAAAAA" w:sz="1"/>
            </w:tcBorders>
            <w:shd w:fill="1F3F7B" w:color="1F3F7B" w:val="clear"/>
            <w:tcMar>
              <w:top w:type="dxa" w:w="80"/>
              <w:left w:type="dxa" w:w="120"/>
              <w:bottom w:type="dxa" w:w="80"/>
              <w:right w:type="dxa" w:w="120"/>
            </w:tcMar>
            <w:vAlign w:val="center"/>
          </w:tcPr>
          <w:p>
            <w:pPr>
              <w:spacing w:after="60" w:before="60"/>
              <w:jc w:val="left"/>
            </w:pPr>
            <w:r>
              <w:rPr>
                <w:b/>
                <w:bCs/>
                <w:color w:val="FFFFFF"/>
                <w:sz w:val="18"/>
                <w:szCs w:val="18"/>
              </w:rPr>
              <w:t xml:space="preserve">Method</w:t>
            </w:r>
          </w:p>
        </w:tc>
        <w:tc>
          <w:tcPr>
            <w:tcW w:type="dxa" w:w="3000"/>
            <w:gridSpan w:val="1"/>
            <w:tcBorders>
              <w:top w:val="single" w:color="AAAAAA" w:sz="1"/>
              <w:left w:val="single" w:color="AAAAAA" w:sz="1"/>
              <w:bottom w:val="single" w:color="AAAAAA" w:sz="1"/>
              <w:right w:val="single" w:color="AAAAAA" w:sz="1"/>
            </w:tcBorders>
            <w:shd w:fill="1F3F7B" w:color="1F3F7B" w:val="clear"/>
            <w:tcMar>
              <w:top w:type="dxa" w:w="80"/>
              <w:left w:type="dxa" w:w="120"/>
              <w:bottom w:type="dxa" w:w="80"/>
              <w:right w:type="dxa" w:w="120"/>
            </w:tcMar>
            <w:vAlign w:val="center"/>
          </w:tcPr>
          <w:p>
            <w:pPr>
              <w:spacing w:after="60" w:before="60"/>
              <w:jc w:val="left"/>
            </w:pPr>
            <w:r>
              <w:rPr>
                <w:b/>
                <w:bCs/>
                <w:color w:val="FFFFFF"/>
                <w:sz w:val="18"/>
                <w:szCs w:val="18"/>
              </w:rPr>
              <w:t xml:space="preserve">Path</w:t>
            </w:r>
          </w:p>
        </w:tc>
        <w:tc>
          <w:tcPr>
            <w:tcW w:type="dxa" w:w="4600"/>
            <w:gridSpan w:val="1"/>
            <w:tcBorders>
              <w:top w:val="single" w:color="AAAAAA" w:sz="1"/>
              <w:left w:val="single" w:color="AAAAAA" w:sz="1"/>
              <w:bottom w:val="single" w:color="AAAAAA" w:sz="1"/>
              <w:right w:val="single" w:color="AAAAAA" w:sz="1"/>
            </w:tcBorders>
            <w:shd w:fill="1F3F7B" w:color="1F3F7B" w:val="clear"/>
            <w:tcMar>
              <w:top w:type="dxa" w:w="80"/>
              <w:left w:type="dxa" w:w="120"/>
              <w:bottom w:type="dxa" w:w="80"/>
              <w:right w:type="dxa" w:w="120"/>
            </w:tcMar>
            <w:vAlign w:val="center"/>
          </w:tcPr>
          <w:p>
            <w:pPr>
              <w:spacing w:after="60" w:before="60"/>
              <w:jc w:val="left"/>
            </w:pPr>
            <w:r>
              <w:rPr>
                <w:b/>
                <w:bCs/>
                <w:color w:val="FFFFFF"/>
                <w:sz w:val="18"/>
                <w:szCs w:val="18"/>
              </w:rPr>
              <w:t xml:space="preserve">Description</w:t>
            </w:r>
          </w:p>
        </w:tc>
      </w:tr>
      <w:tr>
        <w:tc>
          <w:tcPr>
            <w:tcW w:type="dxa" w:w="8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GET</w:t>
            </w:r>
          </w:p>
        </w:tc>
        <w:tc>
          <w:tcPr>
            <w:tcW w:type="dxa" w:w="30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/api/namespaces</w:t>
            </w:r>
          </w:p>
        </w:tc>
        <w:tc>
          <w:tcPr>
            <w:tcW w:type="dxa" w:w="46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List all namespace configs</w:t>
            </w:r>
          </w:p>
        </w:tc>
      </w:tr>
      <w:tr>
        <w:tc>
          <w:tcPr>
            <w:tcW w:type="dxa" w:w="8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POST</w:t>
            </w:r>
          </w:p>
        </w:tc>
        <w:tc>
          <w:tcPr>
            <w:tcW w:type="dxa" w:w="30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/api/namespaces</w:t>
            </w:r>
          </w:p>
        </w:tc>
        <w:tc>
          <w:tcPr>
            <w:tcW w:type="dxa" w:w="46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Create namespace config (prefix, URI, orgId, enabled)</w:t>
            </w:r>
          </w:p>
        </w:tc>
      </w:tr>
      <w:tr>
        <w:tc>
          <w:tcPr>
            <w:tcW w:type="dxa" w:w="8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PUT</w:t>
            </w:r>
          </w:p>
        </w:tc>
        <w:tc>
          <w:tcPr>
            <w:tcW w:type="dxa" w:w="30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/api/namespaces/{id}</w:t>
            </w:r>
          </w:p>
        </w:tc>
        <w:tc>
          <w:tcPr>
            <w:tcW w:type="dxa" w:w="46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Update namespace config</w:t>
            </w:r>
          </w:p>
        </w:tc>
      </w:tr>
      <w:tr>
        <w:tc>
          <w:tcPr>
            <w:tcW w:type="dxa" w:w="8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DELETE</w:t>
            </w:r>
          </w:p>
        </w:tc>
        <w:tc>
          <w:tcPr>
            <w:tcW w:type="dxa" w:w="30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/api/namespaces/{id}</w:t>
            </w:r>
          </w:p>
        </w:tc>
        <w:tc>
          <w:tcPr>
            <w:tcW w:type="dxa" w:w="46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Delete namespace config</w:t>
            </w:r>
          </w:p>
        </w:tc>
      </w:tr>
      <w:tr>
        <w:tc>
          <w:tcPr>
            <w:tcW w:type="dxa" w:w="8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POST</w:t>
            </w:r>
          </w:p>
        </w:tc>
        <w:tc>
          <w:tcPr>
            <w:tcW w:type="dxa" w:w="30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/api/admin/namespaces/{prefix}/enable</w:t>
            </w:r>
          </w:p>
        </w:tc>
        <w:tc>
          <w:tcPr>
            <w:tcW w:type="dxa" w:w="46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Enable a namespace prefix</w:t>
            </w:r>
          </w:p>
        </w:tc>
      </w:tr>
      <w:tr>
        <w:tc>
          <w:tcPr>
            <w:tcW w:type="dxa" w:w="8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POST</w:t>
            </w:r>
          </w:p>
        </w:tc>
        <w:tc>
          <w:tcPr>
            <w:tcW w:type="dxa" w:w="30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/api/admin/namespaces/{prefix}/disable</w:t>
            </w:r>
          </w:p>
        </w:tc>
        <w:tc>
          <w:tcPr>
            <w:tcW w:type="dxa" w:w="46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Disable a namespace prefix</w:t>
            </w:r>
          </w:p>
        </w:tc>
      </w:tr>
    </w:tbl>
    <w:p>
      <w:pPr>
        <w:spacing w:after="160"/>
      </w:pPr>
    </w:p>
    <w:p>
      <w:pPr>
        <w:pStyle w:val="Heading2"/>
        <w:spacing w:after="160" w:before="300"/>
        <w:rPr>
          <w:b/>
          <w:bCs/>
          <w:color w:val="2E86C1"/>
          <w:sz w:val="24"/>
          <w:szCs w:val="24"/>
        </w:rPr>
      </w:pPr>
      <w:r>
        <w:t xml:space="preserve">3.6 Admin APIs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800"/>
            <w:gridSpan w:val="1"/>
            <w:tcBorders>
              <w:top w:val="single" w:color="AAAAAA" w:sz="1"/>
              <w:left w:val="single" w:color="AAAAAA" w:sz="1"/>
              <w:bottom w:val="single" w:color="AAAAAA" w:sz="1"/>
              <w:right w:val="single" w:color="AAAAAA" w:sz="1"/>
            </w:tcBorders>
            <w:shd w:fill="1F3F7B" w:color="1F3F7B" w:val="clear"/>
            <w:tcMar>
              <w:top w:type="dxa" w:w="80"/>
              <w:left w:type="dxa" w:w="120"/>
              <w:bottom w:type="dxa" w:w="80"/>
              <w:right w:type="dxa" w:w="120"/>
            </w:tcMar>
            <w:vAlign w:val="center"/>
          </w:tcPr>
          <w:p>
            <w:pPr>
              <w:spacing w:after="60" w:before="60"/>
              <w:jc w:val="left"/>
            </w:pPr>
            <w:r>
              <w:rPr>
                <w:b/>
                <w:bCs/>
                <w:color w:val="FFFFFF"/>
                <w:sz w:val="18"/>
                <w:szCs w:val="18"/>
              </w:rPr>
              <w:t xml:space="preserve">Method</w:t>
            </w:r>
          </w:p>
        </w:tc>
        <w:tc>
          <w:tcPr>
            <w:tcW w:type="dxa" w:w="3000"/>
            <w:gridSpan w:val="1"/>
            <w:tcBorders>
              <w:top w:val="single" w:color="AAAAAA" w:sz="1"/>
              <w:left w:val="single" w:color="AAAAAA" w:sz="1"/>
              <w:bottom w:val="single" w:color="AAAAAA" w:sz="1"/>
              <w:right w:val="single" w:color="AAAAAA" w:sz="1"/>
            </w:tcBorders>
            <w:shd w:fill="1F3F7B" w:color="1F3F7B" w:val="clear"/>
            <w:tcMar>
              <w:top w:type="dxa" w:w="80"/>
              <w:left w:type="dxa" w:w="120"/>
              <w:bottom w:type="dxa" w:w="80"/>
              <w:right w:type="dxa" w:w="120"/>
            </w:tcMar>
            <w:vAlign w:val="center"/>
          </w:tcPr>
          <w:p>
            <w:pPr>
              <w:spacing w:after="60" w:before="60"/>
              <w:jc w:val="left"/>
            </w:pPr>
            <w:r>
              <w:rPr>
                <w:b/>
                <w:bCs/>
                <w:color w:val="FFFFFF"/>
                <w:sz w:val="18"/>
                <w:szCs w:val="18"/>
              </w:rPr>
              <w:t xml:space="preserve">Path</w:t>
            </w:r>
          </w:p>
        </w:tc>
        <w:tc>
          <w:tcPr>
            <w:tcW w:type="dxa" w:w="4600"/>
            <w:gridSpan w:val="1"/>
            <w:tcBorders>
              <w:top w:val="single" w:color="AAAAAA" w:sz="1"/>
              <w:left w:val="single" w:color="AAAAAA" w:sz="1"/>
              <w:bottom w:val="single" w:color="AAAAAA" w:sz="1"/>
              <w:right w:val="single" w:color="AAAAAA" w:sz="1"/>
            </w:tcBorders>
            <w:shd w:fill="1F3F7B" w:color="1F3F7B" w:val="clear"/>
            <w:tcMar>
              <w:top w:type="dxa" w:w="80"/>
              <w:left w:type="dxa" w:w="120"/>
              <w:bottom w:type="dxa" w:w="80"/>
              <w:right w:type="dxa" w:w="120"/>
            </w:tcMar>
            <w:vAlign w:val="center"/>
          </w:tcPr>
          <w:p>
            <w:pPr>
              <w:spacing w:after="60" w:before="60"/>
              <w:jc w:val="left"/>
            </w:pPr>
            <w:r>
              <w:rPr>
                <w:b/>
                <w:bCs/>
                <w:color w:val="FFFFFF"/>
                <w:sz w:val="18"/>
                <w:szCs w:val="18"/>
              </w:rPr>
              <w:t xml:space="preserve">Description</w:t>
            </w:r>
          </w:p>
        </w:tc>
      </w:tr>
      <w:tr>
        <w:tc>
          <w:tcPr>
            <w:tcW w:type="dxa" w:w="8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POST</w:t>
            </w:r>
          </w:p>
        </w:tc>
        <w:tc>
          <w:tcPr>
            <w:tcW w:type="dxa" w:w="30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/api/admin/enrich/{jobId}</w:t>
            </w:r>
          </w:p>
        </w:tc>
        <w:tc>
          <w:tcPr>
            <w:tcW w:type="dxa" w:w="46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Re-run Phase 3 enrichment on existing job</w:t>
            </w:r>
          </w:p>
        </w:tc>
      </w:tr>
      <w:tr>
        <w:tc>
          <w:tcPr>
            <w:tcW w:type="dxa" w:w="8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POST</w:t>
            </w:r>
          </w:p>
        </w:tc>
        <w:tc>
          <w:tcPr>
            <w:tcW w:type="dxa" w:w="30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/api/admin/neo4j/export</w:t>
            </w:r>
          </w:p>
        </w:tc>
        <w:tc>
          <w:tcPr>
            <w:tcW w:type="dxa" w:w="46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Trigger Neo4j export</w:t>
            </w:r>
          </w:p>
        </w:tc>
      </w:tr>
      <w:tr>
        <w:tc>
          <w:tcPr>
            <w:tcW w:type="dxa" w:w="8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POST</w:t>
            </w:r>
          </w:p>
        </w:tc>
        <w:tc>
          <w:tcPr>
            <w:tcW w:type="dxa" w:w="30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/api/admin/neo4j/cleanup-labels</w:t>
            </w:r>
          </w:p>
        </w:tc>
        <w:tc>
          <w:tcPr>
            <w:tcW w:type="dxa" w:w="46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Remove all CIMNode routing labels</w:t>
            </w:r>
          </w:p>
        </w:tc>
      </w:tr>
      <w:tr>
        <w:tc>
          <w:tcPr>
            <w:tcW w:type="dxa" w:w="8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POST</w:t>
            </w:r>
          </w:p>
        </w:tc>
        <w:tc>
          <w:tcPr>
            <w:tcW w:type="dxa" w:w="30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/api/admin/owl/reload</w:t>
            </w:r>
          </w:p>
        </w:tc>
        <w:tc>
          <w:tcPr>
            <w:tcW w:type="dxa" w:w="46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Reload OWL hierarchy from file</w:t>
            </w:r>
          </w:p>
        </w:tc>
      </w:tr>
      <w:tr>
        <w:tc>
          <w:tcPr>
            <w:tcW w:type="dxa" w:w="8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POST</w:t>
            </w:r>
          </w:p>
        </w:tc>
        <w:tc>
          <w:tcPr>
            <w:tcW w:type="dxa" w:w="30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/api/admin/revalidate/{jobId}</w:t>
            </w:r>
          </w:p>
        </w:tc>
        <w:tc>
          <w:tcPr>
            <w:tcW w:type="dxa" w:w="46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Re-run path validation on existing job</w:t>
            </w:r>
          </w:p>
        </w:tc>
      </w:tr>
      <w:tr>
        <w:tc>
          <w:tcPr>
            <w:tcW w:type="dxa" w:w="8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GET</w:t>
            </w:r>
          </w:p>
        </w:tc>
        <w:tc>
          <w:tcPr>
            <w:tcW w:type="dxa" w:w="30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/api/admin/jobs</w:t>
            </w:r>
          </w:p>
        </w:tc>
        <w:tc>
          <w:tcPr>
            <w:tcW w:type="dxa" w:w="46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List all validation jobs</w:t>
            </w:r>
          </w:p>
        </w:tc>
      </w:tr>
      <w:tr>
        <w:tc>
          <w:tcPr>
            <w:tcW w:type="dxa" w:w="8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GET</w:t>
            </w:r>
          </w:p>
        </w:tc>
        <w:tc>
          <w:tcPr>
            <w:tcW w:type="dxa" w:w="30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/api/admin/jobs/{jobId}</w:t>
            </w:r>
          </w:p>
        </w:tc>
        <w:tc>
          <w:tcPr>
            <w:tcW w:type="dxa" w:w="46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Get full job details including phase history</w:t>
            </w:r>
          </w:p>
        </w:tc>
      </w:tr>
    </w:tbl>
    <w:p>
      <w:pPr>
        <w:spacing w:after="160"/>
      </w:pPr>
    </w:p>
    <w:p>
      <w:r>
        <w:br w:type="page"/>
      </w:r>
    </w:p>
    <w:p>
      <w:pPr>
        <w:pStyle w:val="Heading1"/>
        <w:spacing w:after="200" w:before="400"/>
        <w:rPr>
          <w:b/>
          <w:bCs/>
          <w:color w:val="1F3F7B"/>
          <w:sz w:val="28"/>
          <w:szCs w:val="28"/>
        </w:rPr>
      </w:pPr>
      <w:r>
        <w:t xml:space="preserve">4. OWL Reading and CIM Hierarchy</w:t>
      </w:r>
    </w:p>
    <w:p>
      <w:pPr>
        <w:pStyle w:val="Heading2"/>
        <w:spacing w:after="160" w:before="300"/>
        <w:rPr>
          <w:b/>
          <w:bCs/>
          <w:color w:val="2E86C1"/>
          <w:sz w:val="24"/>
          <w:szCs w:val="24"/>
        </w:rPr>
      </w:pPr>
      <w:r>
        <w:t xml:space="preserve">4.1 What the OWL File Contains</w:t>
      </w:r>
    </w:p>
    <w:p>
      <w:pPr>
        <w:spacing w:after="120"/>
      </w:pPr>
      <w:r>
        <w:rPr>
          <w:color w:val="000000"/>
          <w:sz w:val="20"/>
          <w:szCs w:val="20"/>
        </w:rPr>
        <w:t xml:space="preserve">The CIM OWL file (CIM17 or CIM100) is an RDF/OWL ontology that defines the complete CIM class hierarchy. It describes:</w:t>
      </w:r>
    </w:p>
    <w:p>
      <w:pPr>
        <w:pStyle w:val="ListParagraph"/>
        <w:numPr>
          <w:ilvl w:val="0"/>
          <w:numId w:val="1"/>
        </w:numPr>
        <w:spacing w:after="80"/>
      </w:pPr>
      <w:r>
        <w:rPr>
          <w:sz w:val="20"/>
          <w:szCs w:val="20"/>
        </w:rPr>
        <w:t xml:space="preserve">Every CIM class and its parent class (rdfs:subClassOf)</w:t>
      </w:r>
    </w:p>
    <w:p>
      <w:pPr>
        <w:pStyle w:val="ListParagraph"/>
        <w:numPr>
          <w:ilvl w:val="0"/>
          <w:numId w:val="1"/>
        </w:numPr>
        <w:spacing w:after="80"/>
      </w:pPr>
      <w:r>
        <w:rPr>
          <w:sz w:val="20"/>
          <w:szCs w:val="20"/>
        </w:rPr>
        <w:t xml:space="preserve">Every class's own attributes (via OWL restrictions)</w:t>
      </w:r>
    </w:p>
    <w:p>
      <w:pPr>
        <w:pStyle w:val="ListParagraph"/>
        <w:numPr>
          <w:ilvl w:val="0"/>
          <w:numId w:val="1"/>
        </w:numPr>
        <w:spacing w:after="80"/>
      </w:pPr>
      <w:r>
        <w:rPr>
          <w:sz w:val="20"/>
          <w:szCs w:val="20"/>
        </w:rPr>
        <w:t xml:space="preserve">Package membership (e.g. Core, Wires, Generation)</w:t>
      </w:r>
    </w:p>
    <w:p>
      <w:pPr>
        <w:pStyle w:val="ListParagraph"/>
        <w:numPr>
          <w:ilvl w:val="0"/>
          <w:numId w:val="1"/>
        </w:numPr>
        <w:spacing w:after="80"/>
      </w:pPr>
      <w:r>
        <w:rPr>
          <w:sz w:val="20"/>
          <w:szCs w:val="20"/>
        </w:rPr>
        <w:t xml:space="preserve">Stereotype annotations (e.g. ofAggregate, Primitive)</w:t>
      </w:r>
    </w:p>
    <w:p>
      <w:pPr>
        <w:spacing w:after="160"/>
      </w:pPr>
    </w:p>
    <w:p>
      <w:pPr>
        <w:pStyle w:val="Heading2"/>
        <w:spacing w:after="160" w:before="300"/>
        <w:rPr>
          <w:b/>
          <w:bCs/>
          <w:color w:val="2E86C1"/>
          <w:sz w:val="24"/>
          <w:szCs w:val="24"/>
        </w:rPr>
      </w:pPr>
      <w:r>
        <w:t xml:space="preserve">4.2 CIMOwlParser — How It Works</w:t>
      </w:r>
    </w:p>
    <w:p>
      <w:pPr>
        <w:spacing w:after="120"/>
      </w:pPr>
      <w:r>
        <w:rPr>
          <w:color w:val="000000"/>
          <w:sz w:val="20"/>
          <w:szCs w:val="20"/>
        </w:rPr>
        <w:t xml:space="preserve">CIMOwlParser uses Apache Jena to load and traverse the OWL file. The key steps are:</w:t>
      </w:r>
    </w:p>
    <w:p>
      <w:pPr>
        <w:pStyle w:val="ListParagraph"/>
        <w:numPr>
          <w:ilvl w:val="0"/>
          <w:numId w:val="1"/>
        </w:numPr>
        <w:spacing w:after="80"/>
      </w:pPr>
      <w:r>
        <w:rPr>
          <w:sz w:val="20"/>
          <w:szCs w:val="20"/>
        </w:rPr>
        <w:t xml:space="preserve">Step 1 — Load model: Jena reads the OWL file into an in-memory RDF model.</w:t>
      </w:r>
    </w:p>
    <w:p>
      <w:pPr>
        <w:pStyle w:val="ListParagraph"/>
        <w:numPr>
          <w:ilvl w:val="0"/>
          <w:numId w:val="1"/>
        </w:numPr>
        <w:spacing w:after="80"/>
      </w:pPr>
      <w:r>
        <w:rPr>
          <w:sz w:val="20"/>
          <w:szCs w:val="20"/>
        </w:rPr>
        <w:t xml:space="preserve">Step 2 — Iterate classes: For every owl:Class or rdfs:Class resource in the model, extractClass() is called.</w:t>
      </w:r>
    </w:p>
    <w:p>
      <w:pPr>
        <w:pStyle w:val="ListParagraph"/>
        <w:numPr>
          <w:ilvl w:val="0"/>
          <w:numId w:val="1"/>
        </w:numPr>
        <w:spacing w:after="80"/>
      </w:pPr>
      <w:r>
        <w:rPr>
          <w:sz w:val="20"/>
          <w:szCs w:val="20"/>
        </w:rPr>
        <w:t xml:space="preserve">Step 3 — Extract parent: Uses r.listProperties(RDFS.subClassOf) to iterate ALL subClassOf statements (not just the first). This is critical — many CIM classes have multiple subClassOf triples where the first is an OWL restriction (blank node), not the actual parent class. Blank nodes and owl:Thing are skipped; the first named URI is used as the parent.</w:t>
      </w:r>
    </w:p>
    <w:p>
      <w:pPr>
        <w:pStyle w:val="ListParagraph"/>
        <w:numPr>
          <w:ilvl w:val="0"/>
          <w:numId w:val="1"/>
        </w:numPr>
        <w:spacing w:after="80"/>
      </w:pPr>
      <w:r>
        <w:rPr>
          <w:sz w:val="20"/>
          <w:szCs w:val="20"/>
        </w:rPr>
        <w:t xml:space="preserve">Step 4 — Extract attributes: OWL property restrictions on the class yield the list of own attributes.</w:t>
      </w:r>
    </w:p>
    <w:p>
      <w:pPr>
        <w:pStyle w:val="ListParagraph"/>
        <w:numPr>
          <w:ilvl w:val="0"/>
          <w:numId w:val="1"/>
        </w:numPr>
        <w:spacing w:after="80"/>
      </w:pPr>
      <w:r>
        <w:rPr>
          <w:sz w:val="20"/>
          <w:szCs w:val="20"/>
        </w:rPr>
        <w:t xml:space="preserve">Step 5 — Build parent map: A flat Map&lt;className, parentName&gt; is built from all extracted classes.</w:t>
      </w:r>
    </w:p>
    <w:p>
      <w:pPr>
        <w:pStyle w:val="ListParagraph"/>
        <w:numPr>
          <w:ilvl w:val="0"/>
          <w:numId w:val="1"/>
        </w:numPr>
        <w:spacing w:after="80"/>
      </w:pPr>
      <w:r>
        <w:rPr>
          <w:sz w:val="20"/>
          <w:szCs w:val="20"/>
        </w:rPr>
        <w:t xml:space="preserve">Step 6 — Merge BUILTIN_PARENTS: For classes whose parent cannot be determined from the OWL file (incomplete CPSM profiles, blank-node-only restrictions), a hardcoded fallback map provides the parent. Covers HydroPowerPlant, Reservoir, ControlArea, and 30+ other classes.</w:t>
      </w:r>
    </w:p>
    <w:p>
      <w:pPr>
        <w:pStyle w:val="ListParagraph"/>
        <w:numPr>
          <w:ilvl w:val="0"/>
          <w:numId w:val="1"/>
        </w:numPr>
        <w:spacing w:after="80"/>
      </w:pPr>
      <w:r>
        <w:rPr>
          <w:sz w:val="20"/>
          <w:szCs w:val="20"/>
        </w:rPr>
        <w:t xml:space="preserve">Step 7 — Compute ancestors: computeAncestors() walks the parent map upward for each class, building the full ancestor chain (e.g. ACLineSegment → Conductor → ConductingEquipment → Equipment → PowerSystemResource → IdentifiedObject).</w:t>
      </w:r>
    </w:p>
    <w:p>
      <w:pPr>
        <w:pStyle w:val="ListParagraph"/>
        <w:numPr>
          <w:ilvl w:val="0"/>
          <w:numId w:val="1"/>
        </w:numPr>
        <w:spacing w:after="80"/>
      </w:pPr>
      <w:r>
        <w:rPr>
          <w:sz w:val="20"/>
          <w:szCs w:val="20"/>
        </w:rPr>
        <w:t xml:space="preserve">Step 8 — Persist: Each class becomes a cim_classes document with className, ancestors[], ownAttributes[], cimPackage, stereotype fields.</w:t>
      </w:r>
    </w:p>
    <w:p>
      <w:pPr>
        <w:spacing w:after="160"/>
      </w:pPr>
    </w:p>
    <w:p>
      <w:pPr>
        <w:pStyle w:val="Heading2"/>
        <w:spacing w:after="160" w:before="300"/>
        <w:rPr>
          <w:b/>
          <w:bCs/>
          <w:color w:val="2E86C1"/>
          <w:sz w:val="24"/>
          <w:szCs w:val="24"/>
        </w:rPr>
      </w:pPr>
      <w:r>
        <w:t xml:space="preserve">4.3 Why listProperties() Instead of getProperty()</w:t>
      </w:r>
    </w:p>
    <w:p>
      <w:pPr>
        <w:spacing w:after="120"/>
      </w:pPr>
      <w:r>
        <w:rPr>
          <w:color w:val="000000"/>
          <w:sz w:val="20"/>
          <w:szCs w:val="20"/>
        </w:rPr>
        <w:t xml:space="preserve">getProperty(RDFS.subClassOf) returns only the FIRST matching triple. For many CIM classes the OWL file generates multiple subClassOf triples — the first is an OWL restriction blank node, the real parent class is in the second triple. getProperty() would return null for the parent, leaving ancestors = []. listProperties() iterates all triples and picks the first named class URI, correctly identifying the parent in all cases.</w:t>
      </w:r>
    </w:p>
    <w:p>
      <w:pPr>
        <w:spacing w:after="160"/>
      </w:pPr>
    </w:p>
    <w:p>
      <w:pPr>
        <w:pStyle w:val="Heading2"/>
        <w:spacing w:after="160" w:before="300"/>
        <w:rPr>
          <w:b/>
          <w:bCs/>
          <w:color w:val="2E86C1"/>
          <w:sz w:val="24"/>
          <w:szCs w:val="24"/>
        </w:rPr>
      </w:pPr>
      <w:r>
        <w:t xml:space="preserve">4.4 CIM Class Document Structure (cim_classes)</w:t>
      </w:r>
    </w:p>
    <w:p>
      <w:pPr>
        <w:spacing w:after="80"/>
        <w:ind w:left="720"/>
      </w:pPr>
      <w:r>
        <w:rPr>
          <w:rFonts w:ascii="Courier New" w:cs="Courier New" w:eastAsia="Courier New" w:hAnsi="Courier New"/>
          <w:color w:val="1A5276"/>
          <w:sz w:val="18"/>
          <w:szCs w:val="18"/>
        </w:rPr>
        <w:t xml:space="preserve">{</w:t>
      </w:r>
    </w:p>
    <w:p>
      <w:pPr>
        <w:spacing w:after="80"/>
        <w:ind w:left="720"/>
      </w:pPr>
      <w:r>
        <w:rPr>
          <w:rFonts w:ascii="Courier New" w:cs="Courier New" w:eastAsia="Courier New" w:hAnsi="Courier New"/>
          <w:color w:val="1A5276"/>
          <w:sz w:val="18"/>
          <w:szCs w:val="18"/>
        </w:rPr>
        <w:t xml:space="preserve">  "_id":         "6a9ff31c15e6d00f6ffb923a",</w:t>
      </w:r>
    </w:p>
    <w:p>
      <w:pPr>
        <w:spacing w:after="80"/>
        <w:ind w:left="720"/>
      </w:pPr>
      <w:r>
        <w:rPr>
          <w:rFonts w:ascii="Courier New" w:cs="Courier New" w:eastAsia="Courier New" w:hAnsi="Courier New"/>
          <w:color w:val="1A5276"/>
          <w:sz w:val="18"/>
          <w:szCs w:val="18"/>
        </w:rPr>
        <w:t xml:space="preserve">  "className":   "ACLineSegment",</w:t>
      </w:r>
    </w:p>
    <w:p>
      <w:pPr>
        <w:spacing w:after="80"/>
        <w:ind w:left="720"/>
      </w:pPr>
      <w:r>
        <w:rPr>
          <w:rFonts w:ascii="Courier New" w:cs="Courier New" w:eastAsia="Courier New" w:hAnsi="Courier New"/>
          <w:color w:val="1A5276"/>
          <w:sz w:val="18"/>
          <w:szCs w:val="18"/>
        </w:rPr>
        <w:t xml:space="preserve">  "ancestors":   ["Conductor", "ConductingEquipment", "Equipment",</w:t>
      </w:r>
    </w:p>
    <w:p>
      <w:pPr>
        <w:spacing w:after="80"/>
        <w:ind w:left="720"/>
      </w:pPr>
      <w:r>
        <w:rPr>
          <w:rFonts w:ascii="Courier New" w:cs="Courier New" w:eastAsia="Courier New" w:hAnsi="Courier New"/>
          <w:color w:val="1A5276"/>
          <w:sz w:val="18"/>
          <w:szCs w:val="18"/>
        </w:rPr>
        <w:t xml:space="preserve">                   "PowerSystemResource", "IdentifiedObject"],</w:t>
      </w:r>
    </w:p>
    <w:p>
      <w:pPr>
        <w:spacing w:after="80"/>
        <w:ind w:left="720"/>
      </w:pPr>
      <w:r>
        <w:rPr>
          <w:rFonts w:ascii="Courier New" w:cs="Courier New" w:eastAsia="Courier New" w:hAnsi="Courier New"/>
          <w:color w:val="1A5276"/>
          <w:sz w:val="18"/>
          <w:szCs w:val="18"/>
        </w:rPr>
        <w:t xml:space="preserve">  "ownAttributes": ["r", "x", "bch", "r0", "x0", "b0ch"],</w:t>
      </w:r>
    </w:p>
    <w:p>
      <w:pPr>
        <w:spacing w:after="80"/>
        <w:ind w:left="720"/>
      </w:pPr>
      <w:r>
        <w:rPr>
          <w:rFonts w:ascii="Courier New" w:cs="Courier New" w:eastAsia="Courier New" w:hAnsi="Courier New"/>
          <w:color w:val="1A5276"/>
          <w:sz w:val="18"/>
          <w:szCs w:val="18"/>
        </w:rPr>
        <w:t xml:space="preserve">  "cimPackage":  "Wires",</w:t>
      </w:r>
    </w:p>
    <w:p>
      <w:pPr>
        <w:spacing w:after="80"/>
        <w:ind w:left="720"/>
      </w:pPr>
      <w:r>
        <w:rPr>
          <w:rFonts w:ascii="Courier New" w:cs="Courier New" w:eastAsia="Courier New" w:hAnsi="Courier New"/>
          <w:color w:val="1A5276"/>
          <w:sz w:val="18"/>
          <w:szCs w:val="18"/>
        </w:rPr>
        <w:t xml:space="preserve">  "stereotype":  "ofAggregate",</w:t>
      </w:r>
    </w:p>
    <w:p>
      <w:pPr>
        <w:spacing w:after="80"/>
        <w:ind w:left="720"/>
      </w:pPr>
      <w:r>
        <w:rPr>
          <w:rFonts w:ascii="Courier New" w:cs="Courier New" w:eastAsia="Courier New" w:hAnsi="Courier New"/>
          <w:color w:val="1A5276"/>
          <w:sz w:val="18"/>
          <w:szCs w:val="18"/>
        </w:rPr>
        <w:t xml:space="preserve">  "cimVersion":  "CIM17"</w:t>
      </w:r>
    </w:p>
    <w:p>
      <w:pPr>
        <w:spacing w:after="80"/>
        <w:ind w:left="720"/>
      </w:pPr>
      <w:r>
        <w:rPr>
          <w:rFonts w:ascii="Courier New" w:cs="Courier New" w:eastAsia="Courier New" w:hAnsi="Courier New"/>
          <w:color w:val="1A5276"/>
          <w:sz w:val="18"/>
          <w:szCs w:val="18"/>
        </w:rPr>
        <w:t xml:space="preserve">}</w:t>
      </w:r>
    </w:p>
    <w:p>
      <w:pPr>
        <w:spacing w:after="160"/>
      </w:pPr>
    </w:p>
    <w:p>
      <w:pPr>
        <w:pStyle w:val="Heading2"/>
        <w:spacing w:after="160" w:before="300"/>
        <w:rPr>
          <w:b/>
          <w:bCs/>
          <w:color w:val="2E86C1"/>
          <w:sz w:val="24"/>
          <w:szCs w:val="24"/>
        </w:rPr>
      </w:pPr>
      <w:r>
        <w:t xml:space="preserve">4.5 BUILTIN_PARENTS — Fallback Safety Net</w:t>
      </w:r>
    </w:p>
    <w:p>
      <w:pPr>
        <w:spacing w:after="120"/>
      </w:pPr>
      <w:r>
        <w:rPr>
          <w:color w:val="000000"/>
          <w:sz w:val="20"/>
          <w:szCs w:val="20"/>
        </w:rPr>
        <w:t xml:space="preserve">The BUILTIN_PARENTS map in CIMOwlParser covers classes that CPSM profiles omit or where the OWL subClassOf only points to a blank node restriction. Key entries: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gridSpan w:val="1"/>
            <w:tcBorders>
              <w:top w:val="single" w:color="AAAAAA" w:sz="1"/>
              <w:left w:val="single" w:color="AAAAAA" w:sz="1"/>
              <w:bottom w:val="single" w:color="AAAAAA" w:sz="1"/>
              <w:right w:val="single" w:color="AAAAAA" w:sz="1"/>
            </w:tcBorders>
            <w:shd w:fill="1F3F7B" w:color="1F3F7B" w:val="clear"/>
            <w:tcMar>
              <w:top w:type="dxa" w:w="80"/>
              <w:left w:type="dxa" w:w="120"/>
              <w:bottom w:type="dxa" w:w="80"/>
              <w:right w:type="dxa" w:w="120"/>
            </w:tcMar>
            <w:vAlign w:val="center"/>
          </w:tcPr>
          <w:p>
            <w:pPr>
              <w:spacing w:after="60" w:before="60"/>
              <w:jc w:val="left"/>
            </w:pPr>
            <w:r>
              <w:rPr>
                <w:b/>
                <w:bCs/>
                <w:color w:val="FFFFFF"/>
                <w:sz w:val="18"/>
                <w:szCs w:val="18"/>
              </w:rPr>
              <w:t xml:space="preserve">Class</w:t>
            </w:r>
          </w:p>
        </w:tc>
        <w:tc>
          <w:tcPr>
            <w:tcW w:type="dxa" w:w="2400"/>
            <w:gridSpan w:val="1"/>
            <w:tcBorders>
              <w:top w:val="single" w:color="AAAAAA" w:sz="1"/>
              <w:left w:val="single" w:color="AAAAAA" w:sz="1"/>
              <w:bottom w:val="single" w:color="AAAAAA" w:sz="1"/>
              <w:right w:val="single" w:color="AAAAAA" w:sz="1"/>
            </w:tcBorders>
            <w:shd w:fill="1F3F7B" w:color="1F3F7B" w:val="clear"/>
            <w:tcMar>
              <w:top w:type="dxa" w:w="80"/>
              <w:left w:type="dxa" w:w="120"/>
              <w:bottom w:type="dxa" w:w="80"/>
              <w:right w:type="dxa" w:w="120"/>
            </w:tcMar>
            <w:vAlign w:val="center"/>
          </w:tcPr>
          <w:p>
            <w:pPr>
              <w:spacing w:after="60" w:before="60"/>
              <w:jc w:val="left"/>
            </w:pPr>
            <w:r>
              <w:rPr>
                <w:b/>
                <w:bCs/>
                <w:color w:val="FFFFFF"/>
                <w:sz w:val="18"/>
                <w:szCs w:val="18"/>
              </w:rPr>
              <w:t xml:space="preserve">Parent</w:t>
            </w:r>
          </w:p>
        </w:tc>
        <w:tc>
          <w:tcPr>
            <w:tcW w:type="dxa" w:w="3600"/>
            <w:gridSpan w:val="1"/>
            <w:tcBorders>
              <w:top w:val="single" w:color="AAAAAA" w:sz="1"/>
              <w:left w:val="single" w:color="AAAAAA" w:sz="1"/>
              <w:bottom w:val="single" w:color="AAAAAA" w:sz="1"/>
              <w:right w:val="single" w:color="AAAAAA" w:sz="1"/>
            </w:tcBorders>
            <w:shd w:fill="1F3F7B" w:color="1F3F7B" w:val="clear"/>
            <w:tcMar>
              <w:top w:type="dxa" w:w="80"/>
              <w:left w:type="dxa" w:w="120"/>
              <w:bottom w:type="dxa" w:w="80"/>
              <w:right w:type="dxa" w:w="120"/>
            </w:tcMar>
            <w:vAlign w:val="center"/>
          </w:tcPr>
          <w:p>
            <w:pPr>
              <w:spacing w:after="60" w:before="60"/>
              <w:jc w:val="left"/>
            </w:pPr>
            <w:r>
              <w:rPr>
                <w:b/>
                <w:bCs/>
                <w:color w:val="FFFFFF"/>
                <w:sz w:val="18"/>
                <w:szCs w:val="18"/>
              </w:rPr>
              <w:t xml:space="preserve">Reason</w:t>
            </w:r>
          </w:p>
        </w:tc>
      </w:tr>
      <w:tr>
        <w:tc>
          <w:tcPr>
            <w:tcW w:type="dxa" w:w="24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HydroPowerPlant</w:t>
            </w:r>
          </w:p>
        </w:tc>
        <w:tc>
          <w:tcPr>
            <w:tcW w:type="dxa" w:w="24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PowerSystemResource</w:t>
            </w:r>
          </w:p>
        </w:tc>
        <w:tc>
          <w:tcPr>
            <w:tcW w:type="dxa" w:w="36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OWL restriction blank node only in CPSM</w:t>
            </w:r>
          </w:p>
        </w:tc>
      </w:tr>
      <w:tr>
        <w:tc>
          <w:tcPr>
            <w:tcW w:type="dxa" w:w="24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Reservoir</w:t>
            </w:r>
          </w:p>
        </w:tc>
        <w:tc>
          <w:tcPr>
            <w:tcW w:type="dxa" w:w="24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PowerSystemResource</w:t>
            </w:r>
          </w:p>
        </w:tc>
        <w:tc>
          <w:tcPr>
            <w:tcW w:type="dxa" w:w="36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Missing in many CPSM profiles</w:t>
            </w:r>
          </w:p>
        </w:tc>
      </w:tr>
      <w:tr>
        <w:tc>
          <w:tcPr>
            <w:tcW w:type="dxa" w:w="24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ControlArea</w:t>
            </w:r>
          </w:p>
        </w:tc>
        <w:tc>
          <w:tcPr>
            <w:tcW w:type="dxa" w:w="24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PowerSystemResource</w:t>
            </w:r>
          </w:p>
        </w:tc>
        <w:tc>
          <w:tcPr>
            <w:tcW w:type="dxa" w:w="36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Missing in some profiles</w:t>
            </w:r>
          </w:p>
        </w:tc>
      </w:tr>
      <w:tr>
        <w:tc>
          <w:tcPr>
            <w:tcW w:type="dxa" w:w="24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GeneratingUnit</w:t>
            </w:r>
          </w:p>
        </w:tc>
        <w:tc>
          <w:tcPr>
            <w:tcW w:type="dxa" w:w="24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Equipment</w:t>
            </w:r>
          </w:p>
        </w:tc>
        <w:tc>
          <w:tcPr>
            <w:tcW w:type="dxa" w:w="36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Core generation class</w:t>
            </w:r>
          </w:p>
        </w:tc>
      </w:tr>
      <w:tr>
        <w:tc>
          <w:tcPr>
            <w:tcW w:type="dxa" w:w="24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HydroGeneratingUnit</w:t>
            </w:r>
          </w:p>
        </w:tc>
        <w:tc>
          <w:tcPr>
            <w:tcW w:type="dxa" w:w="24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GeneratingUnit</w:t>
            </w:r>
          </w:p>
        </w:tc>
        <w:tc>
          <w:tcPr>
            <w:tcW w:type="dxa" w:w="36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Specialisation</w:t>
            </w:r>
          </w:p>
        </w:tc>
      </w:tr>
      <w:tr>
        <w:tc>
          <w:tcPr>
            <w:tcW w:type="dxa" w:w="24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ThermalGeneratingUnit</w:t>
            </w:r>
          </w:p>
        </w:tc>
        <w:tc>
          <w:tcPr>
            <w:tcW w:type="dxa" w:w="24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GeneratingUnit</w:t>
            </w:r>
          </w:p>
        </w:tc>
        <w:tc>
          <w:tcPr>
            <w:tcW w:type="dxa" w:w="36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Specialisation</w:t>
            </w:r>
          </w:p>
        </w:tc>
      </w:tr>
      <w:tr>
        <w:tc>
          <w:tcPr>
            <w:tcW w:type="dxa" w:w="24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UsagePoint</w:t>
            </w:r>
          </w:p>
        </w:tc>
        <w:tc>
          <w:tcPr>
            <w:tcW w:type="dxa" w:w="24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IdentifiedObject</w:t>
            </w:r>
          </w:p>
        </w:tc>
        <w:tc>
          <w:tcPr>
            <w:tcW w:type="dxa" w:w="36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Missing in CPSM profiles</w:t>
            </w:r>
          </w:p>
        </w:tc>
      </w:tr>
      <w:tr>
        <w:tc>
          <w:tcPr>
            <w:tcW w:type="dxa" w:w="24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RegulatingControl</w:t>
            </w:r>
          </w:p>
        </w:tc>
        <w:tc>
          <w:tcPr>
            <w:tcW w:type="dxa" w:w="24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PowerSystemResource</w:t>
            </w:r>
          </w:p>
        </w:tc>
        <w:tc>
          <w:tcPr>
            <w:tcW w:type="dxa" w:w="36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Missing in some profiles</w:t>
            </w:r>
          </w:p>
        </w:tc>
      </w:tr>
    </w:tbl>
    <w:p>
      <w:pPr>
        <w:spacing w:after="160"/>
      </w:pPr>
    </w:p>
    <w:p>
      <w:r>
        <w:br w:type="page"/>
      </w:r>
    </w:p>
    <w:p>
      <w:pPr>
        <w:pStyle w:val="Heading1"/>
        <w:spacing w:after="200" w:before="400"/>
        <w:rPr>
          <w:b/>
          <w:bCs/>
          <w:color w:val="1F3F7B"/>
          <w:sz w:val="28"/>
          <w:szCs w:val="28"/>
        </w:rPr>
      </w:pPr>
      <w:r>
        <w:t xml:space="preserve">5. Import Pipeline — Phase by Phase</w:t>
      </w:r>
    </w:p>
    <w:p>
      <w:pPr>
        <w:pStyle w:val="Heading2"/>
        <w:spacing w:after="160" w:before="300"/>
        <w:rPr>
          <w:b/>
          <w:bCs/>
          <w:color w:val="2E86C1"/>
          <w:sz w:val="24"/>
          <w:szCs w:val="24"/>
        </w:rPr>
      </w:pPr>
      <w:r>
        <w:t xml:space="preserve">5.1 Phase 1 — Stream Parsing</w:t>
      </w:r>
    </w:p>
    <w:p>
      <w:pPr>
        <w:pStyle w:val="Heading3"/>
        <w:spacing w:after="120" w:before="200"/>
        <w:rPr>
          <w:b/>
          <w:bCs/>
          <w:color w:val="1F3F7B"/>
          <w:sz w:val="22"/>
          <w:szCs w:val="22"/>
        </w:rPr>
      </w:pPr>
      <w:r>
        <w:t xml:space="preserve">5.1.1 RDF/XML Format (CAISO, standard CIM)</w:t>
      </w:r>
    </w:p>
    <w:p>
      <w:pPr>
        <w:spacing w:after="120"/>
      </w:pPr>
      <w:r>
        <w:rPr>
          <w:color w:val="000000"/>
          <w:sz w:val="20"/>
          <w:szCs w:val="20"/>
        </w:rPr>
        <w:t xml:space="preserve">StreamingRdfXmlParser uses StAX (Streaming API for XML) to parse RDF/XML files without loading the entire file into memory. For each rdf:Description element encountered:</w:t>
      </w:r>
    </w:p>
    <w:p>
      <w:pPr>
        <w:pStyle w:val="ListParagraph"/>
        <w:numPr>
          <w:ilvl w:val="0"/>
          <w:numId w:val="1"/>
        </w:numPr>
        <w:spacing w:after="80"/>
      </w:pPr>
      <w:r>
        <w:rPr>
          <w:sz w:val="20"/>
          <w:szCs w:val="20"/>
        </w:rPr>
        <w:t xml:space="preserve">Extract rdfId (rdf:about attribute)</w:t>
      </w:r>
    </w:p>
    <w:p>
      <w:pPr>
        <w:pStyle w:val="ListParagraph"/>
        <w:numPr>
          <w:ilvl w:val="0"/>
          <w:numId w:val="1"/>
        </w:numPr>
        <w:spacing w:after="80"/>
      </w:pPr>
      <w:r>
        <w:rPr>
          <w:sz w:val="20"/>
          <w:szCs w:val="20"/>
        </w:rPr>
        <w:t xml:space="preserve">Resolve the CIM class name from the rdf:type child element URI</w:t>
      </w:r>
    </w:p>
    <w:p>
      <w:pPr>
        <w:pStyle w:val="ListParagraph"/>
        <w:numPr>
          <w:ilvl w:val="0"/>
          <w:numId w:val="1"/>
        </w:numPr>
        <w:spacing w:after="80"/>
      </w:pPr>
      <w:r>
        <w:rPr>
          <w:sz w:val="20"/>
          <w:szCs w:val="20"/>
        </w:rPr>
        <w:t xml:space="preserve">Extract all attribute elements as Map&lt;String,Object&gt; (values may be String, Double, Boolean)</w:t>
      </w:r>
    </w:p>
    <w:p>
      <w:pPr>
        <w:pStyle w:val="ListParagraph"/>
        <w:numPr>
          <w:ilvl w:val="0"/>
          <w:numId w:val="1"/>
        </w:numPr>
        <w:spacing w:after="80"/>
      </w:pPr>
      <w:r>
        <w:rPr>
          <w:sz w:val="20"/>
          <w:szCs w:val="20"/>
        </w:rPr>
        <w:t xml:space="preserve">Extract all reference elements (rdf:resource) as Map&lt;String,String&gt; with the key encoded via MapKeySanitizer</w:t>
      </w:r>
    </w:p>
    <w:p>
      <w:pPr>
        <w:pStyle w:val="ListParagraph"/>
        <w:numPr>
          <w:ilvl w:val="0"/>
          <w:numId w:val="1"/>
        </w:numPr>
        <w:spacing w:after="80"/>
      </w:pPr>
      <w:r>
        <w:rPr>
          <w:sz w:val="20"/>
          <w:szCs w:val="20"/>
        </w:rPr>
        <w:t xml:space="preserve">Write two documents simultaneously: one to cim_objects (CIM-translated) and one to raw_objects (vendor-format, untouched)</w:t>
      </w:r>
    </w:p>
    <w:p>
      <w:pPr>
        <w:spacing w:after="160"/>
      </w:pPr>
    </w:p>
    <w:p>
      <w:pPr>
        <w:pStyle w:val="Heading3"/>
        <w:spacing w:after="120" w:before="200"/>
        <w:rPr>
          <w:b/>
          <w:bCs/>
          <w:color w:val="1F3F7B"/>
          <w:sz w:val="22"/>
          <w:szCs w:val="22"/>
        </w:rPr>
      </w:pPr>
      <w:r>
        <w:t xml:space="preserve">5.1.2 Milsoft CSV Format</w:t>
      </w:r>
    </w:p>
    <w:p>
      <w:pPr>
        <w:spacing w:after="120"/>
      </w:pPr>
      <w:r>
        <w:rPr>
          <w:color w:val="000000"/>
          <w:sz w:val="20"/>
          <w:szCs w:val="20"/>
        </w:rPr>
        <w:t xml:space="preserve">StreamingMilsoftCsvParser reads the CSV row by row. Each row is mapped to a CIM type based on the section code. The parser emits ParsedRow objects with two disjoint CIMObject instances — one raw vendor-shaped for raw_objects and one CIM-translated for cim_objects.</w:t>
      </w:r>
    </w:p>
    <w:p>
      <w:pPr>
        <w:spacing w:after="160"/>
      </w:pPr>
    </w:p>
    <w:p>
      <w:pPr>
        <w:pStyle w:val="Heading3"/>
        <w:spacing w:after="120" w:before="200"/>
        <w:rPr>
          <w:b/>
          <w:bCs/>
          <w:color w:val="1F3F7B"/>
          <w:sz w:val="22"/>
          <w:szCs w:val="22"/>
        </w:rPr>
      </w:pPr>
      <w:r>
        <w:t xml:space="preserve">5.1.3 MapKeySanitizer</w:t>
      </w:r>
    </w:p>
    <w:p>
      <w:pPr>
        <w:spacing w:after="120"/>
      </w:pPr>
      <w:r>
        <w:rPr>
          <w:color w:val="000000"/>
          <w:sz w:val="20"/>
          <w:szCs w:val="20"/>
        </w:rPr>
        <w:t xml:space="preserve">MongoDB does not allow dots in field names. All map keys that contain dots (e.g. "Terminal.ConductingEquipment", "BaseVoltage.nominalVoltage") are encoded by replacing "." with "_" (underscore). This applies to the attributes map and the references map only. The resolvedRefIds map stores keys in the same encoded format.</w:t>
      </w:r>
    </w:p>
    <w:p>
      <w:pPr>
        <w:spacing w:after="80"/>
        <w:ind w:left="720"/>
      </w:pPr>
      <w:r>
        <w:rPr>
          <w:rFonts w:ascii="Courier New" w:cs="Courier New" w:eastAsia="Courier New" w:hAnsi="Courier New"/>
          <w:color w:val="1A5276"/>
          <w:sz w:val="18"/>
          <w:szCs w:val="18"/>
        </w:rPr>
        <w:t xml:space="preserve">encode("Terminal.ConductingEquipment") → "Terminal_ConductingEquipment"</w:t>
      </w:r>
    </w:p>
    <w:p>
      <w:pPr>
        <w:spacing w:after="80"/>
        <w:ind w:left="720"/>
      </w:pPr>
      <w:r>
        <w:rPr>
          <w:rFonts w:ascii="Courier New" w:cs="Courier New" w:eastAsia="Courier New" w:hAnsi="Courier New"/>
          <w:color w:val="1A5276"/>
          <w:sz w:val="18"/>
          <w:szCs w:val="18"/>
        </w:rPr>
        <w:t xml:space="preserve">encode("BaseVoltage.nominalVoltage")   → "BaseVoltage_nominalVoltage"</w:t>
      </w:r>
    </w:p>
    <w:p>
      <w:pPr>
        <w:spacing w:after="80"/>
        <w:ind w:left="720"/>
      </w:pPr>
      <w:r>
        <w:rPr>
          <w:rFonts w:ascii="Courier New" w:cs="Courier New" w:eastAsia="Courier New" w:hAnsi="Courier New"/>
          <w:color w:val="1A5276"/>
          <w:sz w:val="18"/>
          <w:szCs w:val="18"/>
        </w:rPr>
        <w:t xml:space="preserve">decode("Terminal_ConductingEquipment") → "Terminal.ConductingEquipment"</w:t>
      </w:r>
    </w:p>
    <w:p>
      <w:pPr>
        <w:spacing w:after="160"/>
      </w:pPr>
    </w:p>
    <w:p>
      <w:pPr>
        <w:pStyle w:val="Heading2"/>
        <w:spacing w:after="160" w:before="300"/>
        <w:rPr>
          <w:b/>
          <w:bCs/>
          <w:color w:val="2E86C1"/>
          <w:sz w:val="24"/>
          <w:szCs w:val="24"/>
        </w:rPr>
      </w:pPr>
      <w:r>
        <w:t xml:space="preserve">5.2 Phase 2 — Reference Resolution</w:t>
      </w:r>
    </w:p>
    <w:p>
      <w:pPr>
        <w:spacing w:after="120"/>
      </w:pPr>
      <w:r>
        <w:rPr>
          <w:color w:val="000000"/>
          <w:sz w:val="20"/>
          <w:szCs w:val="20"/>
        </w:rPr>
        <w:t xml:space="preserve">StreamingReferenceResolver reads all cim_objects for the job and resolves rdfId cross-references. For each object:</w:t>
      </w:r>
    </w:p>
    <w:p>
      <w:pPr>
        <w:pStyle w:val="ListParagraph"/>
        <w:numPr>
          <w:ilvl w:val="0"/>
          <w:numId w:val="1"/>
        </w:numPr>
        <w:spacing w:after="80"/>
      </w:pPr>
      <w:r>
        <w:rPr>
          <w:sz w:val="20"/>
          <w:szCs w:val="20"/>
        </w:rPr>
        <w:t xml:space="preserve">The references map contains raw rdfId pointer values</w:t>
      </w:r>
    </w:p>
    <w:p>
      <w:pPr>
        <w:pStyle w:val="ListParagraph"/>
        <w:numPr>
          <w:ilvl w:val="0"/>
          <w:numId w:val="1"/>
        </w:numPr>
        <w:spacing w:after="80"/>
      </w:pPr>
      <w:r>
        <w:rPr>
          <w:sz w:val="20"/>
          <w:szCs w:val="20"/>
        </w:rPr>
        <w:t xml:space="preserve">The resolver looks up each target rdfId within the same job scope</w:t>
      </w:r>
    </w:p>
    <w:p>
      <w:pPr>
        <w:pStyle w:val="ListParagraph"/>
        <w:numPr>
          <w:ilvl w:val="0"/>
          <w:numId w:val="1"/>
        </w:numPr>
        <w:spacing w:after="80"/>
      </w:pPr>
      <w:r>
        <w:rPr>
          <w:sz w:val="20"/>
          <w:szCs w:val="20"/>
        </w:rPr>
        <w:t xml:space="preserve">When found, the resolved mrid or rdfId is written to resolvedRefIds with the same encoded key</w:t>
      </w:r>
    </w:p>
    <w:p>
      <w:pPr>
        <w:pStyle w:val="ListParagraph"/>
        <w:numPr>
          <w:ilvl w:val="0"/>
          <w:numId w:val="1"/>
        </w:numPr>
        <w:spacing w:after="80"/>
      </w:pPr>
      <w:r>
        <w:rPr>
          <w:sz w:val="20"/>
          <w:szCs w:val="20"/>
        </w:rPr>
        <w:t xml:space="preserve">Unresolved references are recorded in pathIssues with status UNRESOLVED</w:t>
      </w:r>
    </w:p>
    <w:p>
      <w:pPr>
        <w:spacing w:after="160"/>
      </w:pPr>
    </w:p>
    <w:p>
      <w:pPr>
        <w:pStyle w:val="Heading2"/>
        <w:spacing w:after="160" w:before="300"/>
        <w:rPr>
          <w:b/>
          <w:bCs/>
          <w:color w:val="2E86C1"/>
          <w:sz w:val="24"/>
          <w:szCs w:val="24"/>
        </w:rPr>
      </w:pPr>
      <w:r>
        <w:t xml:space="preserve">5.3 Phase 3 — CIM Enrichment (MongoDB-based)</w:t>
      </w:r>
    </w:p>
    <w:p>
      <w:pPr>
        <w:spacing w:after="120"/>
      </w:pPr>
      <w:r>
        <w:rPr>
          <w:color w:val="000000"/>
          <w:sz w:val="20"/>
          <w:szCs w:val="20"/>
        </w:rPr>
        <w:t xml:space="preserve">CimEnrichmentService computes derived attributes after reference resolution. It builds in-memory lookup maps from MongoDB (lightweight projections) and walks reference chains entirely within MongoDB — no Neo4j required. All results are written to cim_objects.attributes.</w:t>
      </w:r>
    </w:p>
    <w:p>
      <w:pPr>
        <w:spacing w:after="160"/>
      </w:pPr>
    </w:p>
    <w:p>
      <w:pPr>
        <w:spacing w:after="120"/>
      </w:pPr>
      <w:r>
        <w:rPr>
          <w:b/>
          <w:bCs/>
          <w:color w:val="000000"/>
          <w:sz w:val="20"/>
          <w:szCs w:val="20"/>
        </w:rPr>
        <w:t xml:space="preserve">Organisation gate:</w:t>
      </w:r>
    </w:p>
    <w:p>
      <w:pPr>
        <w:spacing w:after="120"/>
      </w:pPr>
      <w:r>
        <w:rPr>
          <w:color w:val="000000"/>
          <w:sz w:val="20"/>
          <w:szCs w:val="20"/>
        </w:rPr>
        <w:t xml:space="preserve">Enrichment only runs for organisations in ENRICHMENT_ENABLED_ORGS (currently CAISO). To add another organisation, add one line to that constant — no other changes needed.</w:t>
      </w:r>
    </w:p>
    <w:p>
      <w:pPr>
        <w:spacing w:after="160"/>
      </w:pPr>
    </w:p>
    <w:p>
      <w:pPr>
        <w:spacing w:after="120"/>
      </w:pPr>
      <w:r>
        <w:rPr>
          <w:b/>
          <w:bCs/>
          <w:color w:val="000000"/>
          <w:sz w:val="20"/>
          <w:szCs w:val="20"/>
        </w:rPr>
        <w:t xml:space="preserve">Why MongoDB-based enrichment is better than post-Neo4j enrichment:</w:t>
      </w:r>
    </w:p>
    <w:p>
      <w:pPr>
        <w:pStyle w:val="ListParagraph"/>
        <w:numPr>
          <w:ilvl w:val="0"/>
          <w:numId w:val="1"/>
        </w:numPr>
        <w:spacing w:after="80"/>
      </w:pPr>
      <w:r>
        <w:rPr>
          <w:sz w:val="20"/>
          <w:szCs w:val="20"/>
        </w:rPr>
        <w:t xml:space="preserve">Runs ONCE at import time — not 3× (once per Neo4j export variant)</w:t>
      </w:r>
    </w:p>
    <w:p>
      <w:pPr>
        <w:pStyle w:val="ListParagraph"/>
        <w:numPr>
          <w:ilvl w:val="0"/>
          <w:numId w:val="1"/>
        </w:numPr>
        <w:spacing w:after="80"/>
      </w:pPr>
      <w:r>
        <w:rPr>
          <w:sz w:val="20"/>
          <w:szCs w:val="20"/>
        </w:rPr>
        <w:t xml:space="preserve">Fast MongoDB index lookups (O(1) per hop) vs slow Neo4j graph traversal</w:t>
      </w:r>
    </w:p>
    <w:p>
      <w:pPr>
        <w:pStyle w:val="ListParagraph"/>
        <w:numPr>
          <w:ilvl w:val="0"/>
          <w:numId w:val="1"/>
        </w:numPr>
        <w:spacing w:after="80"/>
      </w:pPr>
      <w:r>
        <w:rPr>
          <w:sz w:val="20"/>
          <w:szCs w:val="20"/>
        </w:rPr>
        <w:t xml:space="preserve">Properties available via REST API without any Neo4j export</w:t>
      </w:r>
    </w:p>
    <w:p>
      <w:pPr>
        <w:pStyle w:val="ListParagraph"/>
        <w:numPr>
          <w:ilvl w:val="0"/>
          <w:numId w:val="1"/>
        </w:numPr>
        <w:spacing w:after="80"/>
      </w:pPr>
      <w:r>
        <w:rPr>
          <w:sz w:val="20"/>
          <w:szCs w:val="20"/>
        </w:rPr>
        <w:t xml:space="preserve">Neo4j export just copies them as regular node properties — free</w:t>
      </w:r>
    </w:p>
    <w:p>
      <w:pPr>
        <w:spacing w:after="160"/>
      </w:pPr>
    </w:p>
    <w:p>
      <w:pPr>
        <w:pStyle w:val="Heading2"/>
        <w:spacing w:after="160" w:before="300"/>
        <w:rPr>
          <w:b/>
          <w:bCs/>
          <w:color w:val="2E86C1"/>
          <w:sz w:val="24"/>
          <w:szCs w:val="24"/>
        </w:rPr>
      </w:pPr>
      <w:r>
        <w:t xml:space="preserve">5.4 cim_objects Document Structure</w:t>
      </w:r>
    </w:p>
    <w:p>
      <w:pPr>
        <w:spacing w:after="80"/>
        <w:ind w:left="720"/>
      </w:pPr>
      <w:r>
        <w:rPr>
          <w:rFonts w:ascii="Courier New" w:cs="Courier New" w:eastAsia="Courier New" w:hAnsi="Courier New"/>
          <w:color w:val="1A5276"/>
          <w:sz w:val="18"/>
          <w:szCs w:val="18"/>
        </w:rPr>
        <w:t xml:space="preserve">{</w:t>
      </w:r>
    </w:p>
    <w:p>
      <w:pPr>
        <w:spacing w:after="80"/>
        <w:ind w:left="720"/>
      </w:pPr>
      <w:r>
        <w:rPr>
          <w:rFonts w:ascii="Courier New" w:cs="Courier New" w:eastAsia="Courier New" w:hAnsi="Courier New"/>
          <w:color w:val="1A5276"/>
          <w:sz w:val="18"/>
          <w:szCs w:val="18"/>
        </w:rPr>
        <w:t xml:space="preserve">  "_id":          ObjectId("6a908e8d..."),</w:t>
      </w:r>
    </w:p>
    <w:p>
      <w:pPr>
        <w:spacing w:after="80"/>
        <w:ind w:left="720"/>
      </w:pPr>
      <w:r>
        <w:rPr>
          <w:rFonts w:ascii="Courier New" w:cs="Courier New" w:eastAsia="Courier New" w:hAnsi="Courier New"/>
          <w:color w:val="1A5276"/>
          <w:sz w:val="18"/>
          <w:szCs w:val="18"/>
        </w:rPr>
        <w:t xml:space="preserve">  "jobId":        "0166485d-...",</w:t>
      </w:r>
    </w:p>
    <w:p>
      <w:pPr>
        <w:spacing w:after="80"/>
        <w:ind w:left="720"/>
      </w:pPr>
      <w:r>
        <w:rPr>
          <w:rFonts w:ascii="Courier New" w:cs="Courier New" w:eastAsia="Courier New" w:hAnsi="Courier New"/>
          <w:color w:val="1A5276"/>
          <w:sz w:val="18"/>
          <w:szCs w:val="18"/>
        </w:rPr>
        <w:t xml:space="preserve">  "rdfId":        "_40eafb00-30b9-4a78-95d5-fee19365a490",</w:t>
      </w:r>
    </w:p>
    <w:p>
      <w:pPr>
        <w:spacing w:after="80"/>
        <w:ind w:left="720"/>
      </w:pPr>
      <w:r>
        <w:rPr>
          <w:rFonts w:ascii="Courier New" w:cs="Courier New" w:eastAsia="Courier New" w:hAnsi="Courier New"/>
          <w:color w:val="1A5276"/>
          <w:sz w:val="18"/>
          <w:szCs w:val="18"/>
        </w:rPr>
        <w:t xml:space="preserve">  "mrid":         "_40eafb00-30b9-4a78-95d5-fee19365a490",</w:t>
      </w:r>
    </w:p>
    <w:p>
      <w:pPr>
        <w:spacing w:after="80"/>
        <w:ind w:left="720"/>
      </w:pPr>
      <w:r>
        <w:rPr>
          <w:rFonts w:ascii="Courier New" w:cs="Courier New" w:eastAsia="Courier New" w:hAnsi="Courier New"/>
          <w:color w:val="1A5276"/>
          <w:sz w:val="18"/>
          <w:szCs w:val="18"/>
        </w:rPr>
        <w:t xml:space="preserve">  "cimType":      "ACLineSegment",</w:t>
      </w:r>
    </w:p>
    <w:p>
      <w:pPr>
        <w:spacing w:after="80"/>
        <w:ind w:left="720"/>
      </w:pPr>
      <w:r>
        <w:rPr>
          <w:rFonts w:ascii="Courier New" w:cs="Courier New" w:eastAsia="Courier New" w:hAnsi="Courier New"/>
          <w:color w:val="1A5276"/>
          <w:sz w:val="18"/>
          <w:szCs w:val="18"/>
        </w:rPr>
        <w:t xml:space="preserve">  "name":         "CALCME-OAKWD_66_BR_1_1",</w:t>
      </w:r>
    </w:p>
    <w:p>
      <w:pPr>
        <w:spacing w:after="80"/>
        <w:ind w:left="720"/>
      </w:pPr>
      <w:r>
        <w:rPr>
          <w:rFonts w:ascii="Courier New" w:cs="Courier New" w:eastAsia="Courier New" w:hAnsi="Courier New"/>
          <w:color w:val="1A5276"/>
          <w:sz w:val="18"/>
          <w:szCs w:val="18"/>
        </w:rPr>
        <w:t xml:space="preserve">  "orgId":        "CAISO",</w:t>
      </w:r>
    </w:p>
    <w:p>
      <w:pPr>
        <w:spacing w:after="80"/>
        <w:ind w:left="720"/>
      </w:pPr>
      <w:r>
        <w:rPr>
          <w:rFonts w:ascii="Courier New" w:cs="Courier New" w:eastAsia="Courier New" w:hAnsi="Courier New"/>
          <w:color w:val="1A5276"/>
          <w:sz w:val="18"/>
          <w:szCs w:val="18"/>
        </w:rPr>
        <w:t xml:space="preserve">  "version":      "DB140",</w:t>
      </w:r>
    </w:p>
    <w:p>
      <w:pPr>
        <w:spacing w:after="80"/>
        <w:ind w:left="720"/>
      </w:pPr>
      <w:r>
        <w:rPr>
          <w:rFonts w:ascii="Courier New" w:cs="Courier New" w:eastAsia="Courier New" w:hAnsi="Courier New"/>
          <w:color w:val="1A5276"/>
          <w:sz w:val="18"/>
          <w:szCs w:val="18"/>
        </w:rPr>
        <w:t xml:space="preserve">  "attributes": {</w:t>
      </w:r>
    </w:p>
    <w:p>
      <w:pPr>
        <w:spacing w:after="80"/>
        <w:ind w:left="720"/>
      </w:pPr>
      <w:r>
        <w:rPr>
          <w:rFonts w:ascii="Courier New" w:cs="Courier New" w:eastAsia="Courier New" w:hAnsi="Courier New"/>
          <w:color w:val="1A5276"/>
          <w:sz w:val="18"/>
          <w:szCs w:val="18"/>
        </w:rPr>
        <w:t xml:space="preserve">    "IdentifiedObject_name":      "CALCME-OAKWD_66_BR_1_1",</w:t>
      </w:r>
    </w:p>
    <w:p>
      <w:pPr>
        <w:spacing w:after="80"/>
        <w:ind w:left="720"/>
      </w:pPr>
      <w:r>
        <w:rPr>
          <w:rFonts w:ascii="Courier New" w:cs="Courier New" w:eastAsia="Courier New" w:hAnsi="Courier New"/>
          <w:color w:val="1A5276"/>
          <w:sz w:val="18"/>
          <w:szCs w:val="18"/>
        </w:rPr>
        <w:t xml:space="preserve">    "ACLineSegment_x":            2.9141600796,</w:t>
      </w:r>
    </w:p>
    <w:p>
      <w:pPr>
        <w:spacing w:after="80"/>
        <w:ind w:left="720"/>
      </w:pPr>
      <w:r>
        <w:rPr>
          <w:rFonts w:ascii="Courier New" w:cs="Courier New" w:eastAsia="Courier New" w:hAnsi="Courier New"/>
          <w:color w:val="1A5276"/>
          <w:sz w:val="18"/>
          <w:szCs w:val="18"/>
        </w:rPr>
        <w:t xml:space="preserve">    "nominalVoltage":             "66",        // ← Phase 3 enrichment</w:t>
      </w:r>
    </w:p>
    <w:p>
      <w:pPr>
        <w:spacing w:after="80"/>
        <w:ind w:left="720"/>
      </w:pPr>
      <w:r>
        <w:rPr>
          <w:rFonts w:ascii="Courier New" w:cs="Courier New" w:eastAsia="Courier New" w:hAnsi="Courier New"/>
          <w:color w:val="1A5276"/>
          <w:sz w:val="18"/>
          <w:szCs w:val="18"/>
        </w:rPr>
        <w:t xml:space="preserve">    "substationMrid":             "Sub_989",   // ← Phase 3 (skipped for ACLineSegment)</w:t>
      </w:r>
    </w:p>
    <w:p>
      <w:pPr>
        <w:spacing w:after="80"/>
        <w:ind w:left="720"/>
      </w:pPr>
      <w:r>
        <w:rPr>
          <w:rFonts w:ascii="Courier New" w:cs="Courier New" w:eastAsia="Courier New" w:hAnsi="Courier New"/>
          <w:color w:val="1A5276"/>
          <w:sz w:val="18"/>
          <w:szCs w:val="18"/>
        </w:rPr>
        <w:t xml:space="preserve">    "substationName":             "CALCME"     // ← Phase 3 (skipped for ACLineSegment)</w:t>
      </w:r>
    </w:p>
    <w:p>
      <w:pPr>
        <w:spacing w:after="80"/>
        <w:ind w:left="720"/>
      </w:pPr>
      <w:r>
        <w:rPr>
          <w:rFonts w:ascii="Courier New" w:cs="Courier New" w:eastAsia="Courier New" w:hAnsi="Courier New"/>
          <w:color w:val="1A5276"/>
          <w:sz w:val="18"/>
          <w:szCs w:val="18"/>
        </w:rPr>
        <w:t xml:space="preserve">  },</w:t>
      </w:r>
    </w:p>
    <w:p>
      <w:pPr>
        <w:spacing w:after="80"/>
        <w:ind w:left="720"/>
      </w:pPr>
      <w:r>
        <w:rPr>
          <w:rFonts w:ascii="Courier New" w:cs="Courier New" w:eastAsia="Courier New" w:hAnsi="Courier New"/>
          <w:color w:val="1A5276"/>
          <w:sz w:val="18"/>
          <w:szCs w:val="18"/>
        </w:rPr>
        <w:t xml:space="preserve">  "resolvedRefIds": {</w:t>
      </w:r>
    </w:p>
    <w:p>
      <w:pPr>
        <w:spacing w:after="80"/>
        <w:ind w:left="720"/>
      </w:pPr>
      <w:r>
        <w:rPr>
          <w:rFonts w:ascii="Courier New" w:cs="Courier New" w:eastAsia="Courier New" w:hAnsi="Courier New"/>
          <w:color w:val="1A5276"/>
          <w:sz w:val="18"/>
          <w:szCs w:val="18"/>
        </w:rPr>
        <w:t xml:space="preserve">    "ConductingEquipment_BaseVoltage": "_C4DF2F44-...",</w:t>
      </w:r>
    </w:p>
    <w:p>
      <w:pPr>
        <w:spacing w:after="80"/>
        <w:ind w:left="720"/>
      </w:pPr>
      <w:r>
        <w:rPr>
          <w:rFonts w:ascii="Courier New" w:cs="Courier New" w:eastAsia="Courier New" w:hAnsi="Courier New"/>
          <w:color w:val="1A5276"/>
          <w:sz w:val="18"/>
          <w:szCs w:val="18"/>
        </w:rPr>
        <w:t xml:space="preserve">    "Equipment_EquipmentContainer":    "_954b3205-..."</w:t>
      </w:r>
    </w:p>
    <w:p>
      <w:pPr>
        <w:spacing w:after="80"/>
        <w:ind w:left="720"/>
      </w:pPr>
      <w:r>
        <w:rPr>
          <w:rFonts w:ascii="Courier New" w:cs="Courier New" w:eastAsia="Courier New" w:hAnsi="Courier New"/>
          <w:color w:val="1A5276"/>
          <w:sz w:val="18"/>
          <w:szCs w:val="18"/>
        </w:rPr>
        <w:t xml:space="preserve">  },</w:t>
      </w:r>
    </w:p>
    <w:p>
      <w:pPr>
        <w:spacing w:after="80"/>
        <w:ind w:left="720"/>
      </w:pPr>
      <w:r>
        <w:rPr>
          <w:rFonts w:ascii="Courier New" w:cs="Courier New" w:eastAsia="Courier New" w:hAnsi="Courier New"/>
          <w:color w:val="1A5276"/>
          <w:sz w:val="18"/>
          <w:szCs w:val="18"/>
        </w:rPr>
        <w:t xml:space="preserve">  "references": { ... },</w:t>
      </w:r>
    </w:p>
    <w:p>
      <w:pPr>
        <w:spacing w:after="80"/>
        <w:ind w:left="720"/>
      </w:pPr>
      <w:r>
        <w:rPr>
          <w:rFonts w:ascii="Courier New" w:cs="Courier New" w:eastAsia="Courier New" w:hAnsi="Courier New"/>
          <w:color w:val="1A5276"/>
          <w:sz w:val="18"/>
          <w:szCs w:val="18"/>
        </w:rPr>
        <w:t xml:space="preserve">  "pathIssues": [ ... ],</w:t>
      </w:r>
    </w:p>
    <w:p>
      <w:pPr>
        <w:spacing w:after="80"/>
        <w:ind w:left="720"/>
      </w:pPr>
      <w:r>
        <w:rPr>
          <w:rFonts w:ascii="Courier New" w:cs="Courier New" w:eastAsia="Courier New" w:hAnsi="Courier New"/>
          <w:color w:val="1A5276"/>
          <w:sz w:val="18"/>
          <w:szCs w:val="18"/>
        </w:rPr>
        <w:t xml:space="preserve">  "createdAt": "2026-09-06T12:10:58Z"</w:t>
      </w:r>
    </w:p>
    <w:p>
      <w:pPr>
        <w:spacing w:after="80"/>
        <w:ind w:left="720"/>
      </w:pPr>
      <w:r>
        <w:rPr>
          <w:rFonts w:ascii="Courier New" w:cs="Courier New" w:eastAsia="Courier New" w:hAnsi="Courier New"/>
          <w:color w:val="1A5276"/>
          <w:sz w:val="18"/>
          <w:szCs w:val="18"/>
        </w:rPr>
        <w:t xml:space="preserve">}</w:t>
      </w:r>
    </w:p>
    <w:p>
      <w:pPr>
        <w:spacing w:after="160"/>
      </w:pPr>
    </w:p>
    <w:p>
      <w:r>
        <w:br w:type="page"/>
      </w:r>
    </w:p>
    <w:p>
      <w:pPr>
        <w:pStyle w:val="Heading1"/>
        <w:spacing w:after="200" w:before="400"/>
        <w:rPr>
          <w:b/>
          <w:bCs/>
          <w:color w:val="1F3F7B"/>
          <w:sz w:val="28"/>
          <w:szCs w:val="28"/>
        </w:rPr>
      </w:pPr>
      <w:r>
        <w:t xml:space="preserve">6. Path Validation</w:t>
      </w:r>
    </w:p>
    <w:p>
      <w:pPr>
        <w:pStyle w:val="Heading2"/>
        <w:spacing w:after="160" w:before="300"/>
        <w:rPr>
          <w:b/>
          <w:bCs/>
          <w:color w:val="2E86C1"/>
          <w:sz w:val="24"/>
          <w:szCs w:val="24"/>
        </w:rPr>
      </w:pPr>
      <w:r>
        <w:t xml:space="preserve">6.1 How Path Validation Works</w:t>
      </w:r>
    </w:p>
    <w:p>
      <w:pPr>
        <w:spacing w:after="120"/>
      </w:pPr>
      <w:r>
        <w:rPr>
          <w:color w:val="000000"/>
          <w:sz w:val="20"/>
          <w:szCs w:val="20"/>
        </w:rPr>
        <w:t xml:space="preserve">During Phase 1 parsing, each attribute tag is validated against the CIM OWL hierarchy. The attribute key (e.g. "IdentifiedObject.name") is checked to ensure the first part of the key ("IdentifiedObject") exists in the ancestor chain of the object's cimType.</w:t>
      </w:r>
    </w:p>
    <w:p>
      <w:pPr>
        <w:spacing w:after="160"/>
      </w:pPr>
    </w:p>
    <w:p>
      <w:pPr>
        <w:spacing w:after="120"/>
      </w:pPr>
      <w:r>
        <w:rPr>
          <w:b/>
          <w:bCs/>
          <w:color w:val="000000"/>
          <w:sz w:val="20"/>
          <w:szCs w:val="20"/>
        </w:rPr>
        <w:t xml:space="preserve">Validation result statuses: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00"/>
            <w:gridSpan w:val="1"/>
            <w:tcBorders>
              <w:top w:val="single" w:color="AAAAAA" w:sz="1"/>
              <w:left w:val="single" w:color="AAAAAA" w:sz="1"/>
              <w:bottom w:val="single" w:color="AAAAAA" w:sz="1"/>
              <w:right w:val="single" w:color="AAAAAA" w:sz="1"/>
            </w:tcBorders>
            <w:shd w:fill="1F3F7B" w:color="1F3F7B" w:val="clear"/>
            <w:tcMar>
              <w:top w:type="dxa" w:w="80"/>
              <w:left w:type="dxa" w:w="120"/>
              <w:bottom w:type="dxa" w:w="80"/>
              <w:right w:type="dxa" w:w="120"/>
            </w:tcMar>
            <w:vAlign w:val="center"/>
          </w:tcPr>
          <w:p>
            <w:pPr>
              <w:spacing w:after="60" w:before="60"/>
              <w:jc w:val="left"/>
            </w:pPr>
            <w:r>
              <w:rPr>
                <w:b/>
                <w:bCs/>
                <w:color w:val="FFFFFF"/>
                <w:sz w:val="18"/>
                <w:szCs w:val="18"/>
              </w:rPr>
              <w:t xml:space="preserve">Status</w:t>
            </w:r>
          </w:p>
        </w:tc>
        <w:tc>
          <w:tcPr>
            <w:tcW w:type="dxa" w:w="3000"/>
            <w:gridSpan w:val="1"/>
            <w:tcBorders>
              <w:top w:val="single" w:color="AAAAAA" w:sz="1"/>
              <w:left w:val="single" w:color="AAAAAA" w:sz="1"/>
              <w:bottom w:val="single" w:color="AAAAAA" w:sz="1"/>
              <w:right w:val="single" w:color="AAAAAA" w:sz="1"/>
            </w:tcBorders>
            <w:shd w:fill="1F3F7B" w:color="1F3F7B" w:val="clear"/>
            <w:tcMar>
              <w:top w:type="dxa" w:w="80"/>
              <w:left w:type="dxa" w:w="120"/>
              <w:bottom w:type="dxa" w:w="80"/>
              <w:right w:type="dxa" w:w="120"/>
            </w:tcMar>
            <w:vAlign w:val="center"/>
          </w:tcPr>
          <w:p>
            <w:pPr>
              <w:spacing w:after="60" w:before="60"/>
              <w:jc w:val="left"/>
            </w:pPr>
            <w:r>
              <w:rPr>
                <w:b/>
                <w:bCs/>
                <w:color w:val="FFFFFF"/>
                <w:sz w:val="18"/>
                <w:szCs w:val="18"/>
              </w:rPr>
              <w:t xml:space="preserve">Meaning</w:t>
            </w:r>
          </w:p>
        </w:tc>
        <w:tc>
          <w:tcPr>
            <w:tcW w:type="dxa" w:w="3600"/>
            <w:gridSpan w:val="1"/>
            <w:tcBorders>
              <w:top w:val="single" w:color="AAAAAA" w:sz="1"/>
              <w:left w:val="single" w:color="AAAAAA" w:sz="1"/>
              <w:bottom w:val="single" w:color="AAAAAA" w:sz="1"/>
              <w:right w:val="single" w:color="AAAAAA" w:sz="1"/>
            </w:tcBorders>
            <w:shd w:fill="1F3F7B" w:color="1F3F7B" w:val="clear"/>
            <w:tcMar>
              <w:top w:type="dxa" w:w="80"/>
              <w:left w:type="dxa" w:w="120"/>
              <w:bottom w:type="dxa" w:w="80"/>
              <w:right w:type="dxa" w:w="120"/>
            </w:tcMar>
            <w:vAlign w:val="center"/>
          </w:tcPr>
          <w:p>
            <w:pPr>
              <w:spacing w:after="60" w:before="60"/>
              <w:jc w:val="left"/>
            </w:pPr>
            <w:r>
              <w:rPr>
                <w:b/>
                <w:bCs/>
                <w:color w:val="FFFFFF"/>
                <w:sz w:val="18"/>
                <w:szCs w:val="18"/>
              </w:rPr>
              <w:t xml:space="preserve">Example</w:t>
            </w:r>
          </w:p>
        </w:tc>
      </w:tr>
      <w:tr>
        <w:tc>
          <w:tcPr>
            <w:tcW w:type="dxa" w:w="18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VALID</w:t>
            </w:r>
          </w:p>
        </w:tc>
        <w:tc>
          <w:tcPr>
            <w:tcW w:type="dxa" w:w="30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Attribute tag is in the class ancestry chain</w:t>
            </w:r>
          </w:p>
        </w:tc>
        <w:tc>
          <w:tcPr>
            <w:tcW w:type="dxa" w:w="36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"ACLineSegment.x" on ACLineSegment</w:t>
            </w:r>
          </w:p>
        </w:tc>
      </w:tr>
      <w:tr>
        <w:tc>
          <w:tcPr>
            <w:tcW w:type="dxa" w:w="18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INVALID_PATH</w:t>
            </w:r>
          </w:p>
        </w:tc>
        <w:tc>
          <w:tcPr>
            <w:tcW w:type="dxa" w:w="30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First part of tag not in ancestry chain</w:t>
            </w:r>
          </w:p>
        </w:tc>
        <w:tc>
          <w:tcPr>
            <w:tcW w:type="dxa" w:w="36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"IdentifiedObject.name" on HydroPowerPlant (before OWL fix)</w:t>
            </w:r>
          </w:p>
        </w:tc>
      </w:tr>
      <w:tr>
        <w:tc>
          <w:tcPr>
            <w:tcW w:type="dxa" w:w="18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UNKNOWN_TYPE</w:t>
            </w:r>
          </w:p>
        </w:tc>
        <w:tc>
          <w:tcPr>
            <w:tcW w:type="dxa" w:w="30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cimType not found in OWL hierarchy at all</w:t>
            </w:r>
          </w:p>
        </w:tc>
        <w:tc>
          <w:tcPr>
            <w:tcW w:type="dxa" w:w="36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Vendor-specific extension class</w:t>
            </w:r>
          </w:p>
        </w:tc>
      </w:tr>
      <w:tr>
        <w:tc>
          <w:tcPr>
            <w:tcW w:type="dxa" w:w="18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UNKNOWN_NAMESPACE</w:t>
            </w:r>
          </w:p>
        </w:tc>
        <w:tc>
          <w:tcPr>
            <w:tcW w:type="dxa" w:w="30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Namespace prefix not enabled for this org</w:t>
            </w:r>
          </w:p>
        </w:tc>
        <w:tc>
          <w:tcPr>
            <w:tcW w:type="dxa" w:w="36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"spc:Equipment.NAFlag" when spc not enabled</w:t>
            </w:r>
          </w:p>
        </w:tc>
      </w:tr>
      <w:tr>
        <w:tc>
          <w:tcPr>
            <w:tcW w:type="dxa" w:w="18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UNRESOLVED</w:t>
            </w:r>
          </w:p>
        </w:tc>
        <w:tc>
          <w:tcPr>
            <w:tcW w:type="dxa" w:w="30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Reference target rdfId not found in job scope</w:t>
            </w:r>
          </w:p>
        </w:tc>
        <w:tc>
          <w:tcPr>
            <w:tcW w:type="dxa" w:w="36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Cross-file reference not yet imported</w:t>
            </w:r>
          </w:p>
        </w:tc>
      </w:tr>
    </w:tbl>
    <w:p>
      <w:pPr>
        <w:spacing w:after="160"/>
      </w:pPr>
    </w:p>
    <w:p>
      <w:pPr>
        <w:pStyle w:val="Heading2"/>
        <w:spacing w:after="160" w:before="300"/>
        <w:rPr>
          <w:b/>
          <w:bCs/>
          <w:color w:val="2E86C1"/>
          <w:sz w:val="24"/>
          <w:szCs w:val="24"/>
        </w:rPr>
      </w:pPr>
      <w:r>
        <w:t xml:space="preserve">6.2 pathIssues Array</w:t>
      </w:r>
    </w:p>
    <w:p>
      <w:pPr>
        <w:spacing w:after="120"/>
      </w:pPr>
      <w:r>
        <w:rPr>
          <w:color w:val="000000"/>
          <w:sz w:val="20"/>
          <w:szCs w:val="20"/>
        </w:rPr>
        <w:t xml:space="preserve">Each validation failure is stored in the pathIssues array of the cim_objects document:</w:t>
      </w:r>
    </w:p>
    <w:p>
      <w:pPr>
        <w:spacing w:after="80"/>
        <w:ind w:left="720"/>
      </w:pPr>
      <w:r>
        <w:rPr>
          <w:rFonts w:ascii="Courier New" w:cs="Courier New" w:eastAsia="Courier New" w:hAnsi="Courier New"/>
          <w:color w:val="1A5276"/>
          <w:sz w:val="18"/>
          <w:szCs w:val="18"/>
        </w:rPr>
        <w:t xml:space="preserve">"pathIssues": [</w:t>
      </w:r>
    </w:p>
    <w:p>
      <w:pPr>
        <w:spacing w:after="80"/>
        <w:ind w:left="720"/>
      </w:pPr>
      <w:r>
        <w:rPr>
          <w:rFonts w:ascii="Courier New" w:cs="Courier New" w:eastAsia="Courier New" w:hAnsi="Courier New"/>
          <w:color w:val="1A5276"/>
          <w:sz w:val="18"/>
          <w:szCs w:val="18"/>
        </w:rPr>
        <w:t xml:space="preserve">  {</w:t>
      </w:r>
    </w:p>
    <w:p>
      <w:pPr>
        <w:spacing w:after="80"/>
        <w:ind w:left="720"/>
      </w:pPr>
      <w:r>
        <w:rPr>
          <w:rFonts w:ascii="Courier New" w:cs="Courier New" w:eastAsia="Courier New" w:hAnsi="Courier New"/>
          <w:color w:val="1A5276"/>
          <w:sz w:val="18"/>
          <w:szCs w:val="18"/>
        </w:rPr>
        <w:t xml:space="preserve">    "tag":         "IdentifiedObject.name",</w:t>
      </w:r>
    </w:p>
    <w:p>
      <w:pPr>
        <w:spacing w:after="80"/>
        <w:ind w:left="720"/>
      </w:pPr>
      <w:r>
        <w:rPr>
          <w:rFonts w:ascii="Courier New" w:cs="Courier New" w:eastAsia="Courier New" w:hAnsi="Courier New"/>
          <w:color w:val="1A5276"/>
          <w:sz w:val="18"/>
          <w:szCs w:val="18"/>
        </w:rPr>
        <w:t xml:space="preserve">    "status":      "INVALID_PATH",</w:t>
      </w:r>
    </w:p>
    <w:p>
      <w:pPr>
        <w:spacing w:after="80"/>
        <w:ind w:left="720"/>
      </w:pPr>
      <w:r>
        <w:rPr>
          <w:rFonts w:ascii="Courier New" w:cs="Courier New" w:eastAsia="Courier New" w:hAnsi="Courier New"/>
          <w:color w:val="1A5276"/>
          <w:sz w:val="18"/>
          <w:szCs w:val="18"/>
        </w:rPr>
        <w:t xml:space="preserve">    "explanation": "'IdentifiedObject' is NOT in the ancestry chain of 'HydroPowerPlant'"</w:t>
      </w:r>
    </w:p>
    <w:p>
      <w:pPr>
        <w:spacing w:after="80"/>
        <w:ind w:left="720"/>
      </w:pPr>
      <w:r>
        <w:rPr>
          <w:rFonts w:ascii="Courier New" w:cs="Courier New" w:eastAsia="Courier New" w:hAnsi="Courier New"/>
          <w:color w:val="1A5276"/>
          <w:sz w:val="18"/>
          <w:szCs w:val="18"/>
        </w:rPr>
        <w:t xml:space="preserve">  }</w:t>
      </w:r>
    </w:p>
    <w:p>
      <w:pPr>
        <w:spacing w:after="80"/>
        <w:ind w:left="720"/>
      </w:pPr>
      <w:r>
        <w:rPr>
          <w:rFonts w:ascii="Courier New" w:cs="Courier New" w:eastAsia="Courier New" w:hAnsi="Courier New"/>
          <w:color w:val="1A5276"/>
          <w:sz w:val="18"/>
          <w:szCs w:val="18"/>
        </w:rPr>
        <w:t xml:space="preserve">]</w:t>
      </w:r>
    </w:p>
    <w:p>
      <w:pPr>
        <w:spacing w:after="160"/>
      </w:pPr>
    </w:p>
    <w:p>
      <w:pPr>
        <w:pStyle w:val="Heading2"/>
        <w:spacing w:after="160" w:before="300"/>
        <w:rPr>
          <w:b/>
          <w:bCs/>
          <w:color w:val="2E86C1"/>
          <w:sz w:val="24"/>
          <w:szCs w:val="24"/>
        </w:rPr>
      </w:pPr>
      <w:r>
        <w:t xml:space="preserve">6.3 Re-Validation API</w:t>
      </w:r>
    </w:p>
    <w:p>
      <w:pPr>
        <w:spacing w:after="120"/>
      </w:pPr>
      <w:r>
        <w:rPr>
          <w:color w:val="000000"/>
          <w:sz w:val="20"/>
          <w:szCs w:val="20"/>
        </w:rPr>
        <w:t xml:space="preserve">After updating the OWL file or fixing BUILTIN_PARENTS, re-run validation on existing data without re-importing:</w:t>
      </w:r>
    </w:p>
    <w:p>
      <w:pPr>
        <w:spacing w:after="80"/>
        <w:ind w:left="720"/>
      </w:pPr>
      <w:r>
        <w:rPr>
          <w:rFonts w:ascii="Courier New" w:cs="Courier New" w:eastAsia="Courier New" w:hAnsi="Courier New"/>
          <w:color w:val="1A5276"/>
          <w:sz w:val="18"/>
          <w:szCs w:val="18"/>
        </w:rPr>
        <w:t xml:space="preserve">POST /api/admin/revalidate/{jobId}</w:t>
      </w:r>
    </w:p>
    <w:p>
      <w:pPr>
        <w:spacing w:after="160"/>
      </w:pPr>
    </w:p>
    <w:p>
      <w:r>
        <w:br w:type="page"/>
      </w:r>
    </w:p>
    <w:p>
      <w:pPr>
        <w:pStyle w:val="Heading1"/>
        <w:spacing w:after="200" w:before="400"/>
        <w:rPr>
          <w:b/>
          <w:bCs/>
          <w:color w:val="1F3F7B"/>
          <w:sz w:val="28"/>
          <w:szCs w:val="28"/>
        </w:rPr>
      </w:pPr>
      <w:r>
        <w:t xml:space="preserve">7. CIM Enrichment — Phase 3 Detail</w:t>
      </w:r>
    </w:p>
    <w:p>
      <w:pPr>
        <w:pStyle w:val="Heading2"/>
        <w:spacing w:after="160" w:before="300"/>
        <w:rPr>
          <w:b/>
          <w:bCs/>
          <w:color w:val="2E86C1"/>
          <w:sz w:val="24"/>
          <w:szCs w:val="24"/>
        </w:rPr>
      </w:pPr>
      <w:r>
        <w:t xml:space="preserve">7.1 Reference Chain Architecture</w:t>
      </w:r>
    </w:p>
    <w:p>
      <w:pPr>
        <w:spacing w:after="120"/>
      </w:pPr>
      <w:r>
        <w:rPr>
          <w:color w:val="000000"/>
          <w:sz w:val="20"/>
          <w:szCs w:val="20"/>
        </w:rPr>
        <w:t xml:space="preserve">CimEnrichmentService builds five in-memory lookup maps from MongoDB, then processes all cim_objects in pages of 500, walking the chains per object entirely in Java memory.</w:t>
      </w:r>
    </w:p>
    <w:p>
      <w:pPr>
        <w:spacing w:after="160"/>
      </w:pPr>
    </w:p>
    <w:p>
      <w:pPr>
        <w:pStyle w:val="Heading2"/>
        <w:spacing w:after="160" w:before="300"/>
        <w:rPr>
          <w:b/>
          <w:bCs/>
          <w:color w:val="2E86C1"/>
          <w:sz w:val="24"/>
          <w:szCs w:val="24"/>
        </w:rPr>
      </w:pPr>
      <w:r>
        <w:t xml:space="preserve">7.2 Lookup Maps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gridSpan w:val="1"/>
            <w:tcBorders>
              <w:top w:val="single" w:color="AAAAAA" w:sz="1"/>
              <w:left w:val="single" w:color="AAAAAA" w:sz="1"/>
              <w:bottom w:val="single" w:color="AAAAAA" w:sz="1"/>
              <w:right w:val="single" w:color="AAAAAA" w:sz="1"/>
            </w:tcBorders>
            <w:shd w:fill="1F3F7B" w:color="1F3F7B" w:val="clear"/>
            <w:tcMar>
              <w:top w:type="dxa" w:w="80"/>
              <w:left w:type="dxa" w:w="120"/>
              <w:bottom w:type="dxa" w:w="80"/>
              <w:right w:type="dxa" w:w="120"/>
            </w:tcMar>
            <w:vAlign w:val="center"/>
          </w:tcPr>
          <w:p>
            <w:pPr>
              <w:spacing w:after="60" w:before="60"/>
              <w:jc w:val="left"/>
            </w:pPr>
            <w:r>
              <w:rPr>
                <w:b/>
                <w:bCs/>
                <w:color w:val="FFFFFF"/>
                <w:sz w:val="18"/>
                <w:szCs w:val="18"/>
              </w:rPr>
              <w:t xml:space="preserve">Map</w:t>
            </w:r>
          </w:p>
        </w:tc>
        <w:tc>
          <w:tcPr>
            <w:tcW w:type="dxa" w:w="1800"/>
            <w:gridSpan w:val="1"/>
            <w:tcBorders>
              <w:top w:val="single" w:color="AAAAAA" w:sz="1"/>
              <w:left w:val="single" w:color="AAAAAA" w:sz="1"/>
              <w:bottom w:val="single" w:color="AAAAAA" w:sz="1"/>
              <w:right w:val="single" w:color="AAAAAA" w:sz="1"/>
            </w:tcBorders>
            <w:shd w:fill="1F3F7B" w:color="1F3F7B" w:val="clear"/>
            <w:tcMar>
              <w:top w:type="dxa" w:w="80"/>
              <w:left w:type="dxa" w:w="120"/>
              <w:bottom w:type="dxa" w:w="80"/>
              <w:right w:type="dxa" w:w="120"/>
            </w:tcMar>
            <w:vAlign w:val="center"/>
          </w:tcPr>
          <w:p>
            <w:pPr>
              <w:spacing w:after="60" w:before="60"/>
              <w:jc w:val="left"/>
            </w:pPr>
            <w:r>
              <w:rPr>
                <w:b/>
                <w:bCs/>
                <w:color w:val="FFFFFF"/>
                <w:sz w:val="18"/>
                <w:szCs w:val="18"/>
              </w:rPr>
              <w:t xml:space="preserve">Key</w:t>
            </w:r>
          </w:p>
        </w:tc>
        <w:tc>
          <w:tcPr>
            <w:tcW w:type="dxa" w:w="2000"/>
            <w:gridSpan w:val="1"/>
            <w:tcBorders>
              <w:top w:val="single" w:color="AAAAAA" w:sz="1"/>
              <w:left w:val="single" w:color="AAAAAA" w:sz="1"/>
              <w:bottom w:val="single" w:color="AAAAAA" w:sz="1"/>
              <w:right w:val="single" w:color="AAAAAA" w:sz="1"/>
            </w:tcBorders>
            <w:shd w:fill="1F3F7B" w:color="1F3F7B" w:val="clear"/>
            <w:tcMar>
              <w:top w:type="dxa" w:w="80"/>
              <w:left w:type="dxa" w:w="120"/>
              <w:bottom w:type="dxa" w:w="80"/>
              <w:right w:type="dxa" w:w="120"/>
            </w:tcMar>
            <w:vAlign w:val="center"/>
          </w:tcPr>
          <w:p>
            <w:pPr>
              <w:spacing w:after="60" w:before="60"/>
              <w:jc w:val="left"/>
            </w:pPr>
            <w:r>
              <w:rPr>
                <w:b/>
                <w:bCs/>
                <w:color w:val="FFFFFF"/>
                <w:sz w:val="18"/>
                <w:szCs w:val="18"/>
              </w:rPr>
              <w:t xml:space="preserve">Value</w:t>
            </w:r>
          </w:p>
        </w:tc>
        <w:tc>
          <w:tcPr>
            <w:tcW w:type="dxa" w:w="3400"/>
            <w:gridSpan w:val="1"/>
            <w:tcBorders>
              <w:top w:val="single" w:color="AAAAAA" w:sz="1"/>
              <w:left w:val="single" w:color="AAAAAA" w:sz="1"/>
              <w:bottom w:val="single" w:color="AAAAAA" w:sz="1"/>
              <w:right w:val="single" w:color="AAAAAA" w:sz="1"/>
            </w:tcBorders>
            <w:shd w:fill="1F3F7B" w:color="1F3F7B" w:val="clear"/>
            <w:tcMar>
              <w:top w:type="dxa" w:w="80"/>
              <w:left w:type="dxa" w:w="120"/>
              <w:bottom w:type="dxa" w:w="80"/>
              <w:right w:type="dxa" w:w="120"/>
            </w:tcMar>
            <w:vAlign w:val="center"/>
          </w:tcPr>
          <w:p>
            <w:pPr>
              <w:spacing w:after="60" w:before="60"/>
              <w:jc w:val="left"/>
            </w:pPr>
            <w:r>
              <w:rPr>
                <w:b/>
                <w:bCs/>
                <w:color w:val="FFFFFF"/>
                <w:sz w:val="18"/>
                <w:szCs w:val="18"/>
              </w:rPr>
              <w:t xml:space="preserve">Source Collection &amp; Key</w:t>
            </w:r>
          </w:p>
        </w:tc>
      </w:tr>
      <w:tr>
        <w:tc>
          <w:tcPr>
            <w:tcW w:type="dxa" w:w="12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bvMap</w:t>
            </w:r>
          </w:p>
        </w:tc>
        <w:tc>
          <w:tcPr>
            <w:tcW w:type="dxa" w:w="18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BaseVoltage rdfId or mrid</w:t>
            </w:r>
          </w:p>
        </w:tc>
        <w:tc>
          <w:tcPr>
            <w:tcW w:type="dxa" w:w="20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nominalVoltage string</w:t>
            </w:r>
          </w:p>
        </w:tc>
        <w:tc>
          <w:tcPr>
            <w:tcW w:type="dxa" w:w="34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cim_objects where cimType=BaseVoltage, attrs[BaseVoltage_nominalVoltage]</w:t>
            </w:r>
          </w:p>
        </w:tc>
      </w:tr>
      <w:tr>
        <w:tc>
          <w:tcPr>
            <w:tcW w:type="dxa" w:w="12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tByEquip</w:t>
            </w:r>
          </w:p>
        </w:tc>
        <w:tc>
          <w:tcPr>
            <w:tcW w:type="dxa" w:w="18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Equipment rdfId</w:t>
            </w:r>
          </w:p>
        </w:tc>
        <w:tc>
          <w:tcPr>
            <w:tcW w:type="dxa" w:w="20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List of Terminal rdfIds</w:t>
            </w:r>
          </w:p>
        </w:tc>
        <w:tc>
          <w:tcPr>
            <w:tcW w:type="dxa" w:w="34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Terminal.resolvedRefIds[Terminal_ConductingEquipment] — inverted</w:t>
            </w:r>
          </w:p>
        </w:tc>
      </w:tr>
      <w:tr>
        <w:tc>
          <w:tcPr>
            <w:tcW w:type="dxa" w:w="12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cnByT</w:t>
            </w:r>
          </w:p>
        </w:tc>
        <w:tc>
          <w:tcPr>
            <w:tcW w:type="dxa" w:w="18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Terminal rdfId</w:t>
            </w:r>
          </w:p>
        </w:tc>
        <w:tc>
          <w:tcPr>
            <w:tcW w:type="dxa" w:w="20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ConnectivityNode rdfId</w:t>
            </w:r>
          </w:p>
        </w:tc>
        <w:tc>
          <w:tcPr>
            <w:tcW w:type="dxa" w:w="34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Terminal.resolvedRefIds[Terminal_ConnectivityNode]</w:t>
            </w:r>
          </w:p>
        </w:tc>
      </w:tr>
      <w:tr>
        <w:tc>
          <w:tcPr>
            <w:tcW w:type="dxa" w:w="12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vlByCn</w:t>
            </w:r>
          </w:p>
        </w:tc>
        <w:tc>
          <w:tcPr>
            <w:tcW w:type="dxa" w:w="18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ConnectivityNode rdfId</w:t>
            </w:r>
          </w:p>
        </w:tc>
        <w:tc>
          <w:tcPr>
            <w:tcW w:type="dxa" w:w="20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VoltageLevel rdfId</w:t>
            </w:r>
          </w:p>
        </w:tc>
        <w:tc>
          <w:tcPr>
            <w:tcW w:type="dxa" w:w="34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ConnectivityNode.resolvedRefIds[ConnectivityNode_ConnectivityNodeContainer]</w:t>
            </w:r>
          </w:p>
        </w:tc>
      </w:tr>
      <w:tr>
        <w:tc>
          <w:tcPr>
            <w:tcW w:type="dxa" w:w="12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subByVl</w:t>
            </w:r>
          </w:p>
        </w:tc>
        <w:tc>
          <w:tcPr>
            <w:tcW w:type="dxa" w:w="18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VoltageLevel rdfId</w:t>
            </w:r>
          </w:p>
        </w:tc>
        <w:tc>
          <w:tcPr>
            <w:tcW w:type="dxa" w:w="20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SubInfo(rdfId, mrid, name)</w:t>
            </w:r>
          </w:p>
        </w:tc>
        <w:tc>
          <w:tcPr>
            <w:tcW w:type="dxa" w:w="34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VoltageLevel.resolvedRefIds[VoltageLevel_Substation] → Substation doc</w:t>
            </w:r>
          </w:p>
        </w:tc>
      </w:tr>
      <w:tr>
        <w:tc>
          <w:tcPr>
            <w:tcW w:type="dxa" w:w="12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vlBvMap</w:t>
            </w:r>
          </w:p>
        </w:tc>
        <w:tc>
          <w:tcPr>
            <w:tcW w:type="dxa" w:w="18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VoltageLevel rdfId</w:t>
            </w:r>
          </w:p>
        </w:tc>
        <w:tc>
          <w:tcPr>
            <w:tcW w:type="dxa" w:w="20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BaseVoltage rdfId</w:t>
            </w:r>
          </w:p>
        </w:tc>
        <w:tc>
          <w:tcPr>
            <w:tcW w:type="dxa" w:w="34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VoltageLevel.resolvedRefIds[VoltageLevel_BaseVoltage]</w:t>
            </w:r>
          </w:p>
        </w:tc>
      </w:tr>
      <w:tr>
        <w:tc>
          <w:tcPr>
            <w:tcW w:type="dxa" w:w="12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smByGu</w:t>
            </w:r>
          </w:p>
        </w:tc>
        <w:tc>
          <w:tcPr>
            <w:tcW w:type="dxa" w:w="18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GeneratingUnit rdfId</w:t>
            </w:r>
          </w:p>
        </w:tc>
        <w:tc>
          <w:tcPr>
            <w:tcW w:type="dxa" w:w="20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SynchronousMachine rdfId</w:t>
            </w:r>
          </w:p>
        </w:tc>
        <w:tc>
          <w:tcPr>
            <w:tcW w:type="dxa" w:w="34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SynchronousMachine.resolvedRefIds[SynchronousMachine_GeneratingUnit] — inverted</w:t>
            </w:r>
          </w:p>
        </w:tc>
      </w:tr>
    </w:tbl>
    <w:p>
      <w:pPr>
        <w:spacing w:after="160"/>
      </w:pPr>
    </w:p>
    <w:p>
      <w:pPr>
        <w:pStyle w:val="Heading2"/>
        <w:spacing w:after="160" w:before="300"/>
        <w:rPr>
          <w:b/>
          <w:bCs/>
          <w:color w:val="2E86C1"/>
          <w:sz w:val="24"/>
          <w:szCs w:val="24"/>
        </w:rPr>
      </w:pPr>
      <w:r>
        <w:t xml:space="preserve">7.3 nominalVoltage Chain</w:t>
      </w:r>
    </w:p>
    <w:p>
      <w:pPr>
        <w:pStyle w:val="Heading3"/>
        <w:spacing w:after="120" w:before="200"/>
        <w:rPr>
          <w:b/>
          <w:bCs/>
          <w:color w:val="1F3F7B"/>
          <w:sz w:val="22"/>
          <w:szCs w:val="22"/>
        </w:rPr>
      </w:pPr>
      <w:r>
        <w:t xml:space="preserve">Path 1 — Standard Equipment (ACLineSegment, Breaker, etc.)</w:t>
      </w:r>
    </w:p>
    <w:p>
      <w:pPr>
        <w:spacing w:after="80"/>
        <w:ind w:left="720"/>
      </w:pPr>
      <w:r>
        <w:rPr>
          <w:rFonts w:ascii="Courier New" w:cs="Courier New" w:eastAsia="Courier New" w:hAnsi="Courier New"/>
          <w:color w:val="1A5276"/>
          <w:sz w:val="18"/>
          <w:szCs w:val="18"/>
        </w:rPr>
        <w:t xml:space="preserve">Equipment.resolvedRefIds["ConductingEquipment_BaseVoltage"]</w:t>
      </w:r>
    </w:p>
    <w:p>
      <w:pPr>
        <w:spacing w:after="80"/>
        <w:ind w:left="720"/>
      </w:pPr>
      <w:r>
        <w:rPr>
          <w:rFonts w:ascii="Courier New" w:cs="Courier New" w:eastAsia="Courier New" w:hAnsi="Courier New"/>
          <w:color w:val="1A5276"/>
          <w:sz w:val="18"/>
          <w:szCs w:val="18"/>
        </w:rPr>
        <w:t xml:space="preserve">  → BaseVoltage.rdfId</w:t>
      </w:r>
    </w:p>
    <w:p>
      <w:pPr>
        <w:spacing w:after="80"/>
        <w:ind w:left="720"/>
      </w:pPr>
      <w:r>
        <w:rPr>
          <w:rFonts w:ascii="Courier New" w:cs="Courier New" w:eastAsia="Courier New" w:hAnsi="Courier New"/>
          <w:color w:val="1A5276"/>
          <w:sz w:val="18"/>
          <w:szCs w:val="18"/>
        </w:rPr>
        <w:t xml:space="preserve">  → bvMap.get(bvRdfId)</w:t>
      </w:r>
    </w:p>
    <w:p>
      <w:pPr>
        <w:spacing w:after="80"/>
        <w:ind w:left="720"/>
      </w:pPr>
      <w:r>
        <w:rPr>
          <w:rFonts w:ascii="Courier New" w:cs="Courier New" w:eastAsia="Courier New" w:hAnsi="Courier New"/>
          <w:color w:val="1A5276"/>
          <w:sz w:val="18"/>
          <w:szCs w:val="18"/>
        </w:rPr>
        <w:t xml:space="preserve">  → nominalVoltage written as: attributes["nominalVoltage"] = "66"</w:t>
      </w:r>
    </w:p>
    <w:p>
      <w:pPr>
        <w:spacing w:after="160"/>
      </w:pPr>
    </w:p>
    <w:p>
      <w:pPr>
        <w:pStyle w:val="Heading3"/>
        <w:spacing w:after="120" w:before="200"/>
        <w:rPr>
          <w:b/>
          <w:bCs/>
          <w:color w:val="1F3F7B"/>
          <w:sz w:val="22"/>
          <w:szCs w:val="22"/>
        </w:rPr>
      </w:pPr>
      <w:r>
        <w:t xml:space="preserve">Path 2 — GeneratingUnit (no direct BaseVoltage ref)</w:t>
      </w:r>
    </w:p>
    <w:p>
      <w:pPr>
        <w:spacing w:after="80"/>
        <w:ind w:left="720"/>
      </w:pPr>
      <w:r>
        <w:rPr>
          <w:rFonts w:ascii="Courier New" w:cs="Courier New" w:eastAsia="Courier New" w:hAnsi="Courier New"/>
          <w:color w:val="1A5276"/>
          <w:sz w:val="18"/>
          <w:szCs w:val="18"/>
        </w:rPr>
        <w:t xml:space="preserve">GeneratingUnit.rdfId</w:t>
      </w:r>
    </w:p>
    <w:p>
      <w:pPr>
        <w:spacing w:after="80"/>
        <w:ind w:left="720"/>
      </w:pPr>
      <w:r>
        <w:rPr>
          <w:rFonts w:ascii="Courier New" w:cs="Courier New" w:eastAsia="Courier New" w:hAnsi="Courier New"/>
          <w:color w:val="1A5276"/>
          <w:sz w:val="18"/>
          <w:szCs w:val="18"/>
        </w:rPr>
        <w:t xml:space="preserve">  → smByGu.get(guRdfId) → SynchronousMachine.rdfId</w:t>
      </w:r>
    </w:p>
    <w:p>
      <w:pPr>
        <w:spacing w:after="80"/>
        <w:ind w:left="720"/>
      </w:pPr>
      <w:r>
        <w:rPr>
          <w:rFonts w:ascii="Courier New" w:cs="Courier New" w:eastAsia="Courier New" w:hAnsi="Courier New"/>
          <w:color w:val="1A5276"/>
          <w:sz w:val="18"/>
          <w:szCs w:val="18"/>
        </w:rPr>
        <w:t xml:space="preserve">  → tByEquip.get(smRdfId) → [terminalRdfId1, ...]</w:t>
      </w:r>
    </w:p>
    <w:p>
      <w:pPr>
        <w:spacing w:after="80"/>
        <w:ind w:left="720"/>
      </w:pPr>
      <w:r>
        <w:rPr>
          <w:rFonts w:ascii="Courier New" w:cs="Courier New" w:eastAsia="Courier New" w:hAnsi="Courier New"/>
          <w:color w:val="1A5276"/>
          <w:sz w:val="18"/>
          <w:szCs w:val="18"/>
        </w:rPr>
        <w:t xml:space="preserve">  → cnByT.get(terminalRdfId) → ConnectivityNode.rdfId</w:t>
      </w:r>
    </w:p>
    <w:p>
      <w:pPr>
        <w:spacing w:after="80"/>
        <w:ind w:left="720"/>
      </w:pPr>
      <w:r>
        <w:rPr>
          <w:rFonts w:ascii="Courier New" w:cs="Courier New" w:eastAsia="Courier New" w:hAnsi="Courier New"/>
          <w:color w:val="1A5276"/>
          <w:sz w:val="18"/>
          <w:szCs w:val="18"/>
        </w:rPr>
        <w:t xml:space="preserve">  → vlByCn.get(cnRdfId) → VoltageLevel.rdfId</w:t>
      </w:r>
    </w:p>
    <w:p>
      <w:pPr>
        <w:spacing w:after="80"/>
        <w:ind w:left="720"/>
      </w:pPr>
      <w:r>
        <w:rPr>
          <w:rFonts w:ascii="Courier New" w:cs="Courier New" w:eastAsia="Courier New" w:hAnsi="Courier New"/>
          <w:color w:val="1A5276"/>
          <w:sz w:val="18"/>
          <w:szCs w:val="18"/>
        </w:rPr>
        <w:t xml:space="preserve">  → vlBvMap.get(vlRdfId) → BaseVoltage.rdfId</w:t>
      </w:r>
    </w:p>
    <w:p>
      <w:pPr>
        <w:spacing w:after="80"/>
        <w:ind w:left="720"/>
      </w:pPr>
      <w:r>
        <w:rPr>
          <w:rFonts w:ascii="Courier New" w:cs="Courier New" w:eastAsia="Courier New" w:hAnsi="Courier New"/>
          <w:color w:val="1A5276"/>
          <w:sz w:val="18"/>
          <w:szCs w:val="18"/>
        </w:rPr>
        <w:t xml:space="preserve">  → bvMap.get(bvRdfId) → "13.8"</w:t>
      </w:r>
    </w:p>
    <w:p>
      <w:pPr>
        <w:spacing w:after="160"/>
      </w:pPr>
    </w:p>
    <w:p>
      <w:pPr>
        <w:pStyle w:val="Heading2"/>
        <w:spacing w:after="160" w:before="300"/>
        <w:rPr>
          <w:b/>
          <w:bCs/>
          <w:color w:val="2E86C1"/>
          <w:sz w:val="24"/>
          <w:szCs w:val="24"/>
        </w:rPr>
      </w:pPr>
      <w:r>
        <w:t xml:space="preserve">7.4 Substation / SGR / GR Chain</w:t>
      </w:r>
    </w:p>
    <w:p>
      <w:pPr>
        <w:spacing w:after="80"/>
        <w:ind w:left="720"/>
      </w:pPr>
      <w:r>
        <w:rPr>
          <w:rFonts w:ascii="Courier New" w:cs="Courier New" w:eastAsia="Courier New" w:hAnsi="Courier New"/>
          <w:color w:val="1A5276"/>
          <w:sz w:val="18"/>
          <w:szCs w:val="18"/>
        </w:rPr>
        <w:t xml:space="preserve">Equipment.rdfId</w:t>
      </w:r>
    </w:p>
    <w:p>
      <w:pPr>
        <w:spacing w:after="80"/>
        <w:ind w:left="720"/>
      </w:pPr>
      <w:r>
        <w:rPr>
          <w:rFonts w:ascii="Courier New" w:cs="Courier New" w:eastAsia="Courier New" w:hAnsi="Courier New"/>
          <w:color w:val="1A5276"/>
          <w:sz w:val="18"/>
          <w:szCs w:val="18"/>
        </w:rPr>
        <w:t xml:space="preserve">  → tByEquip.get(rdfId) → [terminalRdfId1, terminalRdfId2, ...]</w:t>
      </w:r>
    </w:p>
    <w:p>
      <w:pPr>
        <w:spacing w:after="80"/>
        <w:ind w:left="720"/>
      </w:pPr>
      <w:r>
        <w:rPr>
          <w:rFonts w:ascii="Courier New" w:cs="Courier New" w:eastAsia="Courier New" w:hAnsi="Courier New"/>
          <w:color w:val="1A5276"/>
          <w:sz w:val="18"/>
          <w:szCs w:val="18"/>
        </w:rPr>
        <w:t xml:space="preserve">  → cnByT.get(terminalRdfId) → ConnectivityNode.rdfId</w:t>
      </w:r>
    </w:p>
    <w:p>
      <w:pPr>
        <w:spacing w:after="80"/>
        <w:ind w:left="720"/>
      </w:pPr>
      <w:r>
        <w:rPr>
          <w:rFonts w:ascii="Courier New" w:cs="Courier New" w:eastAsia="Courier New" w:hAnsi="Courier New"/>
          <w:color w:val="1A5276"/>
          <w:sz w:val="18"/>
          <w:szCs w:val="18"/>
        </w:rPr>
        <w:t xml:space="preserve">  → vlByCn.get(cnRdfId) → VoltageLevel.rdfId</w:t>
      </w:r>
    </w:p>
    <w:p>
      <w:pPr>
        <w:spacing w:after="80"/>
        <w:ind w:left="720"/>
      </w:pPr>
      <w:r>
        <w:rPr>
          <w:rFonts w:ascii="Courier New" w:cs="Courier New" w:eastAsia="Courier New" w:hAnsi="Courier New"/>
          <w:color w:val="1A5276"/>
          <w:sz w:val="18"/>
          <w:szCs w:val="18"/>
        </w:rPr>
        <w:t xml:space="preserve">  → subByVl.get(vlRdfId) → SubInfo(rdfId, mrid, name)</w:t>
      </w:r>
    </w:p>
    <w:p>
      <w:pPr>
        <w:spacing w:after="80"/>
        <w:ind w:left="720"/>
      </w:pPr>
      <w:r>
        <w:rPr>
          <w:rFonts w:ascii="Courier New" w:cs="Courier New" w:eastAsia="Courier New" w:hAnsi="Courier New"/>
          <w:color w:val="1A5276"/>
          <w:sz w:val="18"/>
          <w:szCs w:val="18"/>
        </w:rPr>
        <w:t xml:space="preserve">  → SubInfo.sgrMrid, SubInfo.sgrName (from enrichSubInfoWithRegions)</w:t>
      </w:r>
    </w:p>
    <w:p>
      <w:pPr>
        <w:spacing w:after="80"/>
        <w:ind w:left="720"/>
      </w:pPr>
      <w:r>
        <w:rPr>
          <w:rFonts w:ascii="Courier New" w:cs="Courier New" w:eastAsia="Courier New" w:hAnsi="Courier New"/>
          <w:color w:val="1A5276"/>
          <w:sz w:val="18"/>
          <w:szCs w:val="18"/>
        </w:rPr>
        <w:t xml:space="preserve">  → SubInfo.grMrid, SubInfo.grName (from enrichSubInfoWithRegions)</w:t>
      </w:r>
    </w:p>
    <w:p>
      <w:pPr>
        <w:spacing w:after="160"/>
      </w:pPr>
    </w:p>
    <w:p>
      <w:pPr>
        <w:pStyle w:val="Heading2"/>
        <w:spacing w:after="160" w:before="300"/>
        <w:rPr>
          <w:b/>
          <w:bCs/>
          <w:color w:val="2E86C1"/>
          <w:sz w:val="24"/>
          <w:szCs w:val="24"/>
        </w:rPr>
      </w:pPr>
      <w:r>
        <w:t xml:space="preserve">7.5 SGR and GR Resolution</w:t>
      </w:r>
    </w:p>
    <w:p>
      <w:pPr>
        <w:spacing w:after="120"/>
      </w:pPr>
      <w:r>
        <w:rPr>
          <w:color w:val="000000"/>
          <w:sz w:val="20"/>
          <w:szCs w:val="20"/>
        </w:rPr>
        <w:t xml:space="preserve">enrichWithRegions() extends SubInfo objects with SGR and GR data:</w:t>
      </w:r>
    </w:p>
    <w:p>
      <w:pPr>
        <w:pStyle w:val="ListParagraph"/>
        <w:numPr>
          <w:ilvl w:val="0"/>
          <w:numId w:val="1"/>
        </w:numPr>
        <w:spacing w:after="80"/>
      </w:pPr>
      <w:r>
        <w:rPr>
          <w:sz w:val="20"/>
          <w:szCs w:val="20"/>
        </w:rPr>
        <w:t xml:space="preserve">Substation.resolvedRefIds["Substation_Region"] → SGR mrid (queried by mrid field, not rdfId — SGR rdfId may be ObjectId)</w:t>
      </w:r>
    </w:p>
    <w:p>
      <w:pPr>
        <w:pStyle w:val="ListParagraph"/>
        <w:numPr>
          <w:ilvl w:val="0"/>
          <w:numId w:val="1"/>
        </w:numPr>
        <w:spacing w:after="80"/>
      </w:pPr>
      <w:r>
        <w:rPr>
          <w:sz w:val="20"/>
          <w:szCs w:val="20"/>
        </w:rPr>
        <w:t xml:space="preserve">SubGeographicalRegion.resolvedRefIds["SubGeographicalRegion_Region"] → GR rdfId or mrid</w:t>
      </w:r>
    </w:p>
    <w:p>
      <w:pPr>
        <w:pStyle w:val="ListParagraph"/>
        <w:numPr>
          <w:ilvl w:val="0"/>
          <w:numId w:val="1"/>
        </w:numPr>
        <w:spacing w:after="80"/>
      </w:pPr>
      <w:r>
        <w:rPr>
          <w:sz w:val="20"/>
          <w:szCs w:val="20"/>
        </w:rPr>
        <w:t xml:space="preserve">GeographicalRegion queried by rdfId OR mrid ($or query) for maximum compatibility</w:t>
      </w:r>
    </w:p>
    <w:p>
      <w:pPr>
        <w:spacing w:after="160"/>
      </w:pPr>
    </w:p>
    <w:p>
      <w:pPr>
        <w:pStyle w:val="Heading2"/>
        <w:spacing w:after="160" w:before="300"/>
        <w:rPr>
          <w:b/>
          <w:bCs/>
          <w:color w:val="2E86C1"/>
          <w:sz w:val="24"/>
          <w:szCs w:val="24"/>
        </w:rPr>
      </w:pPr>
      <w:r>
        <w:t xml:space="preserve">7.6 Property Naming Convention</w:t>
      </w:r>
    </w:p>
    <w:p>
      <w:pPr>
        <w:spacing w:after="120"/>
      </w:pPr>
      <w:r>
        <w:rPr>
          <w:color w:val="000000"/>
          <w:sz w:val="20"/>
          <w:szCs w:val="20"/>
        </w:rPr>
        <w:t xml:space="preserve">Single substation per node (most equipment):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gridSpan w:val="1"/>
            <w:tcBorders>
              <w:top w:val="single" w:color="AAAAAA" w:sz="1"/>
              <w:left w:val="single" w:color="AAAAAA" w:sz="1"/>
              <w:bottom w:val="single" w:color="AAAAAA" w:sz="1"/>
              <w:right w:val="single" w:color="AAAAAA" w:sz="1"/>
            </w:tcBorders>
            <w:shd w:fill="1F3F7B" w:color="1F3F7B" w:val="clear"/>
            <w:tcMar>
              <w:top w:type="dxa" w:w="80"/>
              <w:left w:type="dxa" w:w="120"/>
              <w:bottom w:type="dxa" w:w="80"/>
              <w:right w:type="dxa" w:w="120"/>
            </w:tcMar>
            <w:vAlign w:val="center"/>
          </w:tcPr>
          <w:p>
            <w:pPr>
              <w:spacing w:after="60" w:before="60"/>
              <w:jc w:val="left"/>
            </w:pPr>
            <w:r>
              <w:rPr>
                <w:b/>
                <w:bCs/>
                <w:color w:val="FFFFFF"/>
                <w:sz w:val="18"/>
                <w:szCs w:val="18"/>
              </w:rPr>
              <w:t xml:space="preserve">Property</w:t>
            </w:r>
          </w:p>
        </w:tc>
        <w:tc>
          <w:tcPr>
            <w:tcW w:type="dxa" w:w="5400"/>
            <w:gridSpan w:val="1"/>
            <w:tcBorders>
              <w:top w:val="single" w:color="AAAAAA" w:sz="1"/>
              <w:left w:val="single" w:color="AAAAAA" w:sz="1"/>
              <w:bottom w:val="single" w:color="AAAAAA" w:sz="1"/>
              <w:right w:val="single" w:color="AAAAAA" w:sz="1"/>
            </w:tcBorders>
            <w:shd w:fill="1F3F7B" w:color="1F3F7B" w:val="clear"/>
            <w:tcMar>
              <w:top w:type="dxa" w:w="80"/>
              <w:left w:type="dxa" w:w="120"/>
              <w:bottom w:type="dxa" w:w="80"/>
              <w:right w:type="dxa" w:w="120"/>
            </w:tcMar>
            <w:vAlign w:val="center"/>
          </w:tcPr>
          <w:p>
            <w:pPr>
              <w:spacing w:after="60" w:before="60"/>
              <w:jc w:val="left"/>
            </w:pPr>
            <w:r>
              <w:rPr>
                <w:b/>
                <w:bCs/>
                <w:color w:val="FFFFFF"/>
                <w:sz w:val="18"/>
                <w:szCs w:val="18"/>
              </w:rPr>
              <w:t xml:space="preserve">Example Value</w:t>
            </w:r>
          </w:p>
        </w:tc>
      </w:tr>
      <w:tr>
        <w:tc>
          <w:tcPr>
            <w:tcW w:type="dxa" w:w="30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nominalVoltage</w:t>
            </w:r>
          </w:p>
        </w:tc>
        <w:tc>
          <w:tcPr>
            <w:tcW w:type="dxa" w:w="54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66</w:t>
            </w:r>
          </w:p>
        </w:tc>
      </w:tr>
      <w:tr>
        <w:tc>
          <w:tcPr>
            <w:tcW w:type="dxa" w:w="30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substationMrid</w:t>
            </w:r>
          </w:p>
        </w:tc>
        <w:tc>
          <w:tcPr>
            <w:tcW w:type="dxa" w:w="54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Substation_989</w:t>
            </w:r>
          </w:p>
        </w:tc>
      </w:tr>
      <w:tr>
        <w:tc>
          <w:tcPr>
            <w:tcW w:type="dxa" w:w="30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substationName</w:t>
            </w:r>
          </w:p>
        </w:tc>
        <w:tc>
          <w:tcPr>
            <w:tcW w:type="dxa" w:w="54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CALCME</w:t>
            </w:r>
          </w:p>
        </w:tc>
      </w:tr>
      <w:tr>
        <w:tc>
          <w:tcPr>
            <w:tcW w:type="dxa" w:w="30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subGeographicalRegionMrid</w:t>
            </w:r>
          </w:p>
        </w:tc>
        <w:tc>
          <w:tcPr>
            <w:tcW w:type="dxa" w:w="54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SubControlArea_4</w:t>
            </w:r>
          </w:p>
        </w:tc>
      </w:tr>
      <w:tr>
        <w:tc>
          <w:tcPr>
            <w:tcW w:type="dxa" w:w="30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subGeographicalRegionName</w:t>
            </w:r>
          </w:p>
        </w:tc>
        <w:tc>
          <w:tcPr>
            <w:tcW w:type="dxa" w:w="54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GRID-81</w:t>
            </w:r>
          </w:p>
        </w:tc>
      </w:tr>
      <w:tr>
        <w:tc>
          <w:tcPr>
            <w:tcW w:type="dxa" w:w="30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geographicalRegionMrid</w:t>
            </w:r>
          </w:p>
        </w:tc>
        <w:tc>
          <w:tcPr>
            <w:tcW w:type="dxa" w:w="54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f0eed0ca-8264-...</w:t>
            </w:r>
          </w:p>
        </w:tc>
      </w:tr>
      <w:tr>
        <w:tc>
          <w:tcPr>
            <w:tcW w:type="dxa" w:w="30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geographicalRegionName</w:t>
            </w:r>
          </w:p>
        </w:tc>
        <w:tc>
          <w:tcPr>
            <w:tcW w:type="dxa" w:w="54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GRID</w:t>
            </w:r>
          </w:p>
        </w:tc>
      </w:tr>
    </w:tbl>
    <w:p>
      <w:pPr>
        <w:spacing w:after="160"/>
      </w:pPr>
    </w:p>
    <w:p>
      <w:pPr>
        <w:spacing w:after="120"/>
      </w:pPr>
      <w:r>
        <w:rPr>
          <w:color w:val="000000"/>
          <w:sz w:val="20"/>
          <w:szCs w:val="20"/>
        </w:rPr>
        <w:t xml:space="preserve">Multiple substations — alphabetic suffix (B, C, ... starting from second):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gridSpan w:val="1"/>
            <w:tcBorders>
              <w:top w:val="single" w:color="AAAAAA" w:sz="1"/>
              <w:left w:val="single" w:color="AAAAAA" w:sz="1"/>
              <w:bottom w:val="single" w:color="AAAAAA" w:sz="1"/>
              <w:right w:val="single" w:color="AAAAAA" w:sz="1"/>
            </w:tcBorders>
            <w:shd w:fill="1F3F7B" w:color="1F3F7B" w:val="clear"/>
            <w:tcMar>
              <w:top w:type="dxa" w:w="80"/>
              <w:left w:type="dxa" w:w="120"/>
              <w:bottom w:type="dxa" w:w="80"/>
              <w:right w:type="dxa" w:w="120"/>
            </w:tcMar>
            <w:vAlign w:val="center"/>
          </w:tcPr>
          <w:p>
            <w:pPr>
              <w:spacing w:after="60" w:before="60"/>
              <w:jc w:val="left"/>
            </w:pPr>
            <w:r>
              <w:rPr>
                <w:b/>
                <w:bCs/>
                <w:color w:val="FFFFFF"/>
                <w:sz w:val="18"/>
                <w:szCs w:val="18"/>
              </w:rPr>
              <w:t xml:space="preserve">Property</w:t>
            </w:r>
          </w:p>
        </w:tc>
        <w:tc>
          <w:tcPr>
            <w:tcW w:type="dxa" w:w="2800"/>
            <w:gridSpan w:val="1"/>
            <w:tcBorders>
              <w:top w:val="single" w:color="AAAAAA" w:sz="1"/>
              <w:left w:val="single" w:color="AAAAAA" w:sz="1"/>
              <w:bottom w:val="single" w:color="AAAAAA" w:sz="1"/>
              <w:right w:val="single" w:color="AAAAAA" w:sz="1"/>
            </w:tcBorders>
            <w:shd w:fill="1F3F7B" w:color="1F3F7B" w:val="clear"/>
            <w:tcMar>
              <w:top w:type="dxa" w:w="80"/>
              <w:left w:type="dxa" w:w="120"/>
              <w:bottom w:type="dxa" w:w="80"/>
              <w:right w:type="dxa" w:w="120"/>
            </w:tcMar>
            <w:vAlign w:val="center"/>
          </w:tcPr>
          <w:p>
            <w:pPr>
              <w:spacing w:after="60" w:before="60"/>
              <w:jc w:val="left"/>
            </w:pPr>
            <w:r>
              <w:rPr>
                <w:b/>
                <w:bCs/>
                <w:color w:val="FFFFFF"/>
                <w:sz w:val="18"/>
                <w:szCs w:val="18"/>
              </w:rPr>
              <w:t xml:space="preserve">Example Value</w:t>
            </w:r>
          </w:p>
        </w:tc>
        <w:tc>
          <w:tcPr>
            <w:tcW w:type="dxa" w:w="2800"/>
            <w:gridSpan w:val="1"/>
            <w:tcBorders>
              <w:top w:val="single" w:color="AAAAAA" w:sz="1"/>
              <w:left w:val="single" w:color="AAAAAA" w:sz="1"/>
              <w:bottom w:val="single" w:color="AAAAAA" w:sz="1"/>
              <w:right w:val="single" w:color="AAAAAA" w:sz="1"/>
            </w:tcBorders>
            <w:shd w:fill="1F3F7B" w:color="1F3F7B" w:val="clear"/>
            <w:tcMar>
              <w:top w:type="dxa" w:w="80"/>
              <w:left w:type="dxa" w:w="120"/>
              <w:bottom w:type="dxa" w:w="80"/>
              <w:right w:type="dxa" w:w="120"/>
            </w:tcMar>
            <w:vAlign w:val="center"/>
          </w:tcPr>
          <w:p>
            <w:pPr>
              <w:spacing w:after="60" w:before="60"/>
              <w:jc w:val="left"/>
            </w:pPr>
            <w:r>
              <w:rPr>
                <w:b/>
                <w:bCs/>
                <w:color w:val="FFFFFF"/>
                <w:sz w:val="18"/>
                <w:szCs w:val="18"/>
              </w:rPr>
              <w:t xml:space="preserve">Notes</w:t>
            </w:r>
          </w:p>
        </w:tc>
      </w:tr>
      <w:tr>
        <w:tc>
          <w:tcPr>
            <w:tcW w:type="dxa" w:w="28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substationMrid</w:t>
            </w:r>
          </w:p>
        </w:tc>
        <w:tc>
          <w:tcPr>
            <w:tcW w:type="dxa" w:w="28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Substation_989</w:t>
            </w:r>
          </w:p>
        </w:tc>
        <w:tc>
          <w:tcPr>
            <w:tcW w:type="dxa" w:w="28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First substation — no suffix</w:t>
            </w:r>
          </w:p>
        </w:tc>
      </w:tr>
      <w:tr>
        <w:tc>
          <w:tcPr>
            <w:tcW w:type="dxa" w:w="28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substationName</w:t>
            </w:r>
          </w:p>
        </w:tc>
        <w:tc>
          <w:tcPr>
            <w:tcW w:type="dxa" w:w="28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CALCME</w:t>
            </w:r>
          </w:p>
        </w:tc>
        <w:tc>
          <w:tcPr>
            <w:tcW w:type="dxa" w:w="28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
            </w:r>
          </w:p>
        </w:tc>
      </w:tr>
      <w:tr>
        <w:tc>
          <w:tcPr>
            <w:tcW w:type="dxa" w:w="28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substationMridB</w:t>
            </w:r>
          </w:p>
        </w:tc>
        <w:tc>
          <w:tcPr>
            <w:tcW w:type="dxa" w:w="28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Substation_1519</w:t>
            </w:r>
          </w:p>
        </w:tc>
        <w:tc>
          <w:tcPr>
            <w:tcW w:type="dxa" w:w="28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Second substation — suffix B</w:t>
            </w:r>
          </w:p>
        </w:tc>
      </w:tr>
      <w:tr>
        <w:tc>
          <w:tcPr>
            <w:tcW w:type="dxa" w:w="28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substationNameB</w:t>
            </w:r>
          </w:p>
        </w:tc>
        <w:tc>
          <w:tcPr>
            <w:tcW w:type="dxa" w:w="28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OAKWD</w:t>
            </w:r>
          </w:p>
        </w:tc>
        <w:tc>
          <w:tcPr>
            <w:tcW w:type="dxa" w:w="28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
            </w:r>
          </w:p>
        </w:tc>
      </w:tr>
      <w:tr>
        <w:tc>
          <w:tcPr>
            <w:tcW w:type="dxa" w:w="28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subGeographicalRegionMrid</w:t>
            </w:r>
          </w:p>
        </w:tc>
        <w:tc>
          <w:tcPr>
            <w:tcW w:type="dxa" w:w="28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SubControlArea_4</w:t>
            </w:r>
          </w:p>
        </w:tc>
        <w:tc>
          <w:tcPr>
            <w:tcW w:type="dxa" w:w="28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SGR deduplicated — written once if same SGR</w:t>
            </w:r>
          </w:p>
        </w:tc>
      </w:tr>
      <w:tr>
        <w:tc>
          <w:tcPr>
            <w:tcW w:type="dxa" w:w="28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subGeographicalRegionMridB</w:t>
            </w:r>
          </w:p>
        </w:tc>
        <w:tc>
          <w:tcPr>
            <w:tcW w:type="dxa" w:w="28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SubControlArea_7</w:t>
            </w:r>
          </w:p>
        </w:tc>
        <w:tc>
          <w:tcPr>
            <w:tcW w:type="dxa" w:w="28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Only if genuinely different SGR</w:t>
            </w:r>
          </w:p>
        </w:tc>
      </w:tr>
    </w:tbl>
    <w:p>
      <w:pPr>
        <w:spacing w:after="160"/>
      </w:pPr>
    </w:p>
    <w:p>
      <w:pPr>
        <w:pStyle w:val="Heading2"/>
        <w:spacing w:after="160" w:before="300"/>
        <w:rPr>
          <w:b/>
          <w:bCs/>
          <w:color w:val="2E86C1"/>
          <w:sz w:val="24"/>
          <w:szCs w:val="24"/>
        </w:rPr>
      </w:pPr>
      <w:r>
        <w:t xml:space="preserve">7.7 Skipped CIM Types</w:t>
      </w:r>
    </w:p>
    <w:p>
      <w:pPr>
        <w:spacing w:after="120"/>
      </w:pPr>
      <w:r>
        <w:rPr>
          <w:color w:val="000000"/>
          <w:sz w:val="20"/>
          <w:szCs w:val="20"/>
        </w:rPr>
        <w:t xml:space="preserve">ACLineSegment and PowerTransformer are skipped for substation/SGR/GR enrichment because they span multiple substations and a single substation value would be misleading. nominalVoltage IS written for these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gridSpan w:val="1"/>
            <w:tcBorders>
              <w:top w:val="single" w:color="AAAAAA" w:sz="1"/>
              <w:left w:val="single" w:color="AAAAAA" w:sz="1"/>
              <w:bottom w:val="single" w:color="AAAAAA" w:sz="1"/>
              <w:right w:val="single" w:color="AAAAAA" w:sz="1"/>
            </w:tcBorders>
            <w:shd w:fill="1F3F7B" w:color="1F3F7B" w:val="clear"/>
            <w:tcMar>
              <w:top w:type="dxa" w:w="80"/>
              <w:left w:type="dxa" w:w="120"/>
              <w:bottom w:type="dxa" w:w="80"/>
              <w:right w:type="dxa" w:w="120"/>
            </w:tcMar>
            <w:vAlign w:val="center"/>
          </w:tcPr>
          <w:p>
            <w:pPr>
              <w:spacing w:after="60" w:before="60"/>
              <w:jc w:val="left"/>
            </w:pPr>
            <w:r>
              <w:rPr>
                <w:b/>
                <w:bCs/>
                <w:color w:val="FFFFFF"/>
                <w:sz w:val="18"/>
                <w:szCs w:val="18"/>
              </w:rPr>
              <w:t xml:space="preserve">CIM Type</w:t>
            </w:r>
          </w:p>
        </w:tc>
        <w:tc>
          <w:tcPr>
            <w:tcW w:type="dxa" w:w="1600"/>
            <w:gridSpan w:val="1"/>
            <w:tcBorders>
              <w:top w:val="single" w:color="AAAAAA" w:sz="1"/>
              <w:left w:val="single" w:color="AAAAAA" w:sz="1"/>
              <w:bottom w:val="single" w:color="AAAAAA" w:sz="1"/>
              <w:right w:val="single" w:color="AAAAAA" w:sz="1"/>
            </w:tcBorders>
            <w:shd w:fill="1F3F7B" w:color="1F3F7B" w:val="clear"/>
            <w:tcMar>
              <w:top w:type="dxa" w:w="80"/>
              <w:left w:type="dxa" w:w="120"/>
              <w:bottom w:type="dxa" w:w="80"/>
              <w:right w:type="dxa" w:w="120"/>
            </w:tcMar>
            <w:vAlign w:val="center"/>
          </w:tcPr>
          <w:p>
            <w:pPr>
              <w:spacing w:after="60" w:before="60"/>
              <w:jc w:val="left"/>
            </w:pPr>
            <w:r>
              <w:rPr>
                <w:b/>
                <w:bCs/>
                <w:color w:val="FFFFFF"/>
                <w:sz w:val="18"/>
                <w:szCs w:val="18"/>
              </w:rPr>
              <w:t xml:space="preserve">nominalVoltage</w:t>
            </w:r>
          </w:p>
        </w:tc>
        <w:tc>
          <w:tcPr>
            <w:tcW w:type="dxa" w:w="1800"/>
            <w:gridSpan w:val="1"/>
            <w:tcBorders>
              <w:top w:val="single" w:color="AAAAAA" w:sz="1"/>
              <w:left w:val="single" w:color="AAAAAA" w:sz="1"/>
              <w:bottom w:val="single" w:color="AAAAAA" w:sz="1"/>
              <w:right w:val="single" w:color="AAAAAA" w:sz="1"/>
            </w:tcBorders>
            <w:shd w:fill="1F3F7B" w:color="1F3F7B" w:val="clear"/>
            <w:tcMar>
              <w:top w:type="dxa" w:w="80"/>
              <w:left w:type="dxa" w:w="120"/>
              <w:bottom w:type="dxa" w:w="80"/>
              <w:right w:type="dxa" w:w="120"/>
            </w:tcMar>
            <w:vAlign w:val="center"/>
          </w:tcPr>
          <w:p>
            <w:pPr>
              <w:spacing w:after="60" w:before="60"/>
              <w:jc w:val="left"/>
            </w:pPr>
            <w:r>
              <w:rPr>
                <w:b/>
                <w:bCs/>
                <w:color w:val="FFFFFF"/>
                <w:sz w:val="18"/>
                <w:szCs w:val="18"/>
              </w:rPr>
              <w:t xml:space="preserve">Substation/SGR/GR</w:t>
            </w:r>
          </w:p>
        </w:tc>
        <w:tc>
          <w:tcPr>
            <w:tcW w:type="dxa" w:w="2600"/>
            <w:gridSpan w:val="1"/>
            <w:tcBorders>
              <w:top w:val="single" w:color="AAAAAA" w:sz="1"/>
              <w:left w:val="single" w:color="AAAAAA" w:sz="1"/>
              <w:bottom w:val="single" w:color="AAAAAA" w:sz="1"/>
              <w:right w:val="single" w:color="AAAAAA" w:sz="1"/>
            </w:tcBorders>
            <w:shd w:fill="1F3F7B" w:color="1F3F7B" w:val="clear"/>
            <w:tcMar>
              <w:top w:type="dxa" w:w="80"/>
              <w:left w:type="dxa" w:w="120"/>
              <w:bottom w:type="dxa" w:w="80"/>
              <w:right w:type="dxa" w:w="120"/>
            </w:tcMar>
            <w:vAlign w:val="center"/>
          </w:tcPr>
          <w:p>
            <w:pPr>
              <w:spacing w:after="60" w:before="60"/>
              <w:jc w:val="left"/>
            </w:pPr>
            <w:r>
              <w:rPr>
                <w:b/>
                <w:bCs/>
                <w:color w:val="FFFFFF"/>
                <w:sz w:val="18"/>
                <w:szCs w:val="18"/>
              </w:rPr>
              <w:t xml:space="preserve">Reason</w:t>
            </w:r>
          </w:p>
        </w:tc>
      </w:tr>
      <w:tr>
        <w:tc>
          <w:tcPr>
            <w:tcW w:type="dxa" w:w="24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ACLineSegment</w:t>
            </w:r>
          </w:p>
        </w:tc>
        <w:tc>
          <w:tcPr>
            <w:tcW w:type="dxa" w:w="16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 Written</w:t>
            </w:r>
          </w:p>
        </w:tc>
        <w:tc>
          <w:tcPr>
            <w:tcW w:type="dxa" w:w="18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 Skipped</w:t>
            </w:r>
          </w:p>
        </w:tc>
        <w:tc>
          <w:tcPr>
            <w:tcW w:type="dxa" w:w="26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Spans two substations — tie-line pattern</w:t>
            </w:r>
          </w:p>
        </w:tc>
      </w:tr>
      <w:tr>
        <w:tc>
          <w:tcPr>
            <w:tcW w:type="dxa" w:w="24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PowerTransformer</w:t>
            </w:r>
          </w:p>
        </w:tc>
        <w:tc>
          <w:tcPr>
            <w:tcW w:type="dxa" w:w="16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 Written</w:t>
            </w:r>
          </w:p>
        </w:tc>
        <w:tc>
          <w:tcPr>
            <w:tcW w:type="dxa" w:w="18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 Skipped</w:t>
            </w:r>
          </w:p>
        </w:tc>
        <w:tc>
          <w:tcPr>
            <w:tcW w:type="dxa" w:w="26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May span multiple voltage levels</w:t>
            </w:r>
          </w:p>
        </w:tc>
      </w:tr>
      <w:tr>
        <w:tc>
          <w:tcPr>
            <w:tcW w:type="dxa" w:w="24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All other types</w:t>
            </w:r>
          </w:p>
        </w:tc>
        <w:tc>
          <w:tcPr>
            <w:tcW w:type="dxa" w:w="16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 Written</w:t>
            </w:r>
          </w:p>
        </w:tc>
        <w:tc>
          <w:tcPr>
            <w:tcW w:type="dxa" w:w="18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 Written</w:t>
            </w:r>
          </w:p>
        </w:tc>
        <w:tc>
          <w:tcPr>
            <w:tcW w:type="dxa" w:w="26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Single substation, enrichment runs fully</w:t>
            </w:r>
          </w:p>
        </w:tc>
      </w:tr>
    </w:tbl>
    <w:p>
      <w:pPr>
        <w:spacing w:after="160"/>
      </w:pPr>
    </w:p>
    <w:p>
      <w:r>
        <w:br w:type="page"/>
      </w:r>
    </w:p>
    <w:p>
      <w:pPr>
        <w:pStyle w:val="Heading1"/>
        <w:spacing w:after="200" w:before="400"/>
        <w:rPr>
          <w:b/>
          <w:bCs/>
          <w:color w:val="1F3F7B"/>
          <w:sz w:val="28"/>
          <w:szCs w:val="28"/>
        </w:rPr>
      </w:pPr>
      <w:r>
        <w:t xml:space="preserve">8. Neo4j Export Pipeline</w:t>
      </w:r>
    </w:p>
    <w:p>
      <w:pPr>
        <w:pStyle w:val="Heading2"/>
        <w:spacing w:after="160" w:before="300"/>
        <w:rPr>
          <w:b/>
          <w:bCs/>
          <w:color w:val="2E86C1"/>
          <w:sz w:val="24"/>
          <w:szCs w:val="24"/>
        </w:rPr>
      </w:pPr>
      <w:r>
        <w:t xml:space="preserve">8.1 Export 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600"/>
            <w:gridSpan w:val="1"/>
            <w:tcBorders>
              <w:top w:val="single" w:color="AAAAAA" w:sz="1"/>
              <w:left w:val="single" w:color="AAAAAA" w:sz="1"/>
              <w:bottom w:val="single" w:color="AAAAAA" w:sz="1"/>
              <w:right w:val="single" w:color="AAAAAA" w:sz="1"/>
            </w:tcBorders>
            <w:shd w:fill="1F3F7B" w:color="1F3F7B" w:val="clear"/>
            <w:tcMar>
              <w:top w:type="dxa" w:w="80"/>
              <w:left w:type="dxa" w:w="120"/>
              <w:bottom w:type="dxa" w:w="80"/>
              <w:right w:type="dxa" w:w="120"/>
            </w:tcMar>
            <w:vAlign w:val="center"/>
          </w:tcPr>
          <w:p>
            <w:pPr>
              <w:spacing w:after="60" w:before="60"/>
              <w:jc w:val="left"/>
            </w:pPr>
            <w:r>
              <w:rPr>
                <w:b/>
                <w:bCs/>
                <w:color w:val="FFFFFF"/>
                <w:sz w:val="18"/>
                <w:szCs w:val="18"/>
              </w:rPr>
              <w:t xml:space="preserve">Variant</w:t>
            </w:r>
          </w:p>
        </w:tc>
        <w:tc>
          <w:tcPr>
            <w:tcW w:type="dxa" w:w="1800"/>
            <w:gridSpan w:val="1"/>
            <w:tcBorders>
              <w:top w:val="single" w:color="AAAAAA" w:sz="1"/>
              <w:left w:val="single" w:color="AAAAAA" w:sz="1"/>
              <w:bottom w:val="single" w:color="AAAAAA" w:sz="1"/>
              <w:right w:val="single" w:color="AAAAAA" w:sz="1"/>
            </w:tcBorders>
            <w:shd w:fill="1F3F7B" w:color="1F3F7B" w:val="clear"/>
            <w:tcMar>
              <w:top w:type="dxa" w:w="80"/>
              <w:left w:type="dxa" w:w="120"/>
              <w:bottom w:type="dxa" w:w="80"/>
              <w:right w:type="dxa" w:w="120"/>
            </w:tcMar>
            <w:vAlign w:val="center"/>
          </w:tcPr>
          <w:p>
            <w:pPr>
              <w:spacing w:after="60" w:before="60"/>
              <w:jc w:val="left"/>
            </w:pPr>
            <w:r>
              <w:rPr>
                <w:b/>
                <w:bCs/>
                <w:color w:val="FFFFFF"/>
                <w:sz w:val="18"/>
                <w:szCs w:val="18"/>
              </w:rPr>
              <w:t xml:space="preserve">Neo4j Version Suffix</w:t>
            </w:r>
          </w:p>
        </w:tc>
        <w:tc>
          <w:tcPr>
            <w:tcW w:type="dxa" w:w="5000"/>
            <w:gridSpan w:val="1"/>
            <w:tcBorders>
              <w:top w:val="single" w:color="AAAAAA" w:sz="1"/>
              <w:left w:val="single" w:color="AAAAAA" w:sz="1"/>
              <w:bottom w:val="single" w:color="AAAAAA" w:sz="1"/>
              <w:right w:val="single" w:color="AAAAAA" w:sz="1"/>
            </w:tcBorders>
            <w:shd w:fill="1F3F7B" w:color="1F3F7B" w:val="clear"/>
            <w:tcMar>
              <w:top w:type="dxa" w:w="80"/>
              <w:left w:type="dxa" w:w="120"/>
              <w:bottom w:type="dxa" w:w="80"/>
              <w:right w:type="dxa" w:w="120"/>
            </w:tcMar>
            <w:vAlign w:val="center"/>
          </w:tcPr>
          <w:p>
            <w:pPr>
              <w:spacing w:after="60" w:before="60"/>
              <w:jc w:val="left"/>
            </w:pPr>
            <w:r>
              <w:rPr>
                <w:b/>
                <w:bCs/>
                <w:color w:val="FFFFFF"/>
                <w:sz w:val="18"/>
                <w:szCs w:val="18"/>
              </w:rPr>
              <w:t xml:space="preserve">Description</w:t>
            </w:r>
          </w:p>
        </w:tc>
      </w:tr>
      <w:tr>
        <w:tc>
          <w:tcPr>
            <w:tcW w:type="dxa" w:w="16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FULL</w:t>
            </w:r>
          </w:p>
        </w:tc>
        <w:tc>
          <w:tcPr>
            <w:tcW w:type="dxa" w:w="18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DB140-0</w:t>
            </w:r>
          </w:p>
        </w:tc>
        <w:tc>
          <w:tcPr>
            <w:tcW w:type="dxa" w:w="50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All configured CIM types. Raw topology, no collapse.</w:t>
            </w:r>
          </w:p>
        </w:tc>
      </w:tr>
      <w:tr>
        <w:tc>
          <w:tcPr>
            <w:tcW w:type="dxa" w:w="16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SANITISED</w:t>
            </w:r>
          </w:p>
        </w:tc>
        <w:tc>
          <w:tcPr>
            <w:tcW w:type="dxa" w:w="18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DB140-1</w:t>
            </w:r>
          </w:p>
        </w:tc>
        <w:tc>
          <w:tcPr>
            <w:tcW w:type="dxa" w:w="50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Configured subset. No topology simplification. Labels applied (TIE_LINE, OPEN).</w:t>
            </w:r>
          </w:p>
        </w:tc>
      </w:tr>
      <w:tr>
        <w:tc>
          <w:tcPr>
            <w:tcW w:type="dxa" w:w="16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RATIONALISED</w:t>
            </w:r>
          </w:p>
        </w:tc>
        <w:tc>
          <w:tcPr>
            <w:tcW w:type="dxa" w:w="18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DB140-2</w:t>
            </w:r>
          </w:p>
        </w:tc>
        <w:tc>
          <w:tcPr>
            <w:tcW w:type="dxa" w:w="50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Configured subset + Pass 3 topology collapse. Terminal and ConnectivityNode nodes collapsed/removed where possible.</w:t>
            </w:r>
          </w:p>
        </w:tc>
      </w:tr>
    </w:tbl>
    <w:p>
      <w:pPr>
        <w:spacing w:after="160"/>
      </w:pPr>
    </w:p>
    <w:p>
      <w:pPr>
        <w:pStyle w:val="Heading2"/>
        <w:spacing w:after="160" w:before="300"/>
        <w:rPr>
          <w:b/>
          <w:bCs/>
          <w:color w:val="2E86C1"/>
          <w:sz w:val="24"/>
          <w:szCs w:val="24"/>
        </w:rPr>
      </w:pPr>
      <w:r>
        <w:t xml:space="preserve">8.2 Export Passes</w:t>
      </w:r>
    </w:p>
    <w:p>
      <w:pPr>
        <w:pStyle w:val="Heading3"/>
        <w:spacing w:after="120" w:before="200"/>
        <w:rPr>
          <w:b/>
          <w:bCs/>
          <w:color w:val="1F3F7B"/>
          <w:sz w:val="22"/>
          <w:szCs w:val="22"/>
        </w:rPr>
      </w:pPr>
      <w:r>
        <w:t xml:space="preserve">Pass 1 — Node Creation</w:t>
      </w:r>
    </w:p>
    <w:p>
      <w:pPr>
        <w:spacing w:after="120"/>
      </w:pPr>
      <w:r>
        <w:rPr>
          <w:color w:val="000000"/>
          <w:sz w:val="20"/>
          <w:szCs w:val="20"/>
        </w:rPr>
        <w:t xml:space="preserve">All cim_objects matching the configured cimTypes list are exported as Neo4j nodes. Each node gets:</w:t>
      </w:r>
    </w:p>
    <w:p>
      <w:pPr>
        <w:pStyle w:val="ListParagraph"/>
        <w:numPr>
          <w:ilvl w:val="0"/>
          <w:numId w:val="1"/>
        </w:numPr>
        <w:spacing w:after="80"/>
      </w:pPr>
      <w:r>
        <w:rPr>
          <w:sz w:val="20"/>
          <w:szCs w:val="20"/>
        </w:rPr>
        <w:t xml:space="preserve">A label matching its cimType (e.g. :ACLineSegment)</w:t>
      </w:r>
    </w:p>
    <w:p>
      <w:pPr>
        <w:pStyle w:val="ListParagraph"/>
        <w:numPr>
          <w:ilvl w:val="0"/>
          <w:numId w:val="1"/>
        </w:numPr>
        <w:spacing w:after="80"/>
      </w:pPr>
      <w:r>
        <w:rPr>
          <w:sz w:val="20"/>
          <w:szCs w:val="20"/>
        </w:rPr>
        <w:t xml:space="preserve">A routing label :CIMNode added to ALL nodes — used for fast MATCH in Pass 2 before the label is removed in Pass 4</w:t>
      </w:r>
    </w:p>
    <w:p>
      <w:pPr>
        <w:pStyle w:val="ListParagraph"/>
        <w:numPr>
          <w:ilvl w:val="0"/>
          <w:numId w:val="1"/>
        </w:numPr>
        <w:spacing w:after="80"/>
      </w:pPr>
      <w:r>
        <w:rPr>
          <w:sz w:val="20"/>
          <w:szCs w:val="20"/>
        </w:rPr>
        <w:t xml:space="preserve">All attributes from cim_objects.attributes as node properties</w:t>
      </w:r>
    </w:p>
    <w:p>
      <w:pPr>
        <w:pStyle w:val="ListParagraph"/>
        <w:numPr>
          <w:ilvl w:val="0"/>
          <w:numId w:val="1"/>
        </w:numPr>
        <w:spacing w:after="80"/>
      </w:pPr>
      <w:r>
        <w:rPr>
          <w:sz w:val="20"/>
          <w:szCs w:val="20"/>
        </w:rPr>
        <w:t xml:space="preserve">System properties: orgId, version, nodeKey (format: rdfId|version|orgId)</w:t>
      </w:r>
    </w:p>
    <w:p>
      <w:pPr>
        <w:spacing w:after="160"/>
      </w:pPr>
    </w:p>
    <w:p>
      <w:pPr>
        <w:pStyle w:val="Heading3"/>
        <w:spacing w:after="120" w:before="200"/>
        <w:rPr>
          <w:b/>
          <w:bCs/>
          <w:color w:val="1F3F7B"/>
          <w:sz w:val="22"/>
          <w:szCs w:val="22"/>
        </w:rPr>
      </w:pPr>
      <w:r>
        <w:t xml:space="preserve">Pass 2 — Relationship Creation</w:t>
      </w:r>
    </w:p>
    <w:p>
      <w:pPr>
        <w:spacing w:after="120"/>
      </w:pPr>
      <w:r>
        <w:rPr>
          <w:color w:val="000000"/>
          <w:sz w:val="20"/>
          <w:szCs w:val="20"/>
        </w:rPr>
        <w:t xml:space="preserve">Cross-object relationships are created based on resolvedRefIds. For each resolved ref, a relationship is created between the source and target nodes using the encoded key as the relationship type. Topology collapse (BRIDGEABLE_TYPES) creates shortcut relationships bypassing pass-through nodes.</w:t>
      </w:r>
    </w:p>
    <w:p>
      <w:pPr>
        <w:spacing w:after="160"/>
      </w:pPr>
    </w:p>
    <w:p>
      <w:pPr>
        <w:pStyle w:val="Heading3"/>
        <w:spacing w:after="120" w:before="200"/>
        <w:rPr>
          <w:b/>
          <w:bCs/>
          <w:color w:val="1F3F7B"/>
          <w:sz w:val="22"/>
          <w:szCs w:val="22"/>
        </w:rPr>
      </w:pPr>
      <w:r>
        <w:t xml:space="preserve">Pass 3 — RATIONALISED Topology Simplification</w:t>
      </w:r>
    </w:p>
    <w:p>
      <w:pPr>
        <w:spacing w:after="120"/>
      </w:pPr>
      <w:r>
        <w:rPr>
          <w:color w:val="000000"/>
          <w:sz w:val="20"/>
          <w:szCs w:val="20"/>
        </w:rPr>
        <w:t xml:space="preserve">Only runs for RATIONALISED variant. Three steps:</w:t>
      </w:r>
    </w:p>
    <w:p>
      <w:pPr>
        <w:pStyle w:val="ListParagraph"/>
        <w:numPr>
          <w:ilvl w:val="0"/>
          <w:numId w:val="1"/>
        </w:numPr>
        <w:spacing w:after="80"/>
      </w:pPr>
      <w:r>
        <w:rPr>
          <w:sz w:val="20"/>
          <w:szCs w:val="20"/>
        </w:rPr>
        <w:t xml:space="preserve">Step 1 — collapseTwoDegreeNodes("Terminal"): Terminal nodes with exactly 2 neighbours are collapsed — a direct relationship is created between the neighbours and the Terminal node is deleted.</w:t>
      </w:r>
    </w:p>
    <w:p>
      <w:pPr>
        <w:pStyle w:val="ListParagraph"/>
        <w:numPr>
          <w:ilvl w:val="0"/>
          <w:numId w:val="1"/>
        </w:numPr>
        <w:spacing w:after="80"/>
      </w:pPr>
      <w:r>
        <w:rPr>
          <w:sz w:val="20"/>
          <w:szCs w:val="20"/>
        </w:rPr>
        <w:t xml:space="preserve">Step 2 — collapseConnectivityNodeAtBusbar(): ConnectivityNodes adjacent to BusbarSection are fan-in collapsed — equipment connects directly to BusbarSection.</w:t>
      </w:r>
    </w:p>
    <w:p>
      <w:pPr>
        <w:pStyle w:val="ListParagraph"/>
        <w:numPr>
          <w:ilvl w:val="0"/>
          <w:numId w:val="1"/>
        </w:numPr>
        <w:spacing w:after="80"/>
      </w:pPr>
      <w:r>
        <w:rPr>
          <w:sz w:val="20"/>
          <w:szCs w:val="20"/>
        </w:rPr>
        <w:t xml:space="preserve">Step 3 — collapseTwoDegreeNodes("ConnectivityNode"): Remaining ConnectivityNodes with 2 neighbours are collapsed similarly to Step 1.</w:t>
      </w:r>
    </w:p>
    <w:p>
      <w:pPr>
        <w:spacing w:after="160"/>
      </w:pPr>
    </w:p>
    <w:p>
      <w:pPr>
        <w:pStyle w:val="Heading3"/>
        <w:spacing w:after="120" w:before="200"/>
        <w:rPr>
          <w:b/>
          <w:bCs/>
          <w:color w:val="1F3F7B"/>
          <w:sz w:val="22"/>
          <w:szCs w:val="22"/>
        </w:rPr>
      </w:pPr>
      <w:r>
        <w:t xml:space="preserve">Pass 4 — Remove Routing Label</w:t>
      </w:r>
    </w:p>
    <w:p>
      <w:pPr>
        <w:spacing w:after="120"/>
      </w:pPr>
      <w:r>
        <w:rPr>
          <w:color w:val="000000"/>
          <w:sz w:val="20"/>
          <w:szCs w:val="20"/>
        </w:rPr>
        <w:t xml:space="preserve">The :CIMNode routing label is removed from all nodes after export completes. This label was only needed for efficient relationship MATCH queries in Pass 2.</w:t>
      </w:r>
    </w:p>
    <w:p>
      <w:pPr>
        <w:spacing w:after="160"/>
      </w:pPr>
    </w:p>
    <w:p>
      <w:pPr>
        <w:pStyle w:val="Heading2"/>
        <w:spacing w:after="160" w:before="300"/>
        <w:rPr>
          <w:b/>
          <w:bCs/>
          <w:color w:val="2E86C1"/>
          <w:sz w:val="24"/>
          <w:szCs w:val="24"/>
        </w:rPr>
      </w:pPr>
      <w:r>
        <w:t xml:space="preserve">8.3 Force-Included Types</w:t>
      </w:r>
    </w:p>
    <w:p>
      <w:pPr>
        <w:spacing w:after="120"/>
      </w:pPr>
      <w:r>
        <w:rPr>
          <w:color w:val="000000"/>
          <w:sz w:val="20"/>
          <w:szCs w:val="20"/>
        </w:rPr>
        <w:t xml:space="preserve">For RATIONALISED exports, three types are always included regardless of config (required for Pass 3 topology simplification):</w:t>
      </w:r>
    </w:p>
    <w:p>
      <w:pPr>
        <w:pStyle w:val="ListParagraph"/>
        <w:numPr>
          <w:ilvl w:val="0"/>
          <w:numId w:val="1"/>
        </w:numPr>
        <w:spacing w:after="80"/>
      </w:pPr>
      <w:r>
        <w:rPr>
          <w:sz w:val="20"/>
          <w:szCs w:val="20"/>
        </w:rPr>
        <w:t xml:space="preserve">Terminal — needed for collapseTwoDegreeNodes Step 1</w:t>
      </w:r>
    </w:p>
    <w:p>
      <w:pPr>
        <w:pStyle w:val="ListParagraph"/>
        <w:numPr>
          <w:ilvl w:val="0"/>
          <w:numId w:val="1"/>
        </w:numPr>
        <w:spacing w:after="80"/>
      </w:pPr>
      <w:r>
        <w:rPr>
          <w:sz w:val="20"/>
          <w:szCs w:val="20"/>
        </w:rPr>
        <w:t xml:space="preserve">ConnectivityNode — needed for Steps 2 and 3</w:t>
      </w:r>
    </w:p>
    <w:p>
      <w:pPr>
        <w:pStyle w:val="ListParagraph"/>
        <w:numPr>
          <w:ilvl w:val="0"/>
          <w:numId w:val="1"/>
        </w:numPr>
        <w:spacing w:after="80"/>
      </w:pPr>
      <w:r>
        <w:rPr>
          <w:sz w:val="20"/>
          <w:szCs w:val="20"/>
        </w:rPr>
        <w:t xml:space="preserve">BusbarSection — needed for Step 2</w:t>
      </w:r>
    </w:p>
    <w:p>
      <w:pPr>
        <w:spacing w:after="120"/>
      </w:pPr>
      <w:r>
        <w:rPr>
          <w:color w:val="000000"/>
          <w:sz w:val="20"/>
          <w:szCs w:val="20"/>
        </w:rPr>
        <w:t xml:space="preserve">VoltageLevel and BaseVoltage are NOT force-included (removed when enrichment moved to Phase 3 MongoDB).</w:t>
      </w:r>
    </w:p>
    <w:p>
      <w:pPr>
        <w:spacing w:after="160"/>
      </w:pPr>
    </w:p>
    <w:p>
      <w:pPr>
        <w:pStyle w:val="Heading2"/>
        <w:spacing w:after="160" w:before="300"/>
        <w:rPr>
          <w:b/>
          <w:bCs/>
          <w:color w:val="2E86C1"/>
          <w:sz w:val="24"/>
          <w:szCs w:val="24"/>
        </w:rPr>
      </w:pPr>
      <w:r>
        <w:t xml:space="preserve">8.4 Neo4j Label Application</w:t>
      </w:r>
    </w:p>
    <w:p>
      <w:pPr>
        <w:pStyle w:val="Heading3"/>
        <w:spacing w:after="120" w:before="200"/>
        <w:rPr>
          <w:b/>
          <w:bCs/>
          <w:color w:val="1F3F7B"/>
          <w:sz w:val="22"/>
          <w:szCs w:val="22"/>
        </w:rPr>
      </w:pPr>
      <w:r>
        <w:t xml:space="preserve">TIE_LINE Label — applyIntertieLabel()</w:t>
      </w:r>
    </w:p>
    <w:p>
      <w:pPr>
        <w:spacing w:after="120"/>
      </w:pPr>
      <w:r>
        <w:rPr>
          <w:color w:val="000000"/>
          <w:sz w:val="20"/>
          <w:szCs w:val="20"/>
        </w:rPr>
        <w:t xml:space="preserve">Applied to ACLineSegment nodes after Pass 2 for SANITISED and RATIONALISED variants. An ACLineSegment is labeled :TIE_LINE if:</w:t>
      </w:r>
    </w:p>
    <w:p>
      <w:pPr>
        <w:pStyle w:val="ListParagraph"/>
        <w:numPr>
          <w:ilvl w:val="0"/>
          <w:numId w:val="1"/>
        </w:numPr>
        <w:spacing w:after="80"/>
      </w:pPr>
      <w:r>
        <w:rPr>
          <w:sz w:val="20"/>
          <w:szCs w:val="20"/>
        </w:rPr>
        <w:t xml:space="preserve">It connects to exactly 2 distinct Substation nodes (one at each Terminal end)</w:t>
      </w:r>
    </w:p>
    <w:p>
      <w:pPr>
        <w:pStyle w:val="ListParagraph"/>
        <w:numPr>
          <w:ilvl w:val="0"/>
          <w:numId w:val="1"/>
        </w:numPr>
        <w:spacing w:after="80"/>
      </w:pPr>
      <w:r>
        <w:rPr>
          <w:sz w:val="20"/>
          <w:szCs w:val="20"/>
        </w:rPr>
        <w:t xml:space="preserve">AND those 2 substations belong to more than 1 distinct SubGeographicalRegion</w:t>
      </w:r>
    </w:p>
    <w:p>
      <w:pPr>
        <w:spacing w:after="160"/>
      </w:pPr>
    </w:p>
    <w:p>
      <w:pPr>
        <w:spacing w:after="120"/>
      </w:pPr>
      <w:r>
        <w:rPr>
          <w:b/>
          <w:bCs/>
          <w:color w:val="000000"/>
          <w:sz w:val="20"/>
          <w:szCs w:val="20"/>
        </w:rPr>
        <w:t xml:space="preserve">Cypher logic:</w:t>
      </w:r>
    </w:p>
    <w:p>
      <w:pPr>
        <w:spacing w:after="80"/>
        <w:ind w:left="720"/>
      </w:pPr>
      <w:r>
        <w:rPr>
          <w:rFonts w:ascii="Courier New" w:cs="Courier New" w:eastAsia="Courier New" w:hAnsi="Courier New"/>
          <w:color w:val="1A5276"/>
          <w:sz w:val="18"/>
          <w:szCs w:val="18"/>
        </w:rPr>
        <w:t xml:space="preserve">MATCH (l:ACLineSegment:CIMNode {orgId: $o, version: $v})</w:t>
      </w:r>
    </w:p>
    <w:p>
      <w:pPr>
        <w:spacing w:after="80"/>
        <w:ind w:left="720"/>
      </w:pPr>
      <w:r>
        <w:rPr>
          <w:rFonts w:ascii="Courier New" w:cs="Courier New" w:eastAsia="Courier New" w:hAnsi="Courier New"/>
          <w:color w:val="1A5276"/>
          <w:sz w:val="18"/>
          <w:szCs w:val="18"/>
        </w:rPr>
        <w:t xml:space="preserve">WHERE l.nodeKey &gt; $lastKey</w:t>
      </w:r>
    </w:p>
    <w:p>
      <w:pPr>
        <w:spacing w:after="80"/>
        <w:ind w:left="720"/>
      </w:pPr>
      <w:r>
        <w:rPr>
          <w:rFonts w:ascii="Courier New" w:cs="Courier New" w:eastAsia="Courier New" w:hAnsi="Courier New"/>
          <w:color w:val="1A5276"/>
          <w:sz w:val="18"/>
          <w:szCs w:val="18"/>
        </w:rPr>
        <w:t xml:space="preserve">WITH l ORDER BY l.nodeKey LIMIT 1000</w:t>
      </w:r>
    </w:p>
    <w:p>
      <w:pPr>
        <w:spacing w:after="80"/>
        <w:ind w:left="720"/>
      </w:pPr>
      <w:r>
        <w:rPr>
          <w:rFonts w:ascii="Courier New" w:cs="Courier New" w:eastAsia="Courier New" w:hAnsi="Courier New"/>
          <w:color w:val="1A5276"/>
          <w:sz w:val="18"/>
          <w:szCs w:val="18"/>
        </w:rPr>
        <w:t xml:space="preserve">WITH collect(l) AS candidates, max(l.nodeKey) AS newLastKey</w:t>
      </w:r>
    </w:p>
    <w:p>
      <w:pPr>
        <w:spacing w:after="80"/>
        <w:ind w:left="720"/>
      </w:pPr>
      <w:r>
        <w:rPr>
          <w:rFonts w:ascii="Courier New" w:cs="Courier New" w:eastAsia="Courier New" w:hAnsi="Courier New"/>
          <w:color w:val="1A5276"/>
          <w:sz w:val="18"/>
          <w:szCs w:val="18"/>
        </w:rPr>
        <w:t xml:space="preserve">UNWIND candidates AS l</w:t>
      </w:r>
    </w:p>
    <w:p>
      <w:pPr>
        <w:spacing w:after="80"/>
        <w:ind w:left="720"/>
      </w:pPr>
      <w:r>
        <w:rPr>
          <w:rFonts w:ascii="Courier New" w:cs="Courier New" w:eastAsia="Courier New" w:hAnsi="Courier New"/>
          <w:color w:val="1A5276"/>
          <w:sz w:val="18"/>
          <w:szCs w:val="18"/>
        </w:rPr>
        <w:t xml:space="preserve">MATCH (l)&lt;-[]-(t:Terminal)</w:t>
      </w:r>
    </w:p>
    <w:p>
      <w:pPr>
        <w:spacing w:after="80"/>
        <w:ind w:left="720"/>
      </w:pPr>
      <w:r>
        <w:rPr>
          <w:rFonts w:ascii="Courier New" w:cs="Courier New" w:eastAsia="Courier New" w:hAnsi="Courier New"/>
          <w:color w:val="1A5276"/>
          <w:sz w:val="18"/>
          <w:szCs w:val="18"/>
        </w:rPr>
        <w:t xml:space="preserve">MATCH (t)-[]-&gt;(:ConnectivityNode)-[]-&gt;(:VoltageLevel)-[]-&gt;(s:Substation)</w:t>
      </w:r>
    </w:p>
    <w:p>
      <w:pPr>
        <w:spacing w:after="80"/>
        <w:ind w:left="720"/>
      </w:pPr>
      <w:r>
        <w:rPr>
          <w:rFonts w:ascii="Courier New" w:cs="Courier New" w:eastAsia="Courier New" w:hAnsi="Courier New"/>
          <w:color w:val="1A5276"/>
          <w:sz w:val="18"/>
          <w:szCs w:val="18"/>
        </w:rPr>
        <w:t xml:space="preserve">OPTIONAL MATCH (s)-[]-&gt;(sgr:SubGeographicalRegion)</w:t>
      </w:r>
    </w:p>
    <w:p>
      <w:pPr>
        <w:spacing w:after="80"/>
        <w:ind w:left="720"/>
      </w:pPr>
      <w:r>
        <w:rPr>
          <w:rFonts w:ascii="Courier New" w:cs="Courier New" w:eastAsia="Courier New" w:hAnsi="Courier New"/>
          <w:color w:val="1A5276"/>
          <w:sz w:val="18"/>
          <w:szCs w:val="18"/>
        </w:rPr>
        <w:t xml:space="preserve">WITH l, newLastKey,</w:t>
      </w:r>
    </w:p>
    <w:p>
      <w:pPr>
        <w:spacing w:after="80"/>
        <w:ind w:left="720"/>
      </w:pPr>
      <w:r>
        <w:rPr>
          <w:rFonts w:ascii="Courier New" w:cs="Courier New" w:eastAsia="Courier New" w:hAnsi="Courier New"/>
          <w:color w:val="1A5276"/>
          <w:sz w:val="18"/>
          <w:szCs w:val="18"/>
        </w:rPr>
        <w:t xml:space="preserve">     collect(DISTINCT s.mrid)   AS substations,</w:t>
      </w:r>
    </w:p>
    <w:p>
      <w:pPr>
        <w:spacing w:after="80"/>
        <w:ind w:left="720"/>
      </w:pPr>
      <w:r>
        <w:rPr>
          <w:rFonts w:ascii="Courier New" w:cs="Courier New" w:eastAsia="Courier New" w:hAnsi="Courier New"/>
          <w:color w:val="1A5276"/>
          <w:sz w:val="18"/>
          <w:szCs w:val="18"/>
        </w:rPr>
        <w:t xml:space="preserve">     collect(DISTINCT sgr.mrid) AS subregions</w:t>
      </w:r>
    </w:p>
    <w:p>
      <w:pPr>
        <w:spacing w:after="80"/>
        <w:ind w:left="720"/>
      </w:pPr>
      <w:r>
        <w:rPr>
          <w:rFonts w:ascii="Courier New" w:cs="Courier New" w:eastAsia="Courier New" w:hAnsi="Courier New"/>
          <w:color w:val="1A5276"/>
          <w:sz w:val="18"/>
          <w:szCs w:val="18"/>
        </w:rPr>
        <w:t xml:space="preserve">WITH newLastKey, l,</w:t>
      </w:r>
    </w:p>
    <w:p>
      <w:pPr>
        <w:spacing w:after="80"/>
        <w:ind w:left="720"/>
      </w:pPr>
      <w:r>
        <w:rPr>
          <w:rFonts w:ascii="Courier New" w:cs="Courier New" w:eastAsia="Courier New" w:hAnsi="Courier New"/>
          <w:color w:val="1A5276"/>
          <w:sz w:val="18"/>
          <w:szCs w:val="18"/>
        </w:rPr>
        <w:t xml:space="preserve">     size(substations) = 2 AND size(subregions) &gt; 1 AS qualifies</w:t>
      </w:r>
    </w:p>
    <w:p>
      <w:pPr>
        <w:spacing w:after="80"/>
        <w:ind w:left="720"/>
      </w:pPr>
      <w:r>
        <w:rPr>
          <w:rFonts w:ascii="Courier New" w:cs="Courier New" w:eastAsia="Courier New" w:hAnsi="Courier New"/>
          <w:color w:val="1A5276"/>
          <w:sz w:val="18"/>
          <w:szCs w:val="18"/>
        </w:rPr>
        <w:t xml:space="preserve">FOREACH (x IN CASE WHEN qualifies THEN [1] ELSE [] END | SET l:TIE_LINE)</w:t>
      </w:r>
    </w:p>
    <w:p>
      <w:pPr>
        <w:spacing w:after="80"/>
        <w:ind w:left="720"/>
      </w:pPr>
      <w:r>
        <w:rPr>
          <w:rFonts w:ascii="Courier New" w:cs="Courier New" w:eastAsia="Courier New" w:hAnsi="Courier New"/>
          <w:color w:val="1A5276"/>
          <w:sz w:val="18"/>
          <w:szCs w:val="18"/>
        </w:rPr>
        <w:t xml:space="preserve">RETURN count(CASE WHEN qualifies THEN 1 END) AS updated,</w:t>
      </w:r>
    </w:p>
    <w:p>
      <w:pPr>
        <w:spacing w:after="80"/>
        <w:ind w:left="720"/>
      </w:pPr>
      <w:r>
        <w:rPr>
          <w:rFonts w:ascii="Courier New" w:cs="Courier New" w:eastAsia="Courier New" w:hAnsi="Courier New"/>
          <w:color w:val="1A5276"/>
          <w:sz w:val="18"/>
          <w:szCs w:val="18"/>
        </w:rPr>
        <w:t xml:space="preserve">       count(l) AS candidateCount,</w:t>
      </w:r>
    </w:p>
    <w:p>
      <w:pPr>
        <w:spacing w:after="80"/>
        <w:ind w:left="720"/>
      </w:pPr>
      <w:r>
        <w:rPr>
          <w:rFonts w:ascii="Courier New" w:cs="Courier New" w:eastAsia="Courier New" w:hAnsi="Courier New"/>
          <w:color w:val="1A5276"/>
          <w:sz w:val="18"/>
          <w:szCs w:val="18"/>
        </w:rPr>
        <w:t xml:space="preserve">       collect(newLastKey)[0] AS newLastKey</w:t>
      </w:r>
    </w:p>
    <w:p>
      <w:pPr>
        <w:spacing w:after="160"/>
      </w:pPr>
    </w:p>
    <w:p>
      <w:pPr>
        <w:spacing w:after="120"/>
      </w:pPr>
      <w:r>
        <w:rPr>
          <w:b/>
          <w:bCs/>
          <w:color w:val="000000"/>
          <w:sz w:val="20"/>
          <w:szCs w:val="20"/>
        </w:rPr>
        <w:t xml:space="preserve">Key design decisions:</w:t>
      </w:r>
    </w:p>
    <w:p>
      <w:pPr>
        <w:pStyle w:val="ListParagraph"/>
        <w:numPr>
          <w:ilvl w:val="0"/>
          <w:numId w:val="1"/>
        </w:numPr>
        <w:spacing w:after="80"/>
      </w:pPr>
      <w:r>
        <w:rPr>
          <w:sz w:val="20"/>
          <w:szCs w:val="20"/>
        </w:rPr>
        <w:t xml:space="preserve">Uses MATCH (not OPTIONAL MATCH) for Terminal and Substation — OPTIONAL MATCH causes lines with no terminals to produce collect([null]) of size 1, never qualifying.</w:t>
      </w:r>
    </w:p>
    <w:p>
      <w:pPr>
        <w:pStyle w:val="ListParagraph"/>
        <w:numPr>
          <w:ilvl w:val="0"/>
          <w:numId w:val="1"/>
        </w:numPr>
        <w:spacing w:after="80"/>
      </w:pPr>
      <w:r>
        <w:rPr>
          <w:sz w:val="20"/>
          <w:szCs w:val="20"/>
        </w:rPr>
        <w:t xml:space="preserve">Uses nodeKey cursor pagination — loop breaks when candidateCount=0 (no more pages), NOT when updated=0. Breaking on updated=0 would exit early when a valid batch has no qualifying lines.</w:t>
      </w:r>
    </w:p>
    <w:p>
      <w:pPr>
        <w:pStyle w:val="ListParagraph"/>
        <w:numPr>
          <w:ilvl w:val="0"/>
          <w:numId w:val="1"/>
        </w:numPr>
        <w:spacing w:after="80"/>
      </w:pPr>
      <w:r>
        <w:rPr>
          <w:sz w:val="20"/>
          <w:szCs w:val="20"/>
        </w:rPr>
        <w:t xml:space="preserve">Processes 1000 candidates per transaction — safe batch size for Neo4j 6.x.</w:t>
      </w:r>
    </w:p>
    <w:p>
      <w:pPr>
        <w:spacing w:after="160"/>
      </w:pPr>
    </w:p>
    <w:p>
      <w:pPr>
        <w:pStyle w:val="Heading3"/>
        <w:spacing w:after="120" w:before="200"/>
        <w:rPr>
          <w:b/>
          <w:bCs/>
          <w:color w:val="1F3F7B"/>
          <w:sz w:val="22"/>
          <w:szCs w:val="22"/>
        </w:rPr>
      </w:pPr>
      <w:r>
        <w:t xml:space="preserve">OPEN Label — applyOpenLabel()</w:t>
      </w:r>
    </w:p>
    <w:p>
      <w:pPr>
        <w:spacing w:after="120"/>
      </w:pPr>
      <w:r>
        <w:rPr>
          <w:color w:val="000000"/>
          <w:sz w:val="20"/>
          <w:szCs w:val="20"/>
        </w:rPr>
        <w:t xml:space="preserve">Applied to Switch-type nodes (Breaker, Disconnector, Fuse, etc.) that are in open state. A node is labeled :OPEN if its normalOpen or open attribute is true.</w:t>
      </w:r>
    </w:p>
    <w:p>
      <w:pPr>
        <w:spacing w:after="160"/>
      </w:pPr>
    </w:p>
    <w:p>
      <w:pPr>
        <w:pStyle w:val="Heading2"/>
        <w:spacing w:after="160" w:before="300"/>
        <w:rPr>
          <w:b/>
          <w:bCs/>
          <w:color w:val="2E86C1"/>
          <w:sz w:val="24"/>
          <w:szCs w:val="24"/>
        </w:rPr>
      </w:pPr>
      <w:r>
        <w:t xml:space="preserve">8.5 Phase Recording in validation_jobs</w:t>
      </w:r>
    </w:p>
    <w:p>
      <w:pPr>
        <w:spacing w:after="120"/>
      </w:pPr>
      <w:r>
        <w:rPr>
          <w:color w:val="000000"/>
          <w:sz w:val="20"/>
          <w:szCs w:val="20"/>
        </w:rPr>
        <w:t xml:space="preserve">Every Neo4j export records two phase entries in the validation_jobs document using MongoDB $push — so repeated exports APPEND to phaseHistory rather than overwriting:</w:t>
      </w:r>
    </w:p>
    <w:p>
      <w:pPr>
        <w:pStyle w:val="ListParagraph"/>
        <w:numPr>
          <w:ilvl w:val="0"/>
          <w:numId w:val="1"/>
        </w:numPr>
        <w:spacing w:after="80"/>
      </w:pPr>
      <w:r>
        <w:rPr>
          <w:sz w:val="20"/>
          <w:szCs w:val="20"/>
        </w:rPr>
        <w:t xml:space="preserve">NEO4J_EXPORT_STARTED: recorded when export begins, with version and mode in description</w:t>
      </w:r>
    </w:p>
    <w:p>
      <w:pPr>
        <w:pStyle w:val="ListParagraph"/>
        <w:numPr>
          <w:ilvl w:val="0"/>
          <w:numId w:val="1"/>
        </w:numPr>
        <w:spacing w:after="80"/>
      </w:pPr>
      <w:r>
        <w:rPr>
          <w:sz w:val="20"/>
          <w:szCs w:val="20"/>
        </w:rPr>
        <w:t xml:space="preserve">NEO4J_EXPORT: recorded when export completes (COMPLETED or FAILED), with node count, relationship count, and elapsed time in description</w:t>
      </w:r>
    </w:p>
    <w:p>
      <w:pPr>
        <w:spacing w:after="160"/>
      </w:pPr>
    </w:p>
    <w:p>
      <w:r>
        <w:br w:type="page"/>
      </w:r>
    </w:p>
    <w:p>
      <w:pPr>
        <w:pStyle w:val="Heading1"/>
        <w:spacing w:after="200" w:before="400"/>
        <w:rPr>
          <w:b/>
          <w:bCs/>
          <w:color w:val="1F3F7B"/>
          <w:sz w:val="28"/>
          <w:szCs w:val="28"/>
        </w:rPr>
      </w:pPr>
      <w:r>
        <w:t xml:space="preserve">9. Validation Job Lifecycle</w:t>
      </w:r>
    </w:p>
    <w:p>
      <w:pPr>
        <w:pStyle w:val="Heading2"/>
        <w:spacing w:after="160" w:before="300"/>
        <w:rPr>
          <w:b/>
          <w:bCs/>
          <w:color w:val="2E86C1"/>
          <w:sz w:val="24"/>
          <w:szCs w:val="24"/>
        </w:rPr>
      </w:pPr>
      <w:r>
        <w:t xml:space="preserve">9.1 validation_jobs Document</w:t>
      </w:r>
    </w:p>
    <w:p>
      <w:pPr>
        <w:spacing w:after="80"/>
        <w:ind w:left="720"/>
      </w:pPr>
      <w:r>
        <w:rPr>
          <w:rFonts w:ascii="Courier New" w:cs="Courier New" w:eastAsia="Courier New" w:hAnsi="Courier New"/>
          <w:color w:val="1A5276"/>
          <w:sz w:val="18"/>
          <w:szCs w:val="18"/>
        </w:rPr>
        <w:t xml:space="preserve">{</w:t>
      </w:r>
    </w:p>
    <w:p>
      <w:pPr>
        <w:spacing w:after="80"/>
        <w:ind w:left="720"/>
      </w:pPr>
      <w:r>
        <w:rPr>
          <w:rFonts w:ascii="Courier New" w:cs="Courier New" w:eastAsia="Courier New" w:hAnsi="Courier New"/>
          <w:color w:val="1A5276"/>
          <w:sz w:val="18"/>
          <w:szCs w:val="18"/>
        </w:rPr>
        <w:t xml:space="preserve">  "jobId":   "0166485d-a80c-420a-a2b9-6addf2e2ccbe",</w:t>
      </w:r>
    </w:p>
    <w:p>
      <w:pPr>
        <w:spacing w:after="80"/>
        <w:ind w:left="720"/>
      </w:pPr>
      <w:r>
        <w:rPr>
          <w:rFonts w:ascii="Courier New" w:cs="Courier New" w:eastAsia="Courier New" w:hAnsi="Courier New"/>
          <w:color w:val="1A5276"/>
          <w:sz w:val="18"/>
          <w:szCs w:val="18"/>
        </w:rPr>
        <w:t xml:space="preserve">  "status":  "RESOLVED",</w:t>
      </w:r>
    </w:p>
    <w:p>
      <w:pPr>
        <w:spacing w:after="80"/>
        <w:ind w:left="720"/>
      </w:pPr>
      <w:r>
        <w:rPr>
          <w:rFonts w:ascii="Courier New" w:cs="Courier New" w:eastAsia="Courier New" w:hAnsi="Courier New"/>
          <w:color w:val="1A5276"/>
          <w:sz w:val="18"/>
          <w:szCs w:val="18"/>
        </w:rPr>
        <w:t xml:space="preserve">  "orgId":   "CAISO",</w:t>
      </w:r>
    </w:p>
    <w:p>
      <w:pPr>
        <w:spacing w:after="80"/>
        <w:ind w:left="720"/>
      </w:pPr>
      <w:r>
        <w:rPr>
          <w:rFonts w:ascii="Courier New" w:cs="Courier New" w:eastAsia="Courier New" w:hAnsi="Courier New"/>
          <w:color w:val="1A5276"/>
          <w:sz w:val="18"/>
          <w:szCs w:val="18"/>
        </w:rPr>
        <w:t xml:space="preserve">  "version": "DB140",</w:t>
      </w:r>
    </w:p>
    <w:p>
      <w:pPr>
        <w:spacing w:after="80"/>
        <w:ind w:left="720"/>
      </w:pPr>
      <w:r>
        <w:rPr>
          <w:rFonts w:ascii="Courier New" w:cs="Courier New" w:eastAsia="Courier New" w:hAnsi="Courier New"/>
          <w:color w:val="1A5276"/>
          <w:sz w:val="18"/>
          <w:szCs w:val="18"/>
        </w:rPr>
        <w:t xml:space="preserve">  "sourceFile": "DB140.xml",</w:t>
      </w:r>
    </w:p>
    <w:p>
      <w:pPr>
        <w:spacing w:after="80"/>
        <w:ind w:left="720"/>
      </w:pPr>
      <w:r>
        <w:rPr>
          <w:rFonts w:ascii="Courier New" w:cs="Courier New" w:eastAsia="Courier New" w:hAnsi="Courier New"/>
          <w:color w:val="1A5276"/>
          <w:sz w:val="18"/>
          <w:szCs w:val="18"/>
        </w:rPr>
        <w:t xml:space="preserve">  "totalObjects": 953000,</w:t>
      </w:r>
    </w:p>
    <w:p>
      <w:pPr>
        <w:spacing w:after="80"/>
        <w:ind w:left="720"/>
      </w:pPr>
      <w:r>
        <w:rPr>
          <w:rFonts w:ascii="Courier New" w:cs="Courier New" w:eastAsia="Courier New" w:hAnsi="Courier New"/>
          <w:color w:val="1A5276"/>
          <w:sz w:val="18"/>
          <w:szCs w:val="18"/>
        </w:rPr>
        <w:t xml:space="preserve">  "enabledNamespaces": ["cim", "caiso"],   // filtered to this org only</w:t>
      </w:r>
    </w:p>
    <w:p>
      <w:pPr>
        <w:spacing w:after="80"/>
        <w:ind w:left="720"/>
      </w:pPr>
      <w:r>
        <w:rPr>
          <w:rFonts w:ascii="Courier New" w:cs="Courier New" w:eastAsia="Courier New" w:hAnsi="Courier New"/>
          <w:color w:val="1A5276"/>
          <w:sz w:val="18"/>
          <w:szCs w:val="18"/>
        </w:rPr>
        <w:t xml:space="preserve">  "stageTimings": {</w:t>
      </w:r>
    </w:p>
    <w:p>
      <w:pPr>
        <w:spacing w:after="80"/>
        <w:ind w:left="720"/>
      </w:pPr>
      <w:r>
        <w:rPr>
          <w:rFonts w:ascii="Courier New" w:cs="Courier New" w:eastAsia="Courier New" w:hAnsi="Courier New"/>
          <w:color w:val="1A5276"/>
          <w:sz w:val="18"/>
          <w:szCs w:val="18"/>
        </w:rPr>
        <w:t xml:space="preserve">    "parseMs":      252000,</w:t>
      </w:r>
    </w:p>
    <w:p>
      <w:pPr>
        <w:spacing w:after="80"/>
        <w:ind w:left="720"/>
      </w:pPr>
      <w:r>
        <w:rPr>
          <w:rFonts w:ascii="Courier New" w:cs="Courier New" w:eastAsia="Courier New" w:hAnsi="Courier New"/>
          <w:color w:val="1A5276"/>
          <w:sz w:val="18"/>
          <w:szCs w:val="18"/>
        </w:rPr>
        <w:t xml:space="preserve">    "referenceMs":  128000,</w:t>
      </w:r>
    </w:p>
    <w:p>
      <w:pPr>
        <w:spacing w:after="80"/>
        <w:ind w:left="720"/>
      </w:pPr>
      <w:r>
        <w:rPr>
          <w:rFonts w:ascii="Courier New" w:cs="Courier New" w:eastAsia="Courier New" w:hAnsi="Courier New"/>
          <w:color w:val="1A5276"/>
          <w:sz w:val="18"/>
          <w:szCs w:val="18"/>
        </w:rPr>
        <w:t xml:space="preserve">    "enrichmentMs": 45000,</w:t>
      </w:r>
    </w:p>
    <w:p>
      <w:pPr>
        <w:spacing w:after="80"/>
        <w:ind w:left="720"/>
      </w:pPr>
      <w:r>
        <w:rPr>
          <w:rFonts w:ascii="Courier New" w:cs="Courier New" w:eastAsia="Courier New" w:hAnsi="Courier New"/>
          <w:color w:val="1A5276"/>
          <w:sz w:val="18"/>
          <w:szCs w:val="18"/>
        </w:rPr>
        <w:t xml:space="preserve">    "totalMs":      425000</w:t>
      </w:r>
    </w:p>
    <w:p>
      <w:pPr>
        <w:spacing w:after="80"/>
        <w:ind w:left="720"/>
      </w:pPr>
      <w:r>
        <w:rPr>
          <w:rFonts w:ascii="Courier New" w:cs="Courier New" w:eastAsia="Courier New" w:hAnsi="Courier New"/>
          <w:color w:val="1A5276"/>
          <w:sz w:val="18"/>
          <w:szCs w:val="18"/>
        </w:rPr>
        <w:t xml:space="preserve">  },</w:t>
      </w:r>
    </w:p>
    <w:p>
      <w:pPr>
        <w:spacing w:after="80"/>
        <w:ind w:left="720"/>
      </w:pPr>
      <w:r>
        <w:rPr>
          <w:rFonts w:ascii="Courier New" w:cs="Courier New" w:eastAsia="Courier New" w:hAnsi="Courier New"/>
          <w:color w:val="1A5276"/>
          <w:sz w:val="18"/>
          <w:szCs w:val="18"/>
        </w:rPr>
        <w:t xml:space="preserve">  "phaseHistory": [</w:t>
      </w:r>
    </w:p>
    <w:p>
      <w:pPr>
        <w:spacing w:after="80"/>
        <w:ind w:left="720"/>
      </w:pPr>
      <w:r>
        <w:rPr>
          <w:rFonts w:ascii="Courier New" w:cs="Courier New" w:eastAsia="Courier New" w:hAnsi="Courier New"/>
          <w:color w:val="1A5276"/>
          <w:sz w:val="18"/>
          <w:szCs w:val="18"/>
        </w:rPr>
        <w:t xml:space="preserve">    { "phase": "STREAMING_PARSE",      "status": "COMPLETED",</w:t>
      </w:r>
    </w:p>
    <w:p>
      <w:pPr>
        <w:spacing w:after="80"/>
        <w:ind w:left="720"/>
      </w:pPr>
      <w:r>
        <w:rPr>
          <w:rFonts w:ascii="Courier New" w:cs="Courier New" w:eastAsia="Courier New" w:hAnsi="Courier New"/>
          <w:color w:val="1A5276"/>
          <w:sz w:val="18"/>
          <w:szCs w:val="18"/>
        </w:rPr>
        <w:t xml:space="preserve">      "description": "953,000 objects parsed from DB140.xml in 4m 12s",</w:t>
      </w:r>
    </w:p>
    <w:p>
      <w:pPr>
        <w:spacing w:after="80"/>
        <w:ind w:left="720"/>
      </w:pPr>
      <w:r>
        <w:rPr>
          <w:rFonts w:ascii="Courier New" w:cs="Courier New" w:eastAsia="Courier New" w:hAnsi="Courier New"/>
          <w:color w:val="1A5276"/>
          <w:sz w:val="18"/>
          <w:szCs w:val="18"/>
        </w:rPr>
        <w:t xml:space="preserve">      "objectsProcessed": 953000, "durationFormatted": "4m 12s" },</w:t>
      </w:r>
    </w:p>
    <w:p>
      <w:pPr>
        <w:spacing w:after="80"/>
        <w:ind w:left="720"/>
      </w:pPr>
      <w:r>
        <w:rPr>
          <w:rFonts w:ascii="Courier New" w:cs="Courier New" w:eastAsia="Courier New" w:hAnsi="Courier New"/>
          <w:color w:val="1A5276"/>
          <w:sz w:val="18"/>
          <w:szCs w:val="18"/>
        </w:rPr>
        <w:t xml:space="preserve">    { "phase": "RESOLVING_REFERENCES", "status": "COMPLETED",</w:t>
      </w:r>
    </w:p>
    <w:p>
      <w:pPr>
        <w:spacing w:after="80"/>
        <w:ind w:left="720"/>
      </w:pPr>
      <w:r>
        <w:rPr>
          <w:rFonts w:ascii="Courier New" w:cs="Courier New" w:eastAsia="Courier New" w:hAnsi="Courier New"/>
          <w:color w:val="1A5276"/>
          <w:sz w:val="18"/>
          <w:szCs w:val="18"/>
        </w:rPr>
        <w:t xml:space="preserve">      "description": "461,212 cross-references resolved in 2m 8s" },</w:t>
      </w:r>
    </w:p>
    <w:p>
      <w:pPr>
        <w:spacing w:after="80"/>
        <w:ind w:left="720"/>
      </w:pPr>
      <w:r>
        <w:rPr>
          <w:rFonts w:ascii="Courier New" w:cs="Courier New" w:eastAsia="Courier New" w:hAnsi="Courier New"/>
          <w:color w:val="1A5276"/>
          <w:sz w:val="18"/>
          <w:szCs w:val="18"/>
        </w:rPr>
        <w:t xml:space="preserve">    { "phase": "ENRICHMENT",           "status": "COMPLETED",</w:t>
      </w:r>
    </w:p>
    <w:p>
      <w:pPr>
        <w:spacing w:after="80"/>
        <w:ind w:left="720"/>
      </w:pPr>
      <w:r>
        <w:rPr>
          <w:rFonts w:ascii="Courier New" w:cs="Courier New" w:eastAsia="Courier New" w:hAnsi="Courier New"/>
          <w:color w:val="1A5276"/>
          <w:sz w:val="18"/>
          <w:szCs w:val="18"/>
        </w:rPr>
        <w:t xml:space="preserve">      "description": "Phase 3 enrichment done — nominalVoltage + substation written" },</w:t>
      </w:r>
    </w:p>
    <w:p>
      <w:pPr>
        <w:spacing w:after="80"/>
        <w:ind w:left="720"/>
      </w:pPr>
      <w:r>
        <w:rPr>
          <w:rFonts w:ascii="Courier New" w:cs="Courier New" w:eastAsia="Courier New" w:hAnsi="Courier New"/>
          <w:color w:val="1A5276"/>
          <w:sz w:val="18"/>
          <w:szCs w:val="18"/>
        </w:rPr>
        <w:t xml:space="preserve">    { "phase": "NEO4J_EXPORT_STARTED", "status": "RUNNING",</w:t>
      </w:r>
    </w:p>
    <w:p>
      <w:pPr>
        <w:spacing w:after="80"/>
        <w:ind w:left="720"/>
      </w:pPr>
      <w:r>
        <w:rPr>
          <w:rFonts w:ascii="Courier New" w:cs="Courier New" w:eastAsia="Courier New" w:hAnsi="Courier New"/>
          <w:color w:val="1A5276"/>
          <w:sz w:val="18"/>
          <w:szCs w:val="18"/>
        </w:rPr>
        <w:t xml:space="preserve">      "description": "Export started: version=DB140-1 mode=FROM_CONFIG clearFirst=true" },</w:t>
      </w:r>
    </w:p>
    <w:p>
      <w:pPr>
        <w:spacing w:after="80"/>
        <w:ind w:left="720"/>
      </w:pPr>
      <w:r>
        <w:rPr>
          <w:rFonts w:ascii="Courier New" w:cs="Courier New" w:eastAsia="Courier New" w:hAnsi="Courier New"/>
          <w:color w:val="1A5276"/>
          <w:sz w:val="18"/>
          <w:szCs w:val="18"/>
        </w:rPr>
        <w:t xml:space="preserve">    { "phase": "NEO4J_EXPORT",         "status": "COMPLETED",</w:t>
      </w:r>
    </w:p>
    <w:p>
      <w:pPr>
        <w:spacing w:after="80"/>
        <w:ind w:left="720"/>
      </w:pPr>
      <w:r>
        <w:rPr>
          <w:rFonts w:ascii="Courier New" w:cs="Courier New" w:eastAsia="Courier New" w:hAnsi="Courier New"/>
          <w:color w:val="1A5276"/>
          <w:sz w:val="18"/>
          <w:szCs w:val="18"/>
        </w:rPr>
        <w:t xml:space="preserve">      "description": "Exported 953,000 nodes and 1,200,000 rels in 12m 4s. version=DB140-1" }</w:t>
      </w:r>
    </w:p>
    <w:p>
      <w:pPr>
        <w:spacing w:after="80"/>
        <w:ind w:left="720"/>
      </w:pPr>
      <w:r>
        <w:rPr>
          <w:rFonts w:ascii="Courier New" w:cs="Courier New" w:eastAsia="Courier New" w:hAnsi="Courier New"/>
          <w:color w:val="1A5276"/>
          <w:sz w:val="18"/>
          <w:szCs w:val="18"/>
        </w:rPr>
        <w:t xml:space="preserve">  ]</w:t>
      </w:r>
    </w:p>
    <w:p>
      <w:pPr>
        <w:spacing w:after="80"/>
        <w:ind w:left="720"/>
      </w:pPr>
      <w:r>
        <w:rPr>
          <w:rFonts w:ascii="Courier New" w:cs="Courier New" w:eastAsia="Courier New" w:hAnsi="Courier New"/>
          <w:color w:val="1A5276"/>
          <w:sz w:val="18"/>
          <w:szCs w:val="18"/>
        </w:rPr>
        <w:t xml:space="preserve">}</w:t>
      </w:r>
    </w:p>
    <w:p>
      <w:pPr>
        <w:spacing w:after="160"/>
      </w:pPr>
    </w:p>
    <w:p>
      <w:pPr>
        <w:pStyle w:val="Heading2"/>
        <w:spacing w:after="160" w:before="300"/>
        <w:rPr>
          <w:b/>
          <w:bCs/>
          <w:color w:val="2E86C1"/>
          <w:sz w:val="24"/>
          <w:szCs w:val="24"/>
        </w:rPr>
      </w:pPr>
      <w:r>
        <w:t xml:space="preserve">9.2 enabledNamespaces</w:t>
      </w:r>
    </w:p>
    <w:p>
      <w:pPr>
        <w:spacing w:after="120"/>
      </w:pPr>
      <w:r>
        <w:rPr>
          <w:color w:val="000000"/>
          <w:sz w:val="20"/>
          <w:szCs w:val="20"/>
        </w:rPr>
        <w:t xml:space="preserve">The enabledNamespaces array in validation_jobs stores only the namespace prefixes relevant to the importing organisation. Global namespaces (orgId=null) plus org-specific namespaces (orgId=CAISO) are included. Other organisations' namespaces are excluded. This is controlled by NamespaceService.getByOrg(orgId).</w:t>
      </w:r>
    </w:p>
    <w:p>
      <w:pPr>
        <w:spacing w:after="160"/>
      </w:pPr>
    </w:p>
    <w:p>
      <w:r>
        <w:br w:type="page"/>
      </w:r>
    </w:p>
    <w:p>
      <w:pPr>
        <w:pStyle w:val="Heading1"/>
        <w:spacing w:after="200" w:before="400"/>
        <w:rPr>
          <w:b/>
          <w:bCs/>
          <w:color w:val="1F3F7B"/>
          <w:sz w:val="28"/>
          <w:szCs w:val="28"/>
        </w:rPr>
      </w:pPr>
      <w:r>
        <w:t xml:space="preserve">10. Key CIM Node Relationships</w:t>
      </w:r>
    </w:p>
    <w:p>
      <w:pPr>
        <w:pStyle w:val="Heading2"/>
        <w:spacing w:after="160" w:before="300"/>
        <w:rPr>
          <w:b/>
          <w:bCs/>
          <w:color w:val="2E86C1"/>
          <w:sz w:val="24"/>
          <w:szCs w:val="24"/>
        </w:rPr>
      </w:pPr>
      <w:r>
        <w:t xml:space="preserve">10.1 Core Topology Chain</w:t>
      </w:r>
    </w:p>
    <w:p>
      <w:pPr>
        <w:spacing w:after="120"/>
      </w:pPr>
      <w:r>
        <w:rPr>
          <w:color w:val="000000"/>
          <w:sz w:val="20"/>
          <w:szCs w:val="20"/>
        </w:rPr>
        <w:t xml:space="preserve">This chain is the foundation for enrichment, topology export, and label application:</w:t>
      </w:r>
    </w:p>
    <w:p>
      <w:pPr>
        <w:spacing w:after="80"/>
        <w:ind w:left="720"/>
      </w:pPr>
      <w:r>
        <w:rPr>
          <w:rFonts w:ascii="Courier New" w:cs="Courier New" w:eastAsia="Courier New" w:hAnsi="Courier New"/>
          <w:color w:val="1A5276"/>
          <w:sz w:val="18"/>
          <w:szCs w:val="18"/>
        </w:rPr>
        <w:t xml:space="preserve">Equipment (ACLineSegment, Breaker, etc.)</w:t>
      </w:r>
    </w:p>
    <w:p>
      <w:pPr>
        <w:spacing w:after="80"/>
        <w:ind w:left="720"/>
      </w:pPr>
      <w:r>
        <w:rPr>
          <w:rFonts w:ascii="Courier New" w:cs="Courier New" w:eastAsia="Courier New" w:hAnsi="Courier New"/>
          <w:color w:val="1A5276"/>
          <w:sz w:val="18"/>
          <w:szCs w:val="18"/>
        </w:rPr>
        <w:t xml:space="preserve">  ←[Terminal_ConductingEquipment]─ Terminal</w:t>
      </w:r>
    </w:p>
    <w:p>
      <w:pPr>
        <w:spacing w:after="80"/>
        <w:ind w:left="720"/>
      </w:pPr>
      <w:r>
        <w:rPr>
          <w:rFonts w:ascii="Courier New" w:cs="Courier New" w:eastAsia="Courier New" w:hAnsi="Courier New"/>
          <w:color w:val="1A5276"/>
          <w:sz w:val="18"/>
          <w:szCs w:val="18"/>
        </w:rPr>
        <w:t xml:space="preserve">  ─[Terminal_ConnectivityNode]──► ConnectivityNode</w:t>
      </w:r>
    </w:p>
    <w:p>
      <w:pPr>
        <w:spacing w:after="80"/>
        <w:ind w:left="720"/>
      </w:pPr>
      <w:r>
        <w:rPr>
          <w:rFonts w:ascii="Courier New" w:cs="Courier New" w:eastAsia="Courier New" w:hAnsi="Courier New"/>
          <w:color w:val="1A5276"/>
          <w:sz w:val="18"/>
          <w:szCs w:val="18"/>
        </w:rPr>
        <w:t xml:space="preserve">  ─[ConnectivityNode_ConnectivityNodeContainer]──► VoltageLevel</w:t>
      </w:r>
    </w:p>
    <w:p>
      <w:pPr>
        <w:spacing w:after="80"/>
        <w:ind w:left="720"/>
      </w:pPr>
      <w:r>
        <w:rPr>
          <w:rFonts w:ascii="Courier New" w:cs="Courier New" w:eastAsia="Courier New" w:hAnsi="Courier New"/>
          <w:color w:val="1A5276"/>
          <w:sz w:val="18"/>
          <w:szCs w:val="18"/>
        </w:rPr>
        <w:t xml:space="preserve">  ─[VoltageLevel_Substation]──► Substation</w:t>
      </w:r>
    </w:p>
    <w:p>
      <w:pPr>
        <w:spacing w:after="80"/>
        <w:ind w:left="720"/>
      </w:pPr>
      <w:r>
        <w:rPr>
          <w:rFonts w:ascii="Courier New" w:cs="Courier New" w:eastAsia="Courier New" w:hAnsi="Courier New"/>
          <w:color w:val="1A5276"/>
          <w:sz w:val="18"/>
          <w:szCs w:val="18"/>
        </w:rPr>
        <w:t xml:space="preserve">  ─[Substation_Region]──────────► SubGeographicalRegion</w:t>
      </w:r>
    </w:p>
    <w:p>
      <w:pPr>
        <w:spacing w:after="80"/>
        <w:ind w:left="720"/>
      </w:pPr>
      <w:r>
        <w:rPr>
          <w:rFonts w:ascii="Courier New" w:cs="Courier New" w:eastAsia="Courier New" w:hAnsi="Courier New"/>
          <w:color w:val="1A5276"/>
          <w:sz w:val="18"/>
          <w:szCs w:val="18"/>
        </w:rPr>
        <w:t xml:space="preserve">  ─[SubGeographicalRegion_Region]► GeographicalRegion</w:t>
      </w:r>
    </w:p>
    <w:p>
      <w:pPr>
        <w:spacing w:after="160"/>
      </w:pPr>
    </w:p>
    <w:p>
      <w:pPr>
        <w:pStyle w:val="Heading2"/>
        <w:spacing w:after="160" w:before="300"/>
        <w:rPr>
          <w:b/>
          <w:bCs/>
          <w:color w:val="2E86C1"/>
          <w:sz w:val="24"/>
          <w:szCs w:val="24"/>
        </w:rPr>
      </w:pPr>
      <w:r>
        <w:t xml:space="preserve">10.2 Voltage Chain</w:t>
      </w:r>
    </w:p>
    <w:p>
      <w:pPr>
        <w:spacing w:after="80"/>
        <w:ind w:left="720"/>
      </w:pPr>
      <w:r>
        <w:rPr>
          <w:rFonts w:ascii="Courier New" w:cs="Courier New" w:eastAsia="Courier New" w:hAnsi="Courier New"/>
          <w:color w:val="1A5276"/>
          <w:sz w:val="18"/>
          <w:szCs w:val="18"/>
        </w:rPr>
        <w:t xml:space="preserve">Equipment ─[ConductingEquipment_BaseVoltage]──► BaseVoltage</w:t>
      </w:r>
    </w:p>
    <w:p>
      <w:pPr>
        <w:spacing w:after="80"/>
        <w:ind w:left="720"/>
      </w:pPr>
      <w:r>
        <w:rPr>
          <w:rFonts w:ascii="Courier New" w:cs="Courier New" w:eastAsia="Courier New" w:hAnsi="Courier New"/>
          <w:color w:val="1A5276"/>
          <w:sz w:val="18"/>
          <w:szCs w:val="18"/>
        </w:rPr>
        <w:t xml:space="preserve">              attributes["BaseVoltage_nominalVoltage"] → 66.0</w:t>
      </w:r>
    </w:p>
    <w:p>
      <w:pPr>
        <w:spacing w:after="80"/>
        <w:ind w:left="720"/>
      </w:pPr>
      <w:r>
        <w:rPr>
          <w:rFonts w:ascii="Courier New" w:cs="Courier New" w:eastAsia="Courier New" w:hAnsi="Courier New"/>
          <w:color w:val="1A5276"/>
          <w:sz w:val="18"/>
          <w:szCs w:val="18"/>
        </w:rPr>
        <w:t xml:space="preserve"/>
      </w:r>
    </w:p>
    <w:p>
      <w:pPr>
        <w:spacing w:after="80"/>
        <w:ind w:left="720"/>
      </w:pPr>
      <w:r>
        <w:rPr>
          <w:rFonts w:ascii="Courier New" w:cs="Courier New" w:eastAsia="Courier New" w:hAnsi="Courier New"/>
          <w:color w:val="1A5276"/>
          <w:sz w:val="18"/>
          <w:szCs w:val="18"/>
        </w:rPr>
        <w:t xml:space="preserve">VoltageLevel ─[VoltageLevel_BaseVoltage]──► BaseVoltage   (used for GeneratingUnit)</w:t>
      </w:r>
    </w:p>
    <w:p>
      <w:pPr>
        <w:spacing w:after="160"/>
      </w:pPr>
    </w:p>
    <w:p>
      <w:pPr>
        <w:pStyle w:val="Heading2"/>
        <w:spacing w:after="160" w:before="300"/>
        <w:rPr>
          <w:b/>
          <w:bCs/>
          <w:color w:val="2E86C1"/>
          <w:sz w:val="24"/>
          <w:szCs w:val="24"/>
        </w:rPr>
      </w:pPr>
      <w:r>
        <w:t xml:space="preserve">10.3 GeneratingUnit Chain</w:t>
      </w:r>
    </w:p>
    <w:p>
      <w:pPr>
        <w:spacing w:after="80"/>
        <w:ind w:left="720"/>
      </w:pPr>
      <w:r>
        <w:rPr>
          <w:rFonts w:ascii="Courier New" w:cs="Courier New" w:eastAsia="Courier New" w:hAnsi="Courier New"/>
          <w:color w:val="1A5276"/>
          <w:sz w:val="18"/>
          <w:szCs w:val="18"/>
        </w:rPr>
        <w:t xml:space="preserve">SynchronousMachine ─[SynchronousMachine_GeneratingUnit]──► GeneratingUnit</w:t>
      </w:r>
    </w:p>
    <w:p>
      <w:pPr>
        <w:spacing w:after="80"/>
        <w:ind w:left="720"/>
      </w:pPr>
      <w:r>
        <w:rPr>
          <w:rFonts w:ascii="Courier New" w:cs="Courier New" w:eastAsia="Courier New" w:hAnsi="Courier New"/>
          <w:color w:val="1A5276"/>
          <w:sz w:val="18"/>
          <w:szCs w:val="18"/>
        </w:rPr>
        <w:t xml:space="preserve">(Inverted in smByGu map: GeneratingUnit.rdfId → SynchronousMachine.rdfId)</w:t>
      </w:r>
    </w:p>
    <w:p>
      <w:pPr>
        <w:spacing w:after="80"/>
        <w:ind w:left="720"/>
      </w:pPr>
      <w:r>
        <w:rPr>
          <w:rFonts w:ascii="Courier New" w:cs="Courier New" w:eastAsia="Courier New" w:hAnsi="Courier New"/>
          <w:color w:val="1A5276"/>
          <w:sz w:val="18"/>
          <w:szCs w:val="18"/>
        </w:rPr>
        <w:t xml:space="preserve">Then Terminal chain from SynchronousMachine gives substation + voltage</w:t>
      </w:r>
    </w:p>
    <w:p>
      <w:pPr>
        <w:spacing w:after="160"/>
      </w:pPr>
    </w:p>
    <w:p>
      <w:pPr>
        <w:pStyle w:val="Heading2"/>
        <w:spacing w:after="160" w:before="300"/>
        <w:rPr>
          <w:b/>
          <w:bCs/>
          <w:color w:val="2E86C1"/>
          <w:sz w:val="24"/>
          <w:szCs w:val="24"/>
        </w:rPr>
      </w:pPr>
      <w:r>
        <w:t xml:space="preserve">10.4 Equipment Container Chain</w:t>
      </w:r>
    </w:p>
    <w:p>
      <w:pPr>
        <w:spacing w:after="80"/>
        <w:ind w:left="720"/>
      </w:pPr>
      <w:r>
        <w:rPr>
          <w:rFonts w:ascii="Courier New" w:cs="Courier New" w:eastAsia="Courier New" w:hAnsi="Courier New"/>
          <w:color w:val="1A5276"/>
          <w:sz w:val="18"/>
          <w:szCs w:val="18"/>
        </w:rPr>
        <w:t xml:space="preserve">Equipment ─[Equipment_EquipmentContainer]──► Line (or Bay, VoltageLevel, Substation)</w:t>
      </w:r>
    </w:p>
    <w:p>
      <w:pPr>
        <w:spacing w:after="80"/>
        <w:ind w:left="720"/>
      </w:pPr>
      <w:r>
        <w:rPr>
          <w:rFonts w:ascii="Courier New" w:cs="Courier New" w:eastAsia="Courier New" w:hAnsi="Courier New"/>
          <w:color w:val="1A5276"/>
          <w:sz w:val="18"/>
          <w:szCs w:val="18"/>
        </w:rPr>
        <w:t xml:space="preserve">Line.resolvedRefIds is empty in CAISO data — no direct Line→Substation path</w:t>
      </w:r>
    </w:p>
    <w:p>
      <w:pPr>
        <w:spacing w:after="160"/>
      </w:pPr>
    </w:p>
    <w:p>
      <w:pPr>
        <w:pStyle w:val="Heading2"/>
        <w:spacing w:after="160" w:before="300"/>
        <w:rPr>
          <w:b/>
          <w:bCs/>
          <w:color w:val="2E86C1"/>
          <w:sz w:val="24"/>
          <w:szCs w:val="24"/>
        </w:rPr>
      </w:pPr>
      <w:r>
        <w:t xml:space="preserve">10.5 Key MongoDB vs Neo4j Relationship Differences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gridSpan w:val="1"/>
            <w:tcBorders>
              <w:top w:val="single" w:color="AAAAAA" w:sz="1"/>
              <w:left w:val="single" w:color="AAAAAA" w:sz="1"/>
              <w:bottom w:val="single" w:color="AAAAAA" w:sz="1"/>
              <w:right w:val="single" w:color="AAAAAA" w:sz="1"/>
            </w:tcBorders>
            <w:shd w:fill="1F3F7B" w:color="1F3F7B" w:val="clear"/>
            <w:tcMar>
              <w:top w:type="dxa" w:w="80"/>
              <w:left w:type="dxa" w:w="120"/>
              <w:bottom w:type="dxa" w:w="80"/>
              <w:right w:type="dxa" w:w="120"/>
            </w:tcMar>
            <w:vAlign w:val="center"/>
          </w:tcPr>
          <w:p>
            <w:pPr>
              <w:spacing w:after="60" w:before="60"/>
              <w:jc w:val="left"/>
            </w:pPr>
            <w:r>
              <w:rPr>
                <w:b/>
                <w:bCs/>
                <w:color w:val="FFFFFF"/>
                <w:sz w:val="18"/>
                <w:szCs w:val="18"/>
              </w:rPr>
              <w:t xml:space="preserve">Aspect</w:t>
            </w:r>
          </w:p>
        </w:tc>
        <w:tc>
          <w:tcPr>
            <w:tcW w:type="dxa" w:w="3200"/>
            <w:gridSpan w:val="1"/>
            <w:tcBorders>
              <w:top w:val="single" w:color="AAAAAA" w:sz="1"/>
              <w:left w:val="single" w:color="AAAAAA" w:sz="1"/>
              <w:bottom w:val="single" w:color="AAAAAA" w:sz="1"/>
              <w:right w:val="single" w:color="AAAAAA" w:sz="1"/>
            </w:tcBorders>
            <w:shd w:fill="1F3F7B" w:color="1F3F7B" w:val="clear"/>
            <w:tcMar>
              <w:top w:type="dxa" w:w="80"/>
              <w:left w:type="dxa" w:w="120"/>
              <w:bottom w:type="dxa" w:w="80"/>
              <w:right w:type="dxa" w:w="120"/>
            </w:tcMar>
            <w:vAlign w:val="center"/>
          </w:tcPr>
          <w:p>
            <w:pPr>
              <w:spacing w:after="60" w:before="60"/>
              <w:jc w:val="left"/>
            </w:pPr>
            <w:r>
              <w:rPr>
                <w:b/>
                <w:bCs/>
                <w:color w:val="FFFFFF"/>
                <w:sz w:val="18"/>
                <w:szCs w:val="18"/>
              </w:rPr>
              <w:t xml:space="preserve">MongoDB (cim_objects)</w:t>
            </w:r>
          </w:p>
        </w:tc>
        <w:tc>
          <w:tcPr>
            <w:tcW w:type="dxa" w:w="3200"/>
            <w:gridSpan w:val="1"/>
            <w:tcBorders>
              <w:top w:val="single" w:color="AAAAAA" w:sz="1"/>
              <w:left w:val="single" w:color="AAAAAA" w:sz="1"/>
              <w:bottom w:val="single" w:color="AAAAAA" w:sz="1"/>
              <w:right w:val="single" w:color="AAAAAA" w:sz="1"/>
            </w:tcBorders>
            <w:shd w:fill="1F3F7B" w:color="1F3F7B" w:val="clear"/>
            <w:tcMar>
              <w:top w:type="dxa" w:w="80"/>
              <w:left w:type="dxa" w:w="120"/>
              <w:bottom w:type="dxa" w:w="80"/>
              <w:right w:type="dxa" w:w="120"/>
            </w:tcMar>
            <w:vAlign w:val="center"/>
          </w:tcPr>
          <w:p>
            <w:pPr>
              <w:spacing w:after="60" w:before="60"/>
              <w:jc w:val="left"/>
            </w:pPr>
            <w:r>
              <w:rPr>
                <w:b/>
                <w:bCs/>
                <w:color w:val="FFFFFF"/>
                <w:sz w:val="18"/>
                <w:szCs w:val="18"/>
              </w:rPr>
              <w:t xml:space="preserve">Neo4j</w:t>
            </w:r>
          </w:p>
        </w:tc>
      </w:tr>
      <w:tr>
        <w:tc>
          <w:tcPr>
            <w:tcW w:type="dxa" w:w="20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Key format</w:t>
            </w:r>
          </w:p>
        </w:tc>
        <w:tc>
          <w:tcPr>
            <w:tcW w:type="dxa" w:w="32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Underscore encoded: "Terminal_ConductingEquipment"</w:t>
            </w:r>
          </w:p>
        </w:tc>
        <w:tc>
          <w:tcPr>
            <w:tcW w:type="dxa" w:w="32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Backtick-quoted: [:`Terminal.ConductingEquipment`]</w:t>
            </w:r>
          </w:p>
        </w:tc>
      </w:tr>
      <w:tr>
        <w:tc>
          <w:tcPr>
            <w:tcW w:type="dxa" w:w="20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Ref storage</w:t>
            </w:r>
          </w:p>
        </w:tc>
        <w:tc>
          <w:tcPr>
            <w:tcW w:type="dxa" w:w="32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resolvedRefIds map with encoded keys</w:t>
            </w:r>
          </w:p>
        </w:tc>
        <w:tc>
          <w:tcPr>
            <w:tcW w:type="dxa" w:w="32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Relationship type = original CIM attribute name</w:t>
            </w:r>
          </w:p>
        </w:tc>
      </w:tr>
      <w:tr>
        <w:tc>
          <w:tcPr>
            <w:tcW w:type="dxa" w:w="20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Node identity</w:t>
            </w:r>
          </w:p>
        </w:tc>
        <w:tc>
          <w:tcPr>
            <w:tcW w:type="dxa" w:w="32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rdfId + mrid fields</w:t>
            </w:r>
          </w:p>
        </w:tc>
        <w:tc>
          <w:tcPr>
            <w:tcW w:type="dxa" w:w="32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nodeKey = rdfId|version|orgId</w:t>
            </w:r>
          </w:p>
        </w:tc>
      </w:tr>
      <w:tr>
        <w:tc>
          <w:tcPr>
            <w:tcW w:type="dxa" w:w="20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Enrichment</w:t>
            </w:r>
          </w:p>
        </w:tc>
        <w:tc>
          <w:tcPr>
            <w:tcW w:type="dxa" w:w="32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Stored in attributes map</w:t>
            </w:r>
          </w:p>
        </w:tc>
        <w:tc>
          <w:tcPr>
            <w:tcW w:type="dxa" w:w="32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Stored as node properties (copied from attributes)</w:t>
            </w:r>
          </w:p>
        </w:tc>
      </w:tr>
    </w:tbl>
    <w:p>
      <w:pPr>
        <w:spacing w:after="160"/>
      </w:pPr>
    </w:p>
    <w:p>
      <w:r>
        <w:br w:type="page"/>
      </w:r>
    </w:p>
    <w:p>
      <w:pPr>
        <w:pStyle w:val="Heading1"/>
        <w:spacing w:after="200" w:before="400"/>
        <w:rPr>
          <w:b/>
          <w:bCs/>
          <w:color w:val="1F3F7B"/>
          <w:sz w:val="28"/>
          <w:szCs w:val="28"/>
        </w:rPr>
      </w:pPr>
      <w:r>
        <w:t xml:space="preserve">11. Namespace Management</w:t>
      </w:r>
    </w:p>
    <w:p>
      <w:pPr>
        <w:pStyle w:val="Heading2"/>
        <w:spacing w:after="160" w:before="300"/>
        <w:rPr>
          <w:b/>
          <w:bCs/>
          <w:color w:val="2E86C1"/>
          <w:sz w:val="24"/>
          <w:szCs w:val="24"/>
        </w:rPr>
      </w:pPr>
      <w:r>
        <w:t xml:space="preserve">11.1 How Namespaces Work</w:t>
      </w:r>
    </w:p>
    <w:p>
      <w:pPr>
        <w:spacing w:after="120"/>
      </w:pPr>
      <w:r>
        <w:rPr>
          <w:color w:val="000000"/>
          <w:sz w:val="20"/>
          <w:szCs w:val="20"/>
        </w:rPr>
        <w:t xml:space="preserve">CIM RDF/XML files use XML namespaces to qualify attribute names. The platform supports multiple namespace prefixes per organisation. Namespaces are stored in namespace_configs and loaded per job.</w:t>
      </w:r>
    </w:p>
    <w:p>
      <w:pPr>
        <w:spacing w:after="160"/>
      </w:pPr>
    </w:p>
    <w:p>
      <w:pPr>
        <w:pStyle w:val="Heading2"/>
        <w:spacing w:after="160" w:before="300"/>
        <w:rPr>
          <w:b/>
          <w:bCs/>
          <w:color w:val="2E86C1"/>
          <w:sz w:val="24"/>
          <w:szCs w:val="24"/>
        </w:rPr>
      </w:pPr>
      <w:r>
        <w:t xml:space="preserve">11.2 Namespace Scope</w:t>
      </w:r>
    </w:p>
    <w:p>
      <w:pPr>
        <w:pStyle w:val="ListParagraph"/>
        <w:numPr>
          <w:ilvl w:val="0"/>
          <w:numId w:val="1"/>
        </w:numPr>
        <w:spacing w:after="80"/>
      </w:pPr>
      <w:r>
        <w:rPr>
          <w:sz w:val="20"/>
          <w:szCs w:val="20"/>
        </w:rPr>
        <w:t xml:space="preserve">orgId = null (global): applies to all organisations. Example: cim: prefix for standard CIM attributes.</w:t>
      </w:r>
    </w:p>
    <w:p>
      <w:pPr>
        <w:pStyle w:val="ListParagraph"/>
        <w:numPr>
          <w:ilvl w:val="0"/>
          <w:numId w:val="1"/>
        </w:numPr>
        <w:spacing w:after="80"/>
      </w:pPr>
      <w:r>
        <w:rPr>
          <w:sz w:val="20"/>
          <w:szCs w:val="20"/>
        </w:rPr>
        <w:t xml:space="preserve">orgId = "CAISO": applies only when importing CAISO files. Example: caiso: prefix for CAISO extensions.</w:t>
      </w:r>
    </w:p>
    <w:p>
      <w:pPr>
        <w:pStyle w:val="ListParagraph"/>
        <w:numPr>
          <w:ilvl w:val="0"/>
          <w:numId w:val="1"/>
        </w:numPr>
        <w:spacing w:after="80"/>
      </w:pPr>
      <w:r>
        <w:rPr>
          <w:sz w:val="20"/>
          <w:szCs w:val="20"/>
        </w:rPr>
        <w:t xml:space="preserve">Priority: org-specific overrides global when there is a conflict.</w:t>
      </w:r>
    </w:p>
    <w:p>
      <w:pPr>
        <w:spacing w:after="160"/>
      </w:pPr>
    </w:p>
    <w:p>
      <w:pPr>
        <w:pStyle w:val="Heading2"/>
        <w:spacing w:after="160" w:before="300"/>
        <w:rPr>
          <w:b/>
          <w:bCs/>
          <w:color w:val="2E86C1"/>
          <w:sz w:val="24"/>
          <w:szCs w:val="24"/>
        </w:rPr>
      </w:pPr>
      <w:r>
        <w:t xml:space="preserve">11.3 Job-Scoped Cache</w:t>
      </w:r>
    </w:p>
    <w:p>
      <w:pPr>
        <w:spacing w:after="120"/>
      </w:pPr>
      <w:r>
        <w:rPr>
          <w:color w:val="000000"/>
          <w:sz w:val="20"/>
          <w:szCs w:val="20"/>
        </w:rPr>
        <w:t xml:space="preserve">NamespaceService.loadForJob(jobId, orgId) loads global + org-specific namespaces into an in-memory cache for the duration of the import. clearAfterJob(jobId) removes the cache after completion. This prevents stale data in concurrent imports.</w:t>
      </w:r>
    </w:p>
    <w:p>
      <w:pPr>
        <w:spacing w:after="160"/>
      </w:pPr>
    </w:p>
    <w:p>
      <w:pPr>
        <w:pStyle w:val="Heading2"/>
        <w:spacing w:after="160" w:before="300"/>
        <w:rPr>
          <w:b/>
          <w:bCs/>
          <w:color w:val="2E86C1"/>
          <w:sz w:val="24"/>
          <w:szCs w:val="24"/>
        </w:rPr>
      </w:pPr>
      <w:r>
        <w:t xml:space="preserve">11.4 Unknown Namespace Handling</w:t>
      </w:r>
    </w:p>
    <w:p>
      <w:pPr>
        <w:spacing w:after="120"/>
      </w:pPr>
      <w:r>
        <w:rPr>
          <w:color w:val="000000"/>
          <w:sz w:val="20"/>
          <w:szCs w:val="20"/>
        </w:rPr>
        <w:t xml:space="preserve">If a tag uses an unrecognised namespace prefix (e.g. "spc:Equipment.NAFlag" when spc is not enabled), a pathIssue with status UNKNOWN_NAMESPACE is recorded. The attribute is still stored in raw_objects but may be excluded from cim_objects depending on config.</w:t>
      </w:r>
    </w:p>
    <w:p>
      <w:pPr>
        <w:spacing w:after="160"/>
      </w:pPr>
    </w:p>
    <w:p>
      <w:r>
        <w:br w:type="page"/>
      </w:r>
    </w:p>
    <w:p>
      <w:pPr>
        <w:pStyle w:val="Heading1"/>
        <w:spacing w:after="200" w:before="400"/>
        <w:rPr>
          <w:b/>
          <w:bCs/>
          <w:color w:val="1F3F7B"/>
          <w:sz w:val="28"/>
          <w:szCs w:val="28"/>
        </w:rPr>
      </w:pPr>
      <w:r>
        <w:t xml:space="preserve">12. Neo4j Export Configuration</w:t>
      </w:r>
    </w:p>
    <w:p>
      <w:pPr>
        <w:pStyle w:val="Heading2"/>
        <w:spacing w:after="160" w:before="300"/>
        <w:rPr>
          <w:b/>
          <w:bCs/>
          <w:color w:val="2E86C1"/>
          <w:sz w:val="24"/>
          <w:szCs w:val="24"/>
        </w:rPr>
      </w:pPr>
      <w:r>
        <w:t xml:space="preserve">12.1 Export Config Document (neo4j_export_configs)</w:t>
      </w:r>
    </w:p>
    <w:p>
      <w:pPr>
        <w:spacing w:after="80"/>
        <w:ind w:left="720"/>
      </w:pPr>
      <w:r>
        <w:rPr>
          <w:rFonts w:ascii="Courier New" w:cs="Courier New" w:eastAsia="Courier New" w:hAnsi="Courier New"/>
          <w:color w:val="1A5276"/>
          <w:sz w:val="18"/>
          <w:szCs w:val="18"/>
        </w:rPr>
        <w:t xml:space="preserve">{</w:t>
      </w:r>
    </w:p>
    <w:p>
      <w:pPr>
        <w:spacing w:after="80"/>
        <w:ind w:left="720"/>
      </w:pPr>
      <w:r>
        <w:rPr>
          <w:rFonts w:ascii="Courier New" w:cs="Courier New" w:eastAsia="Courier New" w:hAnsi="Courier New"/>
          <w:color w:val="1A5276"/>
          <w:sz w:val="18"/>
          <w:szCs w:val="18"/>
        </w:rPr>
        <w:t xml:space="preserve">  "_id":         "6820f398e010f0645e5b277a",</w:t>
      </w:r>
    </w:p>
    <w:p>
      <w:pPr>
        <w:spacing w:after="80"/>
        <w:ind w:left="720"/>
      </w:pPr>
      <w:r>
        <w:rPr>
          <w:rFonts w:ascii="Courier New" w:cs="Courier New" w:eastAsia="Courier New" w:hAnsi="Courier New"/>
          <w:color w:val="1A5276"/>
          <w:sz w:val="18"/>
          <w:szCs w:val="18"/>
        </w:rPr>
        <w:t xml:space="preserve">  "configName":  "CAISO_DB140",</w:t>
      </w:r>
    </w:p>
    <w:p>
      <w:pPr>
        <w:spacing w:after="80"/>
        <w:ind w:left="720"/>
      </w:pPr>
      <w:r>
        <w:rPr>
          <w:rFonts w:ascii="Courier New" w:cs="Courier New" w:eastAsia="Courier New" w:hAnsi="Courier New"/>
          <w:color w:val="1A5276"/>
          <w:sz w:val="18"/>
          <w:szCs w:val="18"/>
        </w:rPr>
        <w:t xml:space="preserve">  "orgId":       "CAISO",</w:t>
      </w:r>
    </w:p>
    <w:p>
      <w:pPr>
        <w:spacing w:after="80"/>
        <w:ind w:left="720"/>
      </w:pPr>
      <w:r>
        <w:rPr>
          <w:rFonts w:ascii="Courier New" w:cs="Courier New" w:eastAsia="Courier New" w:hAnsi="Courier New"/>
          <w:color w:val="1A5276"/>
          <w:sz w:val="18"/>
          <w:szCs w:val="18"/>
        </w:rPr>
        <w:t xml:space="preserve">  "fullCimTypes":         ["ACLineSegment", "Terminal", "ConnectivityNode", ...],</w:t>
      </w:r>
    </w:p>
    <w:p>
      <w:pPr>
        <w:spacing w:after="80"/>
        <w:ind w:left="720"/>
      </w:pPr>
      <w:r>
        <w:rPr>
          <w:rFonts w:ascii="Courier New" w:cs="Courier New" w:eastAsia="Courier New" w:hAnsi="Courier New"/>
          <w:color w:val="1A5276"/>
          <w:sz w:val="18"/>
          <w:szCs w:val="18"/>
        </w:rPr>
        <w:t xml:space="preserve">  "sanitisedCimTypes":    ["ACLineSegment", "Substation", "Breaker", ...],</w:t>
      </w:r>
    </w:p>
    <w:p>
      <w:pPr>
        <w:spacing w:after="80"/>
        <w:ind w:left="720"/>
      </w:pPr>
      <w:r>
        <w:rPr>
          <w:rFonts w:ascii="Courier New" w:cs="Courier New" w:eastAsia="Courier New" w:hAnsi="Courier New"/>
          <w:color w:val="1A5276"/>
          <w:sz w:val="18"/>
          <w:szCs w:val="18"/>
        </w:rPr>
        <w:t xml:space="preserve">  "rationalisedCimTypes": ["ACLineSegment", "Substation", "Breaker", ...]</w:t>
      </w:r>
    </w:p>
    <w:p>
      <w:pPr>
        <w:spacing w:after="80"/>
        <w:ind w:left="720"/>
      </w:pPr>
      <w:r>
        <w:rPr>
          <w:rFonts w:ascii="Courier New" w:cs="Courier New" w:eastAsia="Courier New" w:hAnsi="Courier New"/>
          <w:color w:val="1A5276"/>
          <w:sz w:val="18"/>
          <w:szCs w:val="18"/>
        </w:rPr>
        <w:t xml:space="preserve">}</w:t>
      </w:r>
    </w:p>
    <w:p>
      <w:pPr>
        <w:spacing w:after="160"/>
      </w:pPr>
    </w:p>
    <w:p>
      <w:pPr>
        <w:pStyle w:val="Heading2"/>
        <w:spacing w:after="160" w:before="300"/>
        <w:rPr>
          <w:b/>
          <w:bCs/>
          <w:color w:val="2E86C1"/>
          <w:sz w:val="24"/>
          <w:szCs w:val="24"/>
        </w:rPr>
      </w:pPr>
      <w:r>
        <w:t xml:space="preserve">12.2 FROM_CONFIG Routing Logic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600"/>
            <w:gridSpan w:val="1"/>
            <w:tcBorders>
              <w:top w:val="single" w:color="AAAAAA" w:sz="1"/>
              <w:left w:val="single" w:color="AAAAAA" w:sz="1"/>
              <w:bottom w:val="single" w:color="AAAAAA" w:sz="1"/>
              <w:right w:val="single" w:color="AAAAAA" w:sz="1"/>
            </w:tcBorders>
            <w:shd w:fill="1F3F7B" w:color="1F3F7B" w:val="clear"/>
            <w:tcMar>
              <w:top w:type="dxa" w:w="80"/>
              <w:left w:type="dxa" w:w="120"/>
              <w:bottom w:type="dxa" w:w="80"/>
              <w:right w:type="dxa" w:w="120"/>
            </w:tcMar>
            <w:vAlign w:val="center"/>
          </w:tcPr>
          <w:p>
            <w:pPr>
              <w:spacing w:after="60" w:before="60"/>
              <w:jc w:val="left"/>
            </w:pPr>
            <w:r>
              <w:rPr>
                <w:b/>
                <w:bCs/>
                <w:color w:val="FFFFFF"/>
                <w:sz w:val="18"/>
                <w:szCs w:val="18"/>
              </w:rPr>
              <w:t xml:space="preserve">Request</w:t>
            </w:r>
          </w:p>
        </w:tc>
        <w:tc>
          <w:tcPr>
            <w:tcW w:type="dxa" w:w="4800"/>
            <w:gridSpan w:val="1"/>
            <w:tcBorders>
              <w:top w:val="single" w:color="AAAAAA" w:sz="1"/>
              <w:left w:val="single" w:color="AAAAAA" w:sz="1"/>
              <w:bottom w:val="single" w:color="AAAAAA" w:sz="1"/>
              <w:right w:val="single" w:color="AAAAAA" w:sz="1"/>
            </w:tcBorders>
            <w:shd w:fill="1F3F7B" w:color="1F3F7B" w:val="clear"/>
            <w:tcMar>
              <w:top w:type="dxa" w:w="80"/>
              <w:left w:type="dxa" w:w="120"/>
              <w:bottom w:type="dxa" w:w="80"/>
              <w:right w:type="dxa" w:w="120"/>
            </w:tcMar>
            <w:vAlign w:val="center"/>
          </w:tcPr>
          <w:p>
            <w:pPr>
              <w:spacing w:after="60" w:before="60"/>
              <w:jc w:val="left"/>
            </w:pPr>
            <w:r>
              <w:rPr>
                <w:b/>
                <w:bCs/>
                <w:color w:val="FFFFFF"/>
                <w:sz w:val="18"/>
                <w:szCs w:val="18"/>
              </w:rPr>
              <w:t xml:space="preserve">Behaviour</w:t>
            </w:r>
          </w:p>
        </w:tc>
      </w:tr>
      <w:tr>
        <w:tc>
          <w:tcPr>
            <w:tcW w:type="dxa" w:w="36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mode=FROM_CONFIG + configId only (no versionType, no cimTypes)</w:t>
            </w:r>
          </w:p>
        </w:tc>
        <w:tc>
          <w:tcPr>
            <w:tcW w:type="dxa" w:w="48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Exports ALL THREE variants concurrently from config type lists</w:t>
            </w:r>
          </w:p>
        </w:tc>
      </w:tr>
      <w:tr>
        <w:tc>
          <w:tcPr>
            <w:tcW w:type="dxa" w:w="36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mode=FROM_CONFIG + configId + versionType (no cimTypes)</w:t>
            </w:r>
          </w:p>
        </w:tc>
        <w:tc>
          <w:tcPr>
            <w:tcW w:type="dxa" w:w="48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Exports that single variant using config's stored type list</w:t>
            </w:r>
          </w:p>
        </w:tc>
      </w:tr>
      <w:tr>
        <w:tc>
          <w:tcPr>
            <w:tcW w:type="dxa" w:w="36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mode=FROM_CONFIG + configId + cimTypes provided</w:t>
            </w:r>
          </w:p>
        </w:tc>
        <w:tc>
          <w:tcPr>
            <w:tcW w:type="dxa" w:w="48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Exports using caller-supplied cimTypes for the given versionType</w:t>
            </w:r>
          </w:p>
        </w:tc>
      </w:tr>
    </w:tbl>
    <w:p>
      <w:pPr>
        <w:spacing w:after="160"/>
      </w:pPr>
    </w:p>
    <w:p>
      <w:pPr>
        <w:pStyle w:val="Heading2"/>
        <w:spacing w:after="160" w:before="300"/>
        <w:rPr>
          <w:b/>
          <w:bCs/>
          <w:color w:val="2E86C1"/>
          <w:sz w:val="24"/>
          <w:szCs w:val="24"/>
        </w:rPr>
      </w:pPr>
      <w:r>
        <w:t xml:space="preserve">12.3 exportToNeo4j Import Flag</w:t>
      </w:r>
    </w:p>
    <w:p>
      <w:pPr>
        <w:spacing w:after="120"/>
      </w:pPr>
      <w:r>
        <w:rPr>
          <w:color w:val="000000"/>
          <w:sz w:val="20"/>
          <w:szCs w:val="20"/>
        </w:rPr>
        <w:t xml:space="preserve">The import API accepts an exportToNeo4j boolean (default true):</w:t>
      </w:r>
    </w:p>
    <w:p>
      <w:pPr>
        <w:pStyle w:val="ListParagraph"/>
        <w:numPr>
          <w:ilvl w:val="0"/>
          <w:numId w:val="1"/>
        </w:numPr>
        <w:spacing w:after="80"/>
      </w:pPr>
      <w:r>
        <w:rPr>
          <w:sz w:val="20"/>
          <w:szCs w:val="20"/>
        </w:rPr>
        <w:t xml:space="preserve">true: After Phases 1-3, automatically trigger Neo4j export using the default config for the org.</w:t>
      </w:r>
    </w:p>
    <w:p>
      <w:pPr>
        <w:pStyle w:val="ListParagraph"/>
        <w:numPr>
          <w:ilvl w:val="0"/>
          <w:numId w:val="1"/>
        </w:numPr>
        <w:spacing w:after="80"/>
      </w:pPr>
      <w:r>
        <w:rPr>
          <w:sz w:val="20"/>
          <w:szCs w:val="20"/>
        </w:rPr>
        <w:t xml:space="preserve">false: Stop after Phase 3 (MongoDB enrichment). Export can be triggered later via POST /api/admin/neo4j/export. A NEO4J_EXPORT/SKIPPED phase is recorded in validation_jobs.</w:t>
      </w:r>
    </w:p>
    <w:p>
      <w:pPr>
        <w:spacing w:after="160"/>
      </w:pPr>
    </w:p>
    <w:p>
      <w:r>
        <w:br w:type="page"/>
      </w:r>
    </w:p>
    <w:p>
      <w:pPr>
        <w:pStyle w:val="Heading1"/>
        <w:spacing w:after="200" w:before="400"/>
        <w:rPr>
          <w:b/>
          <w:bCs/>
          <w:color w:val="1F3F7B"/>
          <w:sz w:val="28"/>
          <w:szCs w:val="28"/>
        </w:rPr>
      </w:pPr>
      <w:r>
        <w:t xml:space="preserve">13. Supported File Formats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gridSpan w:val="1"/>
            <w:tcBorders>
              <w:top w:val="single" w:color="AAAAAA" w:sz="1"/>
              <w:left w:val="single" w:color="AAAAAA" w:sz="1"/>
              <w:bottom w:val="single" w:color="AAAAAA" w:sz="1"/>
              <w:right w:val="single" w:color="AAAAAA" w:sz="1"/>
            </w:tcBorders>
            <w:shd w:fill="1F3F7B" w:color="1F3F7B" w:val="clear"/>
            <w:tcMar>
              <w:top w:type="dxa" w:w="80"/>
              <w:left w:type="dxa" w:w="120"/>
              <w:bottom w:type="dxa" w:w="80"/>
              <w:right w:type="dxa" w:w="120"/>
            </w:tcMar>
            <w:vAlign w:val="center"/>
          </w:tcPr>
          <w:p>
            <w:pPr>
              <w:spacing w:after="60" w:before="60"/>
              <w:jc w:val="left"/>
            </w:pPr>
            <w:r>
              <w:rPr>
                <w:b/>
                <w:bCs/>
                <w:color w:val="FFFFFF"/>
                <w:sz w:val="18"/>
                <w:szCs w:val="18"/>
              </w:rPr>
              <w:t xml:space="preserve">Format</w:t>
            </w:r>
          </w:p>
        </w:tc>
        <w:tc>
          <w:tcPr>
            <w:tcW w:type="dxa" w:w="2600"/>
            <w:gridSpan w:val="1"/>
            <w:tcBorders>
              <w:top w:val="single" w:color="AAAAAA" w:sz="1"/>
              <w:left w:val="single" w:color="AAAAAA" w:sz="1"/>
              <w:bottom w:val="single" w:color="AAAAAA" w:sz="1"/>
              <w:right w:val="single" w:color="AAAAAA" w:sz="1"/>
            </w:tcBorders>
            <w:shd w:fill="1F3F7B" w:color="1F3F7B" w:val="clear"/>
            <w:tcMar>
              <w:top w:type="dxa" w:w="80"/>
              <w:left w:type="dxa" w:w="120"/>
              <w:bottom w:type="dxa" w:w="80"/>
              <w:right w:type="dxa" w:w="120"/>
            </w:tcMar>
            <w:vAlign w:val="center"/>
          </w:tcPr>
          <w:p>
            <w:pPr>
              <w:spacing w:after="60" w:before="60"/>
              <w:jc w:val="left"/>
            </w:pPr>
            <w:r>
              <w:rPr>
                <w:b/>
                <w:bCs/>
                <w:color w:val="FFFFFF"/>
                <w:sz w:val="18"/>
                <w:szCs w:val="18"/>
              </w:rPr>
              <w:t xml:space="preserve">Parser</w:t>
            </w:r>
          </w:p>
        </w:tc>
        <w:tc>
          <w:tcPr>
            <w:tcW w:type="dxa" w:w="2400"/>
            <w:gridSpan w:val="1"/>
            <w:tcBorders>
              <w:top w:val="single" w:color="AAAAAA" w:sz="1"/>
              <w:left w:val="single" w:color="AAAAAA" w:sz="1"/>
              <w:bottom w:val="single" w:color="AAAAAA" w:sz="1"/>
              <w:right w:val="single" w:color="AAAAAA" w:sz="1"/>
            </w:tcBorders>
            <w:shd w:fill="1F3F7B" w:color="1F3F7B" w:val="clear"/>
            <w:tcMar>
              <w:top w:type="dxa" w:w="80"/>
              <w:left w:type="dxa" w:w="120"/>
              <w:bottom w:type="dxa" w:w="80"/>
              <w:right w:type="dxa" w:w="120"/>
            </w:tcMar>
            <w:vAlign w:val="center"/>
          </w:tcPr>
          <w:p>
            <w:pPr>
              <w:spacing w:after="60" w:before="60"/>
              <w:jc w:val="left"/>
            </w:pPr>
            <w:r>
              <w:rPr>
                <w:b/>
                <w:bCs/>
                <w:color w:val="FFFFFF"/>
                <w:sz w:val="18"/>
                <w:szCs w:val="18"/>
              </w:rPr>
              <w:t xml:space="preserve">File Extensions</w:t>
            </w:r>
          </w:p>
        </w:tc>
        <w:tc>
          <w:tcPr>
            <w:tcW w:type="dxa" w:w="2200"/>
            <w:gridSpan w:val="1"/>
            <w:tcBorders>
              <w:top w:val="single" w:color="AAAAAA" w:sz="1"/>
              <w:left w:val="single" w:color="AAAAAA" w:sz="1"/>
              <w:bottom w:val="single" w:color="AAAAAA" w:sz="1"/>
              <w:right w:val="single" w:color="AAAAAA" w:sz="1"/>
            </w:tcBorders>
            <w:shd w:fill="1F3F7B" w:color="1F3F7B" w:val="clear"/>
            <w:tcMar>
              <w:top w:type="dxa" w:w="80"/>
              <w:left w:type="dxa" w:w="120"/>
              <w:bottom w:type="dxa" w:w="80"/>
              <w:right w:type="dxa" w:w="120"/>
            </w:tcMar>
            <w:vAlign w:val="center"/>
          </w:tcPr>
          <w:p>
            <w:pPr>
              <w:spacing w:after="60" w:before="60"/>
              <w:jc w:val="left"/>
            </w:pPr>
            <w:r>
              <w:rPr>
                <w:b/>
                <w:bCs/>
                <w:color w:val="FFFFFF"/>
                <w:sz w:val="18"/>
                <w:szCs w:val="18"/>
              </w:rPr>
              <w:t xml:space="preserve">Key Datasets</w:t>
            </w:r>
          </w:p>
        </w:tc>
      </w:tr>
      <w:tr>
        <w:tc>
          <w:tcPr>
            <w:tcW w:type="dxa" w:w="12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RDF/XML</w:t>
            </w:r>
          </w:p>
        </w:tc>
        <w:tc>
          <w:tcPr>
            <w:tcW w:type="dxa" w:w="26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StreamingRdfXmlParser (StAX)</w:t>
            </w:r>
          </w:p>
        </w:tc>
        <w:tc>
          <w:tcPr>
            <w:tcW w:type="dxa" w:w="24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.xml, .rdf</w:t>
            </w:r>
          </w:p>
        </w:tc>
        <w:tc>
          <w:tcPr>
            <w:tcW w:type="dxa" w:w="22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CAISO DB140.xml, standard IEC 61970/61968</w:t>
            </w:r>
          </w:p>
        </w:tc>
      </w:tr>
      <w:tr>
        <w:tc>
          <w:tcPr>
            <w:tcW w:type="dxa" w:w="12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Milsoft</w:t>
            </w:r>
          </w:p>
        </w:tc>
        <w:tc>
          <w:tcPr>
            <w:tcW w:type="dxa" w:w="26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StreamingMilsoftCsvParser</w:t>
            </w:r>
          </w:p>
        </w:tc>
        <w:tc>
          <w:tcPr>
            <w:tcW w:type="dxa" w:w="24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.csv, .std</w:t>
            </w:r>
          </w:p>
        </w:tc>
        <w:tc>
          <w:tcPr>
            <w:tcW w:type="dxa" w:w="22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Wake_Manual_Export_04_30_2018.csv</w:t>
            </w:r>
          </w:p>
        </w:tc>
      </w:tr>
      <w:tr>
        <w:tc>
          <w:tcPr>
            <w:tcW w:type="dxa" w:w="12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JSON-LD</w:t>
            </w:r>
          </w:p>
        </w:tc>
        <w:tc>
          <w:tcPr>
            <w:tcW w:type="dxa" w:w="26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Planned (not yet implemented)</w:t>
            </w:r>
          </w:p>
        </w:tc>
        <w:tc>
          <w:tcPr>
            <w:tcW w:type="dxa" w:w="24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.jsonld, .json</w:t>
            </w:r>
          </w:p>
        </w:tc>
        <w:tc>
          <w:tcPr>
            <w:tcW w:type="dxa" w:w="22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w:t>
            </w:r>
          </w:p>
        </w:tc>
      </w:tr>
      <w:tr>
        <w:tc>
          <w:tcPr>
            <w:tcW w:type="dxa" w:w="12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Archive</w:t>
            </w:r>
          </w:p>
        </w:tc>
        <w:tc>
          <w:tcPr>
            <w:tcW w:type="dxa" w:w="26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ArchiveExtractorService (Commons Compress)</w:t>
            </w:r>
          </w:p>
        </w:tc>
        <w:tc>
          <w:tcPr>
            <w:tcW w:type="dxa" w:w="24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.zip, .tar, .tar.gz, .tgz, .taz</w:t>
            </w:r>
          </w:p>
        </w:tc>
        <w:tc>
          <w:tcPr>
            <w:tcW w:type="dxa" w:w="22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Each entry imported as separate job</w:t>
            </w:r>
          </w:p>
        </w:tc>
      </w:tr>
    </w:tbl>
    <w:p>
      <w:pPr>
        <w:spacing w:after="160"/>
      </w:pPr>
    </w:p>
    <w:p>
      <w:pPr>
        <w:pStyle w:val="Heading2"/>
        <w:spacing w:after="160" w:before="300"/>
        <w:rPr>
          <w:b/>
          <w:bCs/>
          <w:color w:val="2E86C1"/>
          <w:sz w:val="24"/>
          <w:szCs w:val="24"/>
        </w:rPr>
      </w:pPr>
      <w:r>
        <w:t xml:space="preserve">13.1 File Type Detection</w:t>
      </w:r>
    </w:p>
    <w:p>
      <w:pPr>
        <w:spacing w:after="120"/>
      </w:pPr>
      <w:r>
        <w:rPr>
          <w:color w:val="000000"/>
          <w:sz w:val="20"/>
          <w:szCs w:val="20"/>
        </w:rPr>
        <w:t xml:space="preserve">fileType in the import request can be set explicitly (RDF, MILSOFT, JSON). If omitted, the platform auto-detects based on file extension and content sniffing (reads first 512 bytes only — no full-file buffering for detection).</w:t>
      </w:r>
    </w:p>
    <w:p>
      <w:pPr>
        <w:spacing w:after="160"/>
      </w:pPr>
    </w:p>
    <w:p>
      <w:r>
        <w:br w:type="page"/>
      </w:r>
    </w:p>
    <w:p>
      <w:pPr>
        <w:pStyle w:val="Heading1"/>
        <w:spacing w:after="200" w:before="400"/>
        <w:rPr>
          <w:b/>
          <w:bCs/>
          <w:color w:val="1F3F7B"/>
          <w:sz w:val="28"/>
          <w:szCs w:val="28"/>
        </w:rPr>
      </w:pPr>
      <w:r>
        <w:t xml:space="preserve">14. Known Issues and Design Decisions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gridSpan w:val="1"/>
            <w:tcBorders>
              <w:top w:val="single" w:color="AAAAAA" w:sz="1"/>
              <w:left w:val="single" w:color="AAAAAA" w:sz="1"/>
              <w:bottom w:val="single" w:color="AAAAAA" w:sz="1"/>
              <w:right w:val="single" w:color="AAAAAA" w:sz="1"/>
            </w:tcBorders>
            <w:shd w:fill="1F3F7B" w:color="1F3F7B" w:val="clear"/>
            <w:tcMar>
              <w:top w:type="dxa" w:w="80"/>
              <w:left w:type="dxa" w:w="120"/>
              <w:bottom w:type="dxa" w:w="80"/>
              <w:right w:type="dxa" w:w="120"/>
            </w:tcMar>
            <w:vAlign w:val="center"/>
          </w:tcPr>
          <w:p>
            <w:pPr>
              <w:spacing w:after="60" w:before="60"/>
              <w:jc w:val="left"/>
            </w:pPr>
            <w:r>
              <w:rPr>
                <w:b/>
                <w:bCs/>
                <w:color w:val="FFFFFF"/>
                <w:sz w:val="18"/>
                <w:szCs w:val="18"/>
              </w:rPr>
              <w:t xml:space="preserve">Issue / Decision</w:t>
            </w:r>
          </w:p>
        </w:tc>
        <w:tc>
          <w:tcPr>
            <w:tcW w:type="dxa" w:w="4000"/>
            <w:gridSpan w:val="1"/>
            <w:tcBorders>
              <w:top w:val="single" w:color="AAAAAA" w:sz="1"/>
              <w:left w:val="single" w:color="AAAAAA" w:sz="1"/>
              <w:bottom w:val="single" w:color="AAAAAA" w:sz="1"/>
              <w:right w:val="single" w:color="AAAAAA" w:sz="1"/>
            </w:tcBorders>
            <w:shd w:fill="1F3F7B" w:color="1F3F7B" w:val="clear"/>
            <w:tcMar>
              <w:top w:type="dxa" w:w="80"/>
              <w:left w:type="dxa" w:w="120"/>
              <w:bottom w:type="dxa" w:w="80"/>
              <w:right w:type="dxa" w:w="120"/>
            </w:tcMar>
            <w:vAlign w:val="center"/>
          </w:tcPr>
          <w:p>
            <w:pPr>
              <w:spacing w:after="60" w:before="60"/>
              <w:jc w:val="left"/>
            </w:pPr>
            <w:r>
              <w:rPr>
                <w:b/>
                <w:bCs/>
                <w:color w:val="FFFFFF"/>
                <w:sz w:val="18"/>
                <w:szCs w:val="18"/>
              </w:rPr>
              <w:t xml:space="preserve">Details</w:t>
            </w:r>
          </w:p>
        </w:tc>
        <w:tc>
          <w:tcPr>
            <w:tcW w:type="dxa" w:w="1600"/>
            <w:gridSpan w:val="1"/>
            <w:tcBorders>
              <w:top w:val="single" w:color="AAAAAA" w:sz="1"/>
              <w:left w:val="single" w:color="AAAAAA" w:sz="1"/>
              <w:bottom w:val="single" w:color="AAAAAA" w:sz="1"/>
              <w:right w:val="single" w:color="AAAAAA" w:sz="1"/>
            </w:tcBorders>
            <w:shd w:fill="1F3F7B" w:color="1F3F7B" w:val="clear"/>
            <w:tcMar>
              <w:top w:type="dxa" w:w="80"/>
              <w:left w:type="dxa" w:w="120"/>
              <w:bottom w:type="dxa" w:w="80"/>
              <w:right w:type="dxa" w:w="120"/>
            </w:tcMar>
            <w:vAlign w:val="center"/>
          </w:tcPr>
          <w:p>
            <w:pPr>
              <w:spacing w:after="60" w:before="60"/>
              <w:jc w:val="left"/>
            </w:pPr>
            <w:r>
              <w:rPr>
                <w:b/>
                <w:bCs/>
                <w:color w:val="FFFFFF"/>
                <w:sz w:val="18"/>
                <w:szCs w:val="18"/>
              </w:rPr>
              <w:t xml:space="preserve">Status</w:t>
            </w:r>
          </w:p>
        </w:tc>
      </w:tr>
      <w:tr>
        <w:tc>
          <w:tcPr>
            <w:tcW w:type="dxa" w:w="24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MapKeySanitizer REPL = "_"</w:t>
            </w:r>
          </w:p>
        </w:tc>
        <w:tc>
          <w:tcPr>
            <w:tcW w:type="dxa" w:w="40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Dot → underscore encoding for MongoDB keys. All CimEnrichmentService REF_ and ATTR_ constants must match. Re-import required when REPL changes.</w:t>
            </w:r>
          </w:p>
        </w:tc>
        <w:tc>
          <w:tcPr>
            <w:tcW w:type="dxa" w:w="16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Implemented</w:t>
            </w:r>
          </w:p>
        </w:tc>
      </w:tr>
      <w:tr>
        <w:tc>
          <w:tcPr>
            <w:tcW w:type="dxa" w:w="24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SGR queried by mrid not rdfId</w:t>
            </w:r>
          </w:p>
        </w:tc>
        <w:tc>
          <w:tcPr>
            <w:tcW w:type="dxa" w:w="40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Substation.Region ref points to SubGeographicalRegion's mrid field (not rdfId which may be an ObjectId). Query uses .and("mrid").in(sgrRdfIds).</w:t>
            </w:r>
          </w:p>
        </w:tc>
        <w:tc>
          <w:tcPr>
            <w:tcW w:type="dxa" w:w="16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Implemented</w:t>
            </w:r>
          </w:p>
        </w:tc>
      </w:tr>
      <w:tr>
        <w:tc>
          <w:tcPr>
            <w:tcW w:type="dxa" w:w="24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Document.get() vs Document.getString()</w:t>
            </w:r>
          </w:p>
        </w:tc>
        <w:tc>
          <w:tcPr>
            <w:tcW w:type="dxa" w:w="40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getString() interprets dots in key names as nested path separators. Use (String) doc.get(key) for all dot-containing keys. Confirmed fix in CimEnrichmentService.</w:t>
            </w:r>
          </w:p>
        </w:tc>
        <w:tc>
          <w:tcPr>
            <w:tcW w:type="dxa" w:w="16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Implemented</w:t>
            </w:r>
          </w:p>
        </w:tc>
      </w:tr>
      <w:tr>
        <w:tc>
          <w:tcPr>
            <w:tcW w:type="dxa" w:w="24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Neo4j Driver 4.x → 5.x</w:t>
            </w:r>
          </w:p>
        </w:tc>
        <w:tc>
          <w:tcPr>
            <w:tcW w:type="dxa" w:w="40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writeTransaction() and readTransaction() removed. Replaced with executeWrite() and executeRead(). Driver version updated to 5.21.0 in pom.xml.</w:t>
            </w:r>
          </w:p>
        </w:tc>
        <w:tc>
          <w:tcPr>
            <w:tcW w:type="dxa" w:w="16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Implemented</w:t>
            </w:r>
          </w:p>
        </w:tc>
      </w:tr>
      <w:tr>
        <w:tc>
          <w:tcPr>
            <w:tcW w:type="dxa" w:w="24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OPTIONAL MATCH vs MATCH in applyIntertieLabel</w:t>
            </w:r>
          </w:p>
        </w:tc>
        <w:tc>
          <w:tcPr>
            <w:tcW w:type="dxa" w:w="40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OPTIONAL MATCH for Terminal/Substation caused collect([null]) of size 1, never qualifying as tie-line. Fixed to MATCH.</w:t>
            </w:r>
          </w:p>
        </w:tc>
        <w:tc>
          <w:tcPr>
            <w:tcW w:type="dxa" w:w="16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Implemented</w:t>
            </w:r>
          </w:p>
        </w:tc>
      </w:tr>
      <w:tr>
        <w:tc>
          <w:tcPr>
            <w:tcW w:type="dxa" w:w="24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applyIntertieLabel break condition</w:t>
            </w:r>
          </w:p>
        </w:tc>
        <w:tc>
          <w:tcPr>
            <w:tcW w:type="dxa" w:w="40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Breaking on updated=0 exits early when a batch has candidates that don't qualify. Fixed to break on candidateCount=0 (no more pages).</w:t>
            </w:r>
          </w:p>
        </w:tc>
        <w:tc>
          <w:tcPr>
            <w:tcW w:type="dxa" w:w="16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Implemented</w:t>
            </w:r>
          </w:p>
        </w:tc>
      </w:tr>
      <w:tr>
        <w:tc>
          <w:tcPr>
            <w:tcW w:type="dxa" w:w="24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GeneratingUnit enrichment via SynchronousMachine</w:t>
            </w:r>
          </w:p>
        </w:tc>
        <w:tc>
          <w:tcPr>
            <w:tcW w:type="dxa" w:w="40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GeneratingUnit has no direct Terminal or BaseVoltage ref. Enrichment goes via SynchronousMachine as intermediary using smByGu inverted map.</w:t>
            </w:r>
          </w:p>
        </w:tc>
        <w:tc>
          <w:tcPr>
            <w:tcW w:type="dxa" w:w="16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Implemented</w:t>
            </w:r>
          </w:p>
        </w:tc>
      </w:tr>
      <w:tr>
        <w:tc>
          <w:tcPr>
            <w:tcW w:type="dxa" w:w="24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Switch subtype refinement</w:t>
            </w:r>
          </w:p>
        </w:tc>
        <w:tc>
          <w:tcPr>
            <w:tcW w:type="dxa" w:w="40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Section code 10 stays as ProtectedSwitch for now. Further refinement deferred.</w:t>
            </w:r>
          </w:p>
        </w:tc>
        <w:tc>
          <w:tcPr>
            <w:tcW w:type="dxa" w:w="16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Deferred</w:t>
            </w:r>
          </w:p>
        </w:tc>
      </w:tr>
      <w:tr>
        <w:tc>
          <w:tcPr>
            <w:tcW w:type="dxa" w:w="24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JSON-LD parser</w:t>
            </w:r>
          </w:p>
        </w:tc>
        <w:tc>
          <w:tcPr>
            <w:tcW w:type="dxa" w:w="40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StreamingJsonLdParser not yet implemented. Planned.</w:t>
            </w:r>
          </w:p>
        </w:tc>
        <w:tc>
          <w:tcPr>
            <w:tcW w:type="dxa" w:w="1600"/>
            <w:gridSpan w:val="1"/>
            <w:tcBorders>
              <w:top w:val="single" w:color="AAAAAA" w:sz="1"/>
              <w:left w:val="single" w:color="AAAAAA" w:sz="1"/>
              <w:bottom w:val="single" w:color="AAAAAA" w:sz="1"/>
              <w:right w:val="single" w:color="AAAAAA" w:sz="1"/>
            </w:tcBorders>
            <w:shd w:fill="F2F3F4" w:color="F2F3F4"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Pending</w:t>
            </w:r>
          </w:p>
        </w:tc>
      </w:tr>
      <w:tr>
        <w:tc>
          <w:tcPr>
            <w:tcW w:type="dxa" w:w="24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CimObjectRecord Map&lt;String,String&gt; type limitation</w:t>
            </w:r>
          </w:p>
        </w:tc>
        <w:tc>
          <w:tcPr>
            <w:tcW w:type="dxa" w:w="40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Spring Data cannot deserialize numeric BSON values into Map&lt;String,String&gt;. CimEnrichmentService uses raw org.bson.Document for all reads to handle mixed types.</w:t>
            </w:r>
          </w:p>
        </w:tc>
        <w:tc>
          <w:tcPr>
            <w:tcW w:type="dxa" w:w="1600"/>
            <w:gridSpan w:val="1"/>
            <w:tcBorders>
              <w:top w:val="single" w:color="AAAAAA" w:sz="1"/>
              <w:left w:val="single" w:color="AAAAAA" w:sz="1"/>
              <w:bottom w:val="single" w:color="AAAAAA" w:sz="1"/>
              <w:right w:val="single" w:color="AAAAAA" w:sz="1"/>
            </w:tcBorders>
            <w:shd w:fill="FFFFFF" w:color="FFFFFF" w:val="clear"/>
            <w:tcMar>
              <w:top w:type="dxa" w:w="80"/>
              <w:left w:type="dxa" w:w="120"/>
              <w:bottom w:type="dxa" w:w="80"/>
              <w:right w:type="dxa" w:w="120"/>
            </w:tcMar>
            <w:vAlign w:val="center"/>
          </w:tcPr>
          <w:p>
            <w:pPr>
              <w:spacing w:after="60" w:before="60"/>
              <w:jc w:val="left"/>
            </w:pPr>
            <w:r>
              <w:rPr>
                <w:b w:val="false"/>
                <w:bCs w:val="false"/>
                <w:color w:val="000000"/>
                <w:sz w:val="18"/>
                <w:szCs w:val="18"/>
              </w:rPr>
              <w:t xml:space="preserve">Implemented</w:t>
            </w:r>
          </w:p>
        </w:tc>
      </w:tr>
    </w:tbl>
    <w:p>
      <w:pPr>
        <w:spacing w:after="160"/>
      </w:pPr>
    </w:p>
    <w:p>
      <w:r>
        <w:br w:type="page"/>
      </w:r>
    </w:p>
    <w:p>
      <w:pPr>
        <w:pStyle w:val="Heading1"/>
        <w:spacing w:after="200" w:before="400"/>
        <w:rPr>
          <w:b/>
          <w:bCs/>
          <w:color w:val="1F3F7B"/>
          <w:sz w:val="28"/>
          <w:szCs w:val="28"/>
        </w:rPr>
      </w:pPr>
      <w:r>
        <w:t xml:space="preserve">15. Development Guide</w:t>
      </w:r>
    </w:p>
    <w:p>
      <w:pPr>
        <w:pStyle w:val="Heading2"/>
        <w:spacing w:after="160" w:before="300"/>
        <w:rPr>
          <w:b/>
          <w:bCs/>
          <w:color w:val="2E86C1"/>
          <w:sz w:val="24"/>
          <w:szCs w:val="24"/>
        </w:rPr>
      </w:pPr>
      <w:r>
        <w:t xml:space="preserve">15.1 Adding a New Organisation for Enrichment</w:t>
      </w:r>
    </w:p>
    <w:p>
      <w:pPr>
        <w:pStyle w:val="ListParagraph"/>
        <w:numPr>
          <w:ilvl w:val="0"/>
          <w:numId w:val="1"/>
        </w:numPr>
        <w:spacing w:after="80"/>
      </w:pPr>
      <w:r>
        <w:rPr>
          <w:sz w:val="20"/>
          <w:szCs w:val="20"/>
        </w:rPr>
        <w:t xml:space="preserve">Open CimEnrichmentService.java</w:t>
      </w:r>
    </w:p>
    <w:p>
      <w:pPr>
        <w:pStyle w:val="ListParagraph"/>
        <w:numPr>
          <w:ilvl w:val="0"/>
          <w:numId w:val="1"/>
        </w:numPr>
        <w:spacing w:after="80"/>
      </w:pPr>
      <w:r>
        <w:rPr>
          <w:sz w:val="20"/>
          <w:szCs w:val="20"/>
        </w:rPr>
        <w:t xml:space="preserve">Find the ENRICHMENT_ENABLED_ORGS constant (around line 50)</w:t>
      </w:r>
    </w:p>
    <w:p>
      <w:pPr>
        <w:pStyle w:val="ListParagraph"/>
        <w:numPr>
          <w:ilvl w:val="0"/>
          <w:numId w:val="1"/>
        </w:numPr>
        <w:spacing w:after="80"/>
      </w:pPr>
      <w:r>
        <w:rPr>
          <w:sz w:val="20"/>
          <w:szCs w:val="20"/>
        </w:rPr>
        <w:t xml:space="preserve">Add the new orgId: "ERCOT" or "SPC" etc.</w:t>
      </w:r>
    </w:p>
    <w:p>
      <w:pPr>
        <w:pStyle w:val="ListParagraph"/>
        <w:numPr>
          <w:ilvl w:val="0"/>
          <w:numId w:val="1"/>
        </w:numPr>
        <w:spacing w:after="80"/>
      </w:pPr>
      <w:r>
        <w:rPr>
          <w:sz w:val="20"/>
          <w:szCs w:val="20"/>
        </w:rPr>
        <w:t xml:space="preserve">No other changes needed — the gate check is case-insensitive</w:t>
      </w:r>
    </w:p>
    <w:p>
      <w:pPr>
        <w:spacing w:after="160"/>
      </w:pPr>
    </w:p>
    <w:p>
      <w:pPr>
        <w:pStyle w:val="Heading2"/>
        <w:spacing w:after="160" w:before="300"/>
        <w:rPr>
          <w:b/>
          <w:bCs/>
          <w:color w:val="2E86C1"/>
          <w:sz w:val="24"/>
          <w:szCs w:val="24"/>
        </w:rPr>
      </w:pPr>
      <w:r>
        <w:t xml:space="preserve">15.2 Adding Missing CIM Classes to OWL Hierarchy</w:t>
      </w:r>
    </w:p>
    <w:p>
      <w:pPr>
        <w:pStyle w:val="ListParagraph"/>
        <w:numPr>
          <w:ilvl w:val="0"/>
          <w:numId w:val="1"/>
        </w:numPr>
        <w:spacing w:after="80"/>
      </w:pPr>
      <w:r>
        <w:rPr>
          <w:sz w:val="20"/>
          <w:szCs w:val="20"/>
        </w:rPr>
        <w:t xml:space="preserve">Open CIMOwlParser.java</w:t>
      </w:r>
    </w:p>
    <w:p>
      <w:pPr>
        <w:pStyle w:val="ListParagraph"/>
        <w:numPr>
          <w:ilvl w:val="0"/>
          <w:numId w:val="1"/>
        </w:numPr>
        <w:spacing w:after="80"/>
      </w:pPr>
      <w:r>
        <w:rPr>
          <w:sz w:val="20"/>
          <w:szCs w:val="20"/>
        </w:rPr>
        <w:t xml:space="preserve">Find the BUILTIN_PARENTS static initialiser block</w:t>
      </w:r>
    </w:p>
    <w:p>
      <w:pPr>
        <w:pStyle w:val="ListParagraph"/>
        <w:numPr>
          <w:ilvl w:val="0"/>
          <w:numId w:val="1"/>
        </w:numPr>
        <w:spacing w:after="80"/>
      </w:pPr>
      <w:r>
        <w:rPr>
          <w:sz w:val="20"/>
          <w:szCs w:val="20"/>
        </w:rPr>
        <w:t xml:space="preserve">Add: BUILTIN_PARENTS.put("NewClassName", "ParentClassName");</w:t>
      </w:r>
    </w:p>
    <w:p>
      <w:pPr>
        <w:pStyle w:val="ListParagraph"/>
        <w:numPr>
          <w:ilvl w:val="0"/>
          <w:numId w:val="1"/>
        </w:numPr>
        <w:spacing w:after="80"/>
      </w:pPr>
      <w:r>
        <w:rPr>
          <w:sz w:val="20"/>
          <w:szCs w:val="20"/>
        </w:rPr>
        <w:t xml:space="preserve">Call POST /api/admin/owl/reload to reload without restart</w:t>
      </w:r>
    </w:p>
    <w:p>
      <w:pPr>
        <w:pStyle w:val="ListParagraph"/>
        <w:numPr>
          <w:ilvl w:val="0"/>
          <w:numId w:val="1"/>
        </w:numPr>
        <w:spacing w:after="80"/>
      </w:pPr>
      <w:r>
        <w:rPr>
          <w:sz w:val="20"/>
          <w:szCs w:val="20"/>
        </w:rPr>
        <w:t xml:space="preserve">Call POST /api/admin/revalidate/{jobId} to re-validate existing data</w:t>
      </w:r>
    </w:p>
    <w:p>
      <w:pPr>
        <w:spacing w:after="160"/>
      </w:pPr>
    </w:p>
    <w:p>
      <w:pPr>
        <w:pStyle w:val="Heading2"/>
        <w:spacing w:after="160" w:before="300"/>
        <w:rPr>
          <w:b/>
          <w:bCs/>
          <w:color w:val="2E86C1"/>
          <w:sz w:val="24"/>
          <w:szCs w:val="24"/>
        </w:rPr>
      </w:pPr>
      <w:r>
        <w:t xml:space="preserve">15.3 Adding a New Enrichment Property</w:t>
      </w:r>
    </w:p>
    <w:p>
      <w:pPr>
        <w:pStyle w:val="ListParagraph"/>
        <w:numPr>
          <w:ilvl w:val="0"/>
          <w:numId w:val="1"/>
        </w:numPr>
        <w:spacing w:after="80"/>
      </w:pPr>
      <w:r>
        <w:rPr>
          <w:sz w:val="20"/>
          <w:szCs w:val="20"/>
        </w:rPr>
        <w:t xml:space="preserve">Add the resolvedRefIds key constant to CimEnrichmentService (REF_ prefix, underscore-encoded)</w:t>
      </w:r>
    </w:p>
    <w:p>
      <w:pPr>
        <w:pStyle w:val="ListParagraph"/>
        <w:numPr>
          <w:ilvl w:val="0"/>
          <w:numId w:val="1"/>
        </w:numPr>
        <w:spacing w:after="80"/>
      </w:pPr>
      <w:r>
        <w:rPr>
          <w:sz w:val="20"/>
          <w:szCs w:val="20"/>
        </w:rPr>
        <w:t xml:space="preserve">Build a new lookup map method following the same pattern as buildBvMap(), buildVlByCn() etc.</w:t>
      </w:r>
    </w:p>
    <w:p>
      <w:pPr>
        <w:pStyle w:val="ListParagraph"/>
        <w:numPr>
          <w:ilvl w:val="0"/>
          <w:numId w:val="1"/>
        </w:numPr>
        <w:spacing w:after="80"/>
      </w:pPr>
      <w:r>
        <w:rPr>
          <w:sz w:val="20"/>
          <w:szCs w:val="20"/>
        </w:rPr>
        <w:t xml:space="preserve">Add the lookup map to enrich() method</w:t>
      </w:r>
    </w:p>
    <w:p>
      <w:pPr>
        <w:pStyle w:val="ListParagraph"/>
        <w:numPr>
          <w:ilvl w:val="0"/>
          <w:numId w:val="1"/>
        </w:numPr>
        <w:spacing w:after="80"/>
      </w:pPr>
      <w:r>
        <w:rPr>
          <w:sz w:val="20"/>
          <w:szCs w:val="20"/>
        </w:rPr>
        <w:t xml:space="preserve">Call computeXxx() in the main processing loop</w:t>
      </w:r>
    </w:p>
    <w:p>
      <w:pPr>
        <w:pStyle w:val="ListParagraph"/>
        <w:numPr>
          <w:ilvl w:val="0"/>
          <w:numId w:val="1"/>
        </w:numPr>
        <w:spacing w:after="80"/>
      </w:pPr>
      <w:r>
        <w:rPr>
          <w:sz w:val="20"/>
          <w:szCs w:val="20"/>
        </w:rPr>
        <w:t xml:space="preserve">Write the property with enriched.put("propertyName", value)</w:t>
      </w:r>
    </w:p>
    <w:p>
      <w:pPr>
        <w:spacing w:after="160"/>
      </w:pPr>
    </w:p>
    <w:p>
      <w:pPr>
        <w:pStyle w:val="Heading2"/>
        <w:spacing w:after="160" w:before="300"/>
        <w:rPr>
          <w:b/>
          <w:bCs/>
          <w:color w:val="2E86C1"/>
          <w:sz w:val="24"/>
          <w:szCs w:val="24"/>
        </w:rPr>
      </w:pPr>
      <w:r>
        <w:t xml:space="preserve">15.4 Re-running Enrichment on Existing Data</w:t>
      </w:r>
    </w:p>
    <w:p>
      <w:pPr>
        <w:spacing w:after="80"/>
        <w:ind w:left="720"/>
      </w:pPr>
      <w:r>
        <w:rPr>
          <w:rFonts w:ascii="Courier New" w:cs="Courier New" w:eastAsia="Courier New" w:hAnsi="Courier New"/>
          <w:color w:val="1A5276"/>
          <w:sz w:val="18"/>
          <w:szCs w:val="18"/>
        </w:rPr>
        <w:t xml:space="preserve">POST /api/admin/enrich/{jobId}</w:t>
      </w:r>
    </w:p>
    <w:p>
      <w:pPr>
        <w:spacing w:after="120"/>
      </w:pPr>
      <w:r>
        <w:rPr>
          <w:color w:val="000000"/>
          <w:sz w:val="20"/>
          <w:szCs w:val="20"/>
        </w:rPr>
        <w:t xml:space="preserve">This re-runs Phase 3 on existing cim_objects without re-importing. Use after code fixes or when adding new enrichment properties.</w:t>
      </w:r>
    </w:p>
    <w:p>
      <w:pPr>
        <w:spacing w:after="160"/>
      </w:pPr>
    </w:p>
    <w:p>
      <w:pPr>
        <w:pStyle w:val="Heading2"/>
        <w:spacing w:after="160" w:before="300"/>
        <w:rPr>
          <w:b/>
          <w:bCs/>
          <w:color w:val="2E86C1"/>
          <w:sz w:val="24"/>
          <w:szCs w:val="24"/>
        </w:rPr>
      </w:pPr>
      <w:r>
        <w:t xml:space="preserve">15.5 Checking Enrichment Results</w:t>
      </w:r>
    </w:p>
    <w:p>
      <w:pPr>
        <w:spacing w:after="80"/>
        <w:ind w:left="720"/>
      </w:pPr>
      <w:r>
        <w:rPr>
          <w:rFonts w:ascii="Courier New" w:cs="Courier New" w:eastAsia="Courier New" w:hAnsi="Courier New"/>
          <w:color w:val="1A5276"/>
          <w:sz w:val="18"/>
          <w:szCs w:val="18"/>
        </w:rPr>
        <w:t xml:space="preserve">// MongoDB — check a specific object</w:t>
      </w:r>
    </w:p>
    <w:p>
      <w:pPr>
        <w:spacing w:after="80"/>
        <w:ind w:left="720"/>
      </w:pPr>
      <w:r>
        <w:rPr>
          <w:rFonts w:ascii="Courier New" w:cs="Courier New" w:eastAsia="Courier New" w:hAnsi="Courier New"/>
          <w:color w:val="1A5276"/>
          <w:sz w:val="18"/>
          <w:szCs w:val="18"/>
        </w:rPr>
        <w:t xml:space="preserve">db.cim_objects.findOne(</w:t>
      </w:r>
    </w:p>
    <w:p>
      <w:pPr>
        <w:spacing w:after="80"/>
        <w:ind w:left="720"/>
      </w:pPr>
      <w:r>
        <w:rPr>
          <w:rFonts w:ascii="Courier New" w:cs="Courier New" w:eastAsia="Courier New" w:hAnsi="Courier New"/>
          <w:color w:val="1A5276"/>
          <w:sz w:val="18"/>
          <w:szCs w:val="18"/>
        </w:rPr>
        <w:t xml:space="preserve">  {cimType: "ACLineSegment"},</w:t>
      </w:r>
    </w:p>
    <w:p>
      <w:pPr>
        <w:spacing w:after="80"/>
        <w:ind w:left="720"/>
      </w:pPr>
      <w:r>
        <w:rPr>
          <w:rFonts w:ascii="Courier New" w:cs="Courier New" w:eastAsia="Courier New" w:hAnsi="Courier New"/>
          <w:color w:val="1A5276"/>
          <w:sz w:val="18"/>
          <w:szCs w:val="18"/>
        </w:rPr>
        <w:t xml:space="preserve">  {"attributes.nominalVoltage": 1,</w:t>
      </w:r>
    </w:p>
    <w:p>
      <w:pPr>
        <w:spacing w:after="80"/>
        <w:ind w:left="720"/>
      </w:pPr>
      <w:r>
        <w:rPr>
          <w:rFonts w:ascii="Courier New" w:cs="Courier New" w:eastAsia="Courier New" w:hAnsi="Courier New"/>
          <w:color w:val="1A5276"/>
          <w:sz w:val="18"/>
          <w:szCs w:val="18"/>
        </w:rPr>
        <w:t xml:space="preserve">   "attributes.substationMrid": 1,</w:t>
      </w:r>
    </w:p>
    <w:p>
      <w:pPr>
        <w:spacing w:after="80"/>
        <w:ind w:left="720"/>
      </w:pPr>
      <w:r>
        <w:rPr>
          <w:rFonts w:ascii="Courier New" w:cs="Courier New" w:eastAsia="Courier New" w:hAnsi="Courier New"/>
          <w:color w:val="1A5276"/>
          <w:sz w:val="18"/>
          <w:szCs w:val="18"/>
        </w:rPr>
        <w:t xml:space="preserve">   "attributes.substationName": 1,</w:t>
      </w:r>
    </w:p>
    <w:p>
      <w:pPr>
        <w:spacing w:after="80"/>
        <w:ind w:left="720"/>
      </w:pPr>
      <w:r>
        <w:rPr>
          <w:rFonts w:ascii="Courier New" w:cs="Courier New" w:eastAsia="Courier New" w:hAnsi="Courier New"/>
          <w:color w:val="1A5276"/>
          <w:sz w:val="18"/>
          <w:szCs w:val="18"/>
        </w:rPr>
        <w:t xml:space="preserve">   "attributes.subGeographicalRegionMrid": 1,</w:t>
      </w:r>
    </w:p>
    <w:p>
      <w:pPr>
        <w:spacing w:after="80"/>
        <w:ind w:left="720"/>
      </w:pPr>
      <w:r>
        <w:rPr>
          <w:rFonts w:ascii="Courier New" w:cs="Courier New" w:eastAsia="Courier New" w:hAnsi="Courier New"/>
          <w:color w:val="1A5276"/>
          <w:sz w:val="18"/>
          <w:szCs w:val="18"/>
        </w:rPr>
        <w:t xml:space="preserve">   "attributes.geographicalRegionMrid": 1}</w:t>
      </w:r>
    </w:p>
    <w:p>
      <w:pPr>
        <w:spacing w:after="80"/>
        <w:ind w:left="720"/>
      </w:pPr>
      <w:r>
        <w:rPr>
          <w:rFonts w:ascii="Courier New" w:cs="Courier New" w:eastAsia="Courier New" w:hAnsi="Courier New"/>
          <w:color w:val="1A5276"/>
          <w:sz w:val="18"/>
          <w:szCs w:val="18"/>
        </w:rPr>
        <w:t xml:space="preserve">)</w:t>
      </w:r>
    </w:p>
    <w:p>
      <w:pPr>
        <w:spacing w:after="160"/>
      </w:pPr>
    </w:p>
    <w:p>
      <w:pPr>
        <w:spacing w:after="80"/>
        <w:ind w:left="720"/>
      </w:pPr>
      <w:r>
        <w:rPr>
          <w:rFonts w:ascii="Courier New" w:cs="Courier New" w:eastAsia="Courier New" w:hAnsi="Courier New"/>
          <w:color w:val="1A5276"/>
          <w:sz w:val="18"/>
          <w:szCs w:val="18"/>
        </w:rPr>
        <w:t xml:space="preserve">// Count how many objects got each enrichment</w:t>
      </w:r>
    </w:p>
    <w:p>
      <w:pPr>
        <w:spacing w:after="80"/>
        <w:ind w:left="720"/>
      </w:pPr>
      <w:r>
        <w:rPr>
          <w:rFonts w:ascii="Courier New" w:cs="Courier New" w:eastAsia="Courier New" w:hAnsi="Courier New"/>
          <w:color w:val="1A5276"/>
          <w:sz w:val="18"/>
          <w:szCs w:val="18"/>
        </w:rPr>
        <w:t xml:space="preserve">db.cim_objects.aggregate([</w:t>
      </w:r>
    </w:p>
    <w:p>
      <w:pPr>
        <w:spacing w:after="80"/>
        <w:ind w:left="720"/>
      </w:pPr>
      <w:r>
        <w:rPr>
          <w:rFonts w:ascii="Courier New" w:cs="Courier New" w:eastAsia="Courier New" w:hAnsi="Courier New"/>
          <w:color w:val="1A5276"/>
          <w:sz w:val="18"/>
          <w:szCs w:val="18"/>
        </w:rPr>
        <w:t xml:space="preserve">  {$match: {jobId: "your-job-id"}},</w:t>
      </w:r>
    </w:p>
    <w:p>
      <w:pPr>
        <w:spacing w:after="80"/>
        <w:ind w:left="720"/>
      </w:pPr>
      <w:r>
        <w:rPr>
          <w:rFonts w:ascii="Courier New" w:cs="Courier New" w:eastAsia="Courier New" w:hAnsi="Courier New"/>
          <w:color w:val="1A5276"/>
          <w:sz w:val="18"/>
          <w:szCs w:val="18"/>
        </w:rPr>
        <w:t xml:space="preserve">  {$group: {</w:t>
      </w:r>
    </w:p>
    <w:p>
      <w:pPr>
        <w:spacing w:after="80"/>
        <w:ind w:left="720"/>
      </w:pPr>
      <w:r>
        <w:rPr>
          <w:rFonts w:ascii="Courier New" w:cs="Courier New" w:eastAsia="Courier New" w:hAnsi="Courier New"/>
          <w:color w:val="1A5276"/>
          <w:sz w:val="18"/>
          <w:szCs w:val="18"/>
        </w:rPr>
        <w:t xml:space="preserve">    _id: "$cimType",</w:t>
      </w:r>
    </w:p>
    <w:p>
      <w:pPr>
        <w:spacing w:after="80"/>
        <w:ind w:left="720"/>
      </w:pPr>
      <w:r>
        <w:rPr>
          <w:rFonts w:ascii="Courier New" w:cs="Courier New" w:eastAsia="Courier New" w:hAnsi="Courier New"/>
          <w:color w:val="1A5276"/>
          <w:sz w:val="18"/>
          <w:szCs w:val="18"/>
        </w:rPr>
        <w:t xml:space="preserve">    total: {$sum: 1},</w:t>
      </w:r>
    </w:p>
    <w:p>
      <w:pPr>
        <w:spacing w:after="80"/>
        <w:ind w:left="720"/>
      </w:pPr>
      <w:r>
        <w:rPr>
          <w:rFonts w:ascii="Courier New" w:cs="Courier New" w:eastAsia="Courier New" w:hAnsi="Courier New"/>
          <w:color w:val="1A5276"/>
          <w:sz w:val="18"/>
          <w:szCs w:val="18"/>
        </w:rPr>
        <w:t xml:space="preserve">    withVoltage: {$sum: {$cond: [{$ifNull:["$attributes.nominalVoltage",false]},1,0]}},</w:t>
      </w:r>
    </w:p>
    <w:p>
      <w:pPr>
        <w:spacing w:after="80"/>
        <w:ind w:left="720"/>
      </w:pPr>
      <w:r>
        <w:rPr>
          <w:rFonts w:ascii="Courier New" w:cs="Courier New" w:eastAsia="Courier New" w:hAnsi="Courier New"/>
          <w:color w:val="1A5276"/>
          <w:sz w:val="18"/>
          <w:szCs w:val="18"/>
        </w:rPr>
        <w:t xml:space="preserve">    withSubstation: {$sum: {$cond: [{$ifNull:["$attributes.substationMrid",false]},1,0]}}</w:t>
      </w:r>
    </w:p>
    <w:p>
      <w:pPr>
        <w:spacing w:after="80"/>
        <w:ind w:left="720"/>
      </w:pPr>
      <w:r>
        <w:rPr>
          <w:rFonts w:ascii="Courier New" w:cs="Courier New" w:eastAsia="Courier New" w:hAnsi="Courier New"/>
          <w:color w:val="1A5276"/>
          <w:sz w:val="18"/>
          <w:szCs w:val="18"/>
        </w:rPr>
        <w:t xml:space="preserve">  }}</w:t>
      </w:r>
    </w:p>
    <w:p>
      <w:pPr>
        <w:spacing w:after="80"/>
        <w:ind w:left="720"/>
      </w:pPr>
      <w:r>
        <w:rPr>
          <w:rFonts w:ascii="Courier New" w:cs="Courier New" w:eastAsia="Courier New" w:hAnsi="Courier New"/>
          <w:color w:val="1A5276"/>
          <w:sz w:val="18"/>
          <w:szCs w:val="18"/>
        </w:rPr>
        <w:t xml:space="preserve">])</w:t>
      </w:r>
    </w:p>
    <w:p>
      <w:pPr>
        <w:spacing w:after="160"/>
      </w:pPr>
    </w:p>
    <w:p>
      <w:pPr>
        <w:pStyle w:val="Heading2"/>
        <w:spacing w:after="160" w:before="300"/>
        <w:rPr>
          <w:b/>
          <w:bCs/>
          <w:color w:val="2E86C1"/>
          <w:sz w:val="24"/>
          <w:szCs w:val="24"/>
        </w:rPr>
      </w:pPr>
      <w:r>
        <w:t xml:space="preserve">15.6 Checking Neo4j After Export</w:t>
      </w:r>
    </w:p>
    <w:p>
      <w:pPr>
        <w:spacing w:after="80"/>
        <w:ind w:left="720"/>
      </w:pPr>
      <w:r>
        <w:rPr>
          <w:rFonts w:ascii="Courier New" w:cs="Courier New" w:eastAsia="Courier New" w:hAnsi="Courier New"/>
          <w:color w:val="1A5276"/>
          <w:sz w:val="18"/>
          <w:szCs w:val="18"/>
        </w:rPr>
        <w:t xml:space="preserve">// Count TIE_LINE nodes</w:t>
      </w:r>
    </w:p>
    <w:p>
      <w:pPr>
        <w:spacing w:after="80"/>
        <w:ind w:left="720"/>
      </w:pPr>
      <w:r>
        <w:rPr>
          <w:rFonts w:ascii="Courier New" w:cs="Courier New" w:eastAsia="Courier New" w:hAnsi="Courier New"/>
          <w:color w:val="1A5276"/>
          <w:sz w:val="18"/>
          <w:szCs w:val="18"/>
        </w:rPr>
        <w:t xml:space="preserve">MATCH (n:TIE_LINE {version: "DB140-1", orgId: "CAISO"})</w:t>
      </w:r>
    </w:p>
    <w:p>
      <w:pPr>
        <w:spacing w:after="80"/>
        <w:ind w:left="720"/>
      </w:pPr>
      <w:r>
        <w:rPr>
          <w:rFonts w:ascii="Courier New" w:cs="Courier New" w:eastAsia="Courier New" w:hAnsi="Courier New"/>
          <w:color w:val="1A5276"/>
          <w:sz w:val="18"/>
          <w:szCs w:val="18"/>
        </w:rPr>
        <w:t xml:space="preserve">RETURN count(n) AS tielines</w:t>
      </w:r>
    </w:p>
    <w:p>
      <w:pPr>
        <w:spacing w:after="160"/>
      </w:pPr>
    </w:p>
    <w:p>
      <w:pPr>
        <w:spacing w:after="80"/>
        <w:ind w:left="720"/>
      </w:pPr>
      <w:r>
        <w:rPr>
          <w:rFonts w:ascii="Courier New" w:cs="Courier New" w:eastAsia="Courier New" w:hAnsi="Courier New"/>
          <w:color w:val="1A5276"/>
          <w:sz w:val="18"/>
          <w:szCs w:val="18"/>
        </w:rPr>
        <w:t xml:space="preserve">// Count remaining Terminal nodes after RATIONALISED collapse</w:t>
      </w:r>
    </w:p>
    <w:p>
      <w:pPr>
        <w:spacing w:after="80"/>
        <w:ind w:left="720"/>
      </w:pPr>
      <w:r>
        <w:rPr>
          <w:rFonts w:ascii="Courier New" w:cs="Courier New" w:eastAsia="Courier New" w:hAnsi="Courier New"/>
          <w:color w:val="1A5276"/>
          <w:sz w:val="18"/>
          <w:szCs w:val="18"/>
        </w:rPr>
        <w:t xml:space="preserve">MATCH (t:Terminal {version: "DB140-2", orgId: "CAISO"})</w:t>
      </w:r>
    </w:p>
    <w:p>
      <w:pPr>
        <w:spacing w:after="80"/>
        <w:ind w:left="720"/>
      </w:pPr>
      <w:r>
        <w:rPr>
          <w:rFonts w:ascii="Courier New" w:cs="Courier New" w:eastAsia="Courier New" w:hAnsi="Courier New"/>
          <w:color w:val="1A5276"/>
          <w:sz w:val="18"/>
          <w:szCs w:val="18"/>
        </w:rPr>
        <w:t xml:space="preserve">RETURN count(t) AS remainingTerminals</w:t>
      </w:r>
    </w:p>
    <w:p>
      <w:pPr>
        <w:spacing w:after="160"/>
      </w:pPr>
    </w:p>
    <w:p>
      <w:pPr>
        <w:spacing w:after="80"/>
        <w:ind w:left="720"/>
      </w:pPr>
      <w:r>
        <w:rPr>
          <w:rFonts w:ascii="Courier New" w:cs="Courier New" w:eastAsia="Courier New" w:hAnsi="Courier New"/>
          <w:color w:val="1A5276"/>
          <w:sz w:val="18"/>
          <w:szCs w:val="18"/>
        </w:rPr>
        <w:t xml:space="preserve">// Find substations reachable from an ACLineSegment</w:t>
      </w:r>
    </w:p>
    <w:p>
      <w:pPr>
        <w:spacing w:after="80"/>
        <w:ind w:left="720"/>
      </w:pPr>
      <w:r>
        <w:rPr>
          <w:rFonts w:ascii="Courier New" w:cs="Courier New" w:eastAsia="Courier New" w:hAnsi="Courier New"/>
          <w:color w:val="1A5276"/>
          <w:sz w:val="18"/>
          <w:szCs w:val="18"/>
        </w:rPr>
        <w:t xml:space="preserve">MATCH (l:ACLineSegment {version: "DB140-1", orgId: "CAISO"})</w:t>
      </w:r>
    </w:p>
    <w:p>
      <w:pPr>
        <w:spacing w:after="80"/>
        <w:ind w:left="720"/>
      </w:pPr>
      <w:r>
        <w:rPr>
          <w:rFonts w:ascii="Courier New" w:cs="Courier New" w:eastAsia="Courier New" w:hAnsi="Courier New"/>
          <w:color w:val="1A5276"/>
          <w:sz w:val="18"/>
          <w:szCs w:val="18"/>
        </w:rPr>
        <w:t xml:space="preserve">WITH l LIMIT 1</w:t>
      </w:r>
    </w:p>
    <w:p>
      <w:pPr>
        <w:spacing w:after="80"/>
        <w:ind w:left="720"/>
      </w:pPr>
      <w:r>
        <w:rPr>
          <w:rFonts w:ascii="Courier New" w:cs="Courier New" w:eastAsia="Courier New" w:hAnsi="Courier New"/>
          <w:color w:val="1A5276"/>
          <w:sz w:val="18"/>
          <w:szCs w:val="18"/>
        </w:rPr>
        <w:t xml:space="preserve">MATCH (l)&lt;-[:`Terminal.ConductingEquipment`]-(t:Terminal)</w:t>
      </w:r>
    </w:p>
    <w:p>
      <w:pPr>
        <w:spacing w:after="80"/>
        <w:ind w:left="720"/>
      </w:pPr>
      <w:r>
        <w:rPr>
          <w:rFonts w:ascii="Courier New" w:cs="Courier New" w:eastAsia="Courier New" w:hAnsi="Courier New"/>
          <w:color w:val="1A5276"/>
          <w:sz w:val="18"/>
          <w:szCs w:val="18"/>
        </w:rPr>
        <w:t xml:space="preserve">      -[:`Terminal.ConnectivityNode`]-&gt;(cn:ConnectivityNode)</w:t>
      </w:r>
    </w:p>
    <w:p>
      <w:pPr>
        <w:spacing w:after="80"/>
        <w:ind w:left="720"/>
      </w:pPr>
      <w:r>
        <w:rPr>
          <w:rFonts w:ascii="Courier New" w:cs="Courier New" w:eastAsia="Courier New" w:hAnsi="Courier New"/>
          <w:color w:val="1A5276"/>
          <w:sz w:val="18"/>
          <w:szCs w:val="18"/>
        </w:rPr>
        <w:t xml:space="preserve">      -[:`ConnectivityNodeContainer`]-&gt;(vl:VoltageLevel)</w:t>
      </w:r>
    </w:p>
    <w:p>
      <w:pPr>
        <w:spacing w:after="80"/>
        <w:ind w:left="720"/>
      </w:pPr>
      <w:r>
        <w:rPr>
          <w:rFonts w:ascii="Courier New" w:cs="Courier New" w:eastAsia="Courier New" w:hAnsi="Courier New"/>
          <w:color w:val="1A5276"/>
          <w:sz w:val="18"/>
          <w:szCs w:val="18"/>
        </w:rPr>
        <w:t xml:space="preserve">      -[:`VoltageLevel.Substation`]-&gt;(sub:Substation)</w:t>
      </w:r>
    </w:p>
    <w:p>
      <w:pPr>
        <w:spacing w:after="80"/>
        <w:ind w:left="720"/>
      </w:pPr>
      <w:r>
        <w:rPr>
          <w:rFonts w:ascii="Courier New" w:cs="Courier New" w:eastAsia="Courier New" w:hAnsi="Courier New"/>
          <w:color w:val="1A5276"/>
          <w:sz w:val="18"/>
          <w:szCs w:val="18"/>
        </w:rPr>
        <w:t xml:space="preserve">RETURN l.`IdentifiedObject.name` AS line, sub.mrid AS substationMrid</w:t>
      </w:r>
    </w:p>
    <w:p>
      <w:pPr>
        <w:spacing w:after="16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pPr>
    <w:rPr>
      <w:b/>
      <w:bCs/>
      <w:color w:val="1F3F7B"/>
      <w:sz w:val="28"/>
      <w:szCs w:val="28"/>
    </w:rPr>
  </w:style>
  <w:style w:type="paragraph" w:styleId="Heading2">
    <w:name w:val="Heading 2"/>
    <w:basedOn w:val="Normal"/>
    <w:next w:val="Normal"/>
    <w:pPr>
      <w:spacing w:after="160" w:before="300"/>
    </w:pPr>
    <w:rPr>
      <w:b/>
      <w:bCs/>
      <w:color w:val="2E86C1"/>
      <w:sz w:val="24"/>
      <w:szCs w:val="24"/>
    </w:rPr>
  </w:style>
  <w:style w:type="paragraph" w:styleId="Heading3">
    <w:name w:val="Heading 3"/>
    <w:basedOn w:val="Normal"/>
    <w:next w:val="Normal"/>
    <w:pPr>
      <w:spacing w:after="120" w:before="200"/>
    </w:pPr>
    <w:rPr>
      <w:b/>
      <w:bCs/>
      <w:color w:val="1F3F7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2026-09-09T19:15:09.277Z</dcterms:created>
  <dcterms:modified xsi:type="dcterms:W3CDTF">2026-09-09T19:15:09.291Z</dcterms:modified>
</cp:coreProperties>
</file>

<file path=docProps/custom.xml><?xml version="1.0" encoding="utf-8"?>
<Properties xmlns="http://schemas.openxmlformats.org/officeDocument/2006/custom-properties" xmlns:vt="http://schemas.openxmlformats.org/officeDocument/2006/docPropsVTypes"/>
</file>