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0284C7"/>
          <w:sz w:val="52"/>
        </w:rPr>
        <w:t>GeoGround AI</w:t>
      </w:r>
    </w:p>
    <w:p>
      <w:pPr>
        <w:spacing w:after="360"/>
      </w:pPr>
      <w:r>
        <w:rPr>
          <w:rFonts w:ascii="Arial" w:hAnsi="Arial"/>
          <w:i/>
          <w:color w:val="475569"/>
          <w:sz w:val="26"/>
        </w:rPr>
        <w:t>AI-Based Groundwater Level Estimation Using GPS Location and Multi-Source Geospatial Data</w:t>
        <w:br/>
        <w:t>Final Technical Documentation &amp; System Specification</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rPr>
              <w:t>Project Scope</w:t>
            </w:r>
          </w:p>
        </w:tc>
        <w:tc>
          <w:tcPr>
            <w:tcW w:type="dxa" w:w="4680"/>
            <w:shd w:fill="FFFFFF"/>
            <w:tcMar>
              <w:top w:w="80" w:type="dxa"/>
              <w:bottom w:w="80" w:type="dxa"/>
              <w:left w:w="120" w:type="dxa"/>
              <w:right w:w="120" w:type="dxa"/>
            </w:tcMar>
          </w:tcPr>
          <w:p>
            <w:r>
              <w:t>Telangana State, India (33 Districts &amp; 1,025 Observation Wells)</w:t>
            </w:r>
          </w:p>
        </w:tc>
      </w:tr>
      <w:tr>
        <w:tc>
          <w:tcPr>
            <w:tcW w:type="dxa" w:w="4680"/>
            <w:shd w:fill="F1F5F9"/>
            <w:tcMar>
              <w:top w:w="80" w:type="dxa"/>
              <w:bottom w:w="80" w:type="dxa"/>
              <w:left w:w="120" w:type="dxa"/>
              <w:right w:w="120" w:type="dxa"/>
            </w:tcMar>
          </w:tcPr>
          <w:p>
            <w:r>
              <w:rPr>
                <w:b/>
              </w:rPr>
              <w:t>Active Model</w:t>
            </w:r>
          </w:p>
        </w:tc>
        <w:tc>
          <w:tcPr>
            <w:tcW w:type="dxa" w:w="4680"/>
            <w:shd w:fill="FFFFFF"/>
            <w:tcMar>
              <w:top w:w="80" w:type="dxa"/>
              <w:bottom w:w="80" w:type="dxa"/>
              <w:left w:w="120" w:type="dxa"/>
              <w:right w:w="120" w:type="dxa"/>
            </w:tcMar>
          </w:tcPr>
          <w:p>
            <w:r>
              <w:t>XGBoost Regressor (Test MAE: 3.04m, R²: 0.512)</w:t>
            </w:r>
          </w:p>
        </w:tc>
      </w:tr>
      <w:tr>
        <w:tc>
          <w:tcPr>
            <w:tcW w:type="dxa" w:w="4680"/>
            <w:shd w:fill="F1F5F9"/>
            <w:tcMar>
              <w:top w:w="80" w:type="dxa"/>
              <w:bottom w:w="80" w:type="dxa"/>
              <w:left w:w="120" w:type="dxa"/>
              <w:right w:w="120" w:type="dxa"/>
            </w:tcMar>
          </w:tcPr>
          <w:p>
            <w:r>
              <w:rPr>
                <w:b/>
              </w:rPr>
              <w:t>System Architecture</w:t>
            </w:r>
          </w:p>
        </w:tc>
        <w:tc>
          <w:tcPr>
            <w:tcW w:type="dxa" w:w="4680"/>
            <w:shd w:fill="FFFFFF"/>
            <w:tcMar>
              <w:top w:w="80" w:type="dxa"/>
              <w:bottom w:w="80" w:type="dxa"/>
              <w:left w:w="120" w:type="dxa"/>
              <w:right w:w="120" w:type="dxa"/>
            </w:tcMar>
          </w:tcPr>
          <w:p>
            <w:r>
              <w:t>React Frontend + NestJS/Node Gateway + FastAPI ML Service</w:t>
            </w:r>
          </w:p>
        </w:tc>
      </w:tr>
      <w:tr>
        <w:tc>
          <w:tcPr>
            <w:tcW w:type="dxa" w:w="4680"/>
            <w:shd w:fill="F1F5F9"/>
            <w:tcMar>
              <w:top w:w="80" w:type="dxa"/>
              <w:bottom w:w="80" w:type="dxa"/>
              <w:left w:w="120" w:type="dxa"/>
              <w:right w:w="120" w:type="dxa"/>
            </w:tcMar>
          </w:tcPr>
          <w:p>
            <w:r>
              <w:rPr>
                <w:b/>
              </w:rPr>
              <w:t>Version &amp; Status</w:t>
            </w:r>
          </w:p>
        </w:tc>
        <w:tc>
          <w:tcPr>
            <w:tcW w:type="dxa" w:w="4680"/>
            <w:shd w:fill="FFFFFF"/>
            <w:tcMar>
              <w:top w:w="80" w:type="dxa"/>
              <w:bottom w:w="80" w:type="dxa"/>
              <w:left w:w="120" w:type="dxa"/>
              <w:right w:w="120" w:type="dxa"/>
            </w:tcMar>
          </w:tcPr>
          <w:p>
            <w:r>
              <w:t>Version 1.0.0 — Production Integrated</w:t>
            </w:r>
          </w:p>
        </w:tc>
      </w:tr>
    </w:tbl>
    <w:p/>
    <w:p>
      <w:pPr>
        <w:pStyle w:val="Heading1"/>
        <w:spacing w:before="280" w:after="120"/>
      </w:pPr>
      <w:r>
        <w:rPr>
          <w:rFonts w:ascii="Arial" w:hAnsi="Arial"/>
          <w:b/>
          <w:color w:val="0F172A"/>
          <w:sz w:val="32"/>
        </w:rPr>
        <w:t>1. Executive Summary &amp; Abstract</w:t>
      </w:r>
    </w:p>
    <w:p>
      <w:r>
        <w:t>Groundwater is the primary source of irrigation and drinking water across much of India. Rapid urbanization, increasing extraction rates, and irregular monsoon precipitation have steadily lowered the water table, leaving farmers, borewell drillers, and planners with little information before drilling borewells.</w:t>
      </w:r>
    </w:p>
    <w:p>
      <w:r>
        <w:t>GeoGround AI is an intelligent full-stack machine learning platform that estimates groundwater depth (meters Below Ground Level / m BGL) and water condition categories at any user-specified GPS coordinate. Rather than relying solely on sparse physical observation wells, GeoGround AI fuses 154,504 historical groundwater monitoring records (Central Ground Water Board / National Water Data Portal) with multi-source open geospatial data (NASA POWER climate, ISRIC SoilGrids soil matrix, NASA SRTM digital elevation, and ESA WorldCover land use).</w:t>
      </w:r>
    </w:p>
    <w:p>
      <w:r>
        <w:t>When a user selects a point on an interactive map or enters coordinates, the system automatically extracts geospatial features, computes spatial proximity to monitored aquifers, and utilizes an XGBoost regression model to deliver depth estimations, condition categories, historical trends, and transparent confidence scores.</w:t>
      </w:r>
    </w:p>
    <w:p>
      <w:pPr>
        <w:pStyle w:val="Heading1"/>
        <w:spacing w:before="280" w:after="120"/>
      </w:pPr>
      <w:r>
        <w:rPr>
          <w:rFonts w:ascii="Arial" w:hAnsi="Arial"/>
          <w:b/>
          <w:color w:val="0F172A"/>
          <w:sz w:val="32"/>
        </w:rPr>
        <w:t>2. Problem Statement &amp; Core Objectives</w:t>
      </w:r>
    </w:p>
    <w:p>
      <w:r>
        <w:t>• Lack of Plot-Specific Information: Government observation wells (CGWB/NWDP) are fixed and miles away from individual farmland plots.</w:t>
        <w:br/>
        <w:t>• High Survey Costs: Physical geophysical surveys (electrical resistivity or seismic tomography) cost thousands of rupees per borewell site and are unaffordable for smallholder farmers.</w:t>
        <w:br/>
        <w:t>• Blind Drilling Risk: Farmers frequently invest in unsuccessful deep borehole drilling that hits dry rock formations.</w:t>
        <w:br/>
        <w:t>• Accessibility Gap: Government portals store complex raw CSV archives rather than offering direct, location-specific decision intelligence.</w:t>
      </w:r>
    </w:p>
    <w:p>
      <w:pPr>
        <w:pStyle w:val="Heading1"/>
        <w:spacing w:before="280" w:after="120"/>
      </w:pPr>
      <w:r>
        <w:rPr>
          <w:rFonts w:ascii="Arial" w:hAnsi="Arial"/>
          <w:b/>
          <w:color w:val="0F172A"/>
          <w:sz w:val="32"/>
        </w:rPr>
        <w:t>3. High-Level System Architecture</w:t>
      </w:r>
    </w:p>
    <w:p>
      <w:r>
        <w:t>The GeoGround AI architecture consists of three decoupled microservices working collaboratively:</w:t>
      </w:r>
    </w:p>
    <w:p>
      <w:r>
        <w:t>1. React Frontend Dashboard (Port 5173): Provides an interactive Leaflet map, GPS 'Locate Me' pin-point placement, animated depth gauge, water status indicators, and multi-source environmental parameter cards.</w:t>
        <w:br/>
        <w:t>2. Backend API Gateway (Port 3001): Built on Node.js/Express with TypeScript, handles OpenStreetMap Nominatim reverse geocoding, request logging, district analytics, and database orchestration.</w:t>
        <w:br/>
        <w:t>3. FastAPI ML Inference Service (Port 8000): Serves the trained XGBoost regression model, coordinates real-time API feature ingestion (NASA, SoilGrids, SRTM), and calculates explainable confidence scores.</w:t>
      </w:r>
    </w:p>
    <w:p>
      <w:pPr>
        <w:pStyle w:val="Heading1"/>
        <w:spacing w:before="280" w:after="120"/>
      </w:pPr>
      <w:r>
        <w:rPr>
          <w:rFonts w:ascii="Arial" w:hAnsi="Arial"/>
          <w:b/>
          <w:color w:val="0F172A"/>
          <w:sz w:val="32"/>
        </w:rPr>
        <w:t>4. Multi-Source Geospatial Data Sources</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80" w:type="dxa"/>
              <w:bottom w:w="80" w:type="dxa"/>
              <w:left w:w="100" w:type="dxa"/>
              <w:right w:w="100" w:type="dxa"/>
            </w:tcMar>
          </w:tcPr>
          <w:p>
            <w:r>
              <w:rPr>
                <w:b/>
                <w:color w:val="FFFFFF"/>
              </w:rPr>
              <w:t>Data Category</w:t>
            </w:r>
          </w:p>
        </w:tc>
        <w:tc>
          <w:tcPr>
            <w:tcW w:type="dxa" w:w="3120"/>
            <w:shd w:fill="0284C7"/>
            <w:tcMar>
              <w:top w:w="80" w:type="dxa"/>
              <w:bottom w:w="80" w:type="dxa"/>
              <w:left w:w="100" w:type="dxa"/>
              <w:right w:w="100" w:type="dxa"/>
            </w:tcMar>
          </w:tcPr>
          <w:p>
            <w:r>
              <w:rPr>
                <w:b/>
                <w:color w:val="FFFFFF"/>
              </w:rPr>
              <w:t>Primary Source / API</w:t>
            </w:r>
          </w:p>
        </w:tc>
        <w:tc>
          <w:tcPr>
            <w:tcW w:type="dxa" w:w="3120"/>
            <w:shd w:fill="0284C7"/>
            <w:tcMar>
              <w:top w:w="80" w:type="dxa"/>
              <w:bottom w:w="80" w:type="dxa"/>
              <w:left w:w="100" w:type="dxa"/>
              <w:right w:w="100" w:type="dxa"/>
            </w:tcMar>
          </w:tcPr>
          <w:p>
            <w:r>
              <w:rPr>
                <w:b/>
                <w:color w:val="FFFFFF"/>
              </w:rPr>
              <w:t>Parameters Extracted</w:t>
            </w:r>
          </w:p>
        </w:tc>
      </w:tr>
      <w:tr>
        <w:tc>
          <w:tcPr>
            <w:tcW w:type="dxa" w:w="3120"/>
            <w:shd w:fill="F8FAFC"/>
            <w:tcMar>
              <w:top w:w="70" w:type="dxa"/>
              <w:bottom w:w="70" w:type="dxa"/>
              <w:left w:w="90" w:type="dxa"/>
              <w:right w:w="90" w:type="dxa"/>
            </w:tcMar>
          </w:tcPr>
          <w:p>
            <w:r>
              <w:t>Groundwater Ground Truth</w:t>
            </w:r>
          </w:p>
        </w:tc>
        <w:tc>
          <w:tcPr>
            <w:tcW w:type="dxa" w:w="3120"/>
            <w:shd w:fill="F8FAFC"/>
            <w:tcMar>
              <w:top w:w="70" w:type="dxa"/>
              <w:bottom w:w="70" w:type="dxa"/>
              <w:left w:w="90" w:type="dxa"/>
              <w:right w:w="90" w:type="dxa"/>
            </w:tcMar>
          </w:tcPr>
          <w:p>
            <w:r>
              <w:t>CGWB via NWDP / India-WRIS</w:t>
            </w:r>
          </w:p>
        </w:tc>
        <w:tc>
          <w:tcPr>
            <w:tcW w:type="dxa" w:w="3120"/>
            <w:shd w:fill="F8FAFC"/>
            <w:tcMar>
              <w:top w:w="70" w:type="dxa"/>
              <w:bottom w:w="70" w:type="dxa"/>
              <w:left w:w="90" w:type="dxa"/>
              <w:right w:w="90" w:type="dxa"/>
            </w:tcMar>
          </w:tcPr>
          <w:p>
            <w:r>
              <w:t>154,504 historical physical measurements across 1,025 wells (1991-2025).</w:t>
            </w:r>
          </w:p>
        </w:tc>
      </w:tr>
      <w:tr>
        <w:tc>
          <w:tcPr>
            <w:tcW w:type="dxa" w:w="3120"/>
            <w:shd w:fill="FFFFFF"/>
            <w:tcMar>
              <w:top w:w="70" w:type="dxa"/>
              <w:bottom w:w="70" w:type="dxa"/>
              <w:left w:w="90" w:type="dxa"/>
              <w:right w:w="90" w:type="dxa"/>
            </w:tcMar>
          </w:tcPr>
          <w:p>
            <w:r>
              <w:t>Meteorology &amp; Climate</w:t>
            </w:r>
          </w:p>
        </w:tc>
        <w:tc>
          <w:tcPr>
            <w:tcW w:type="dxa" w:w="3120"/>
            <w:shd w:fill="FFFFFF"/>
            <w:tcMar>
              <w:top w:w="70" w:type="dxa"/>
              <w:bottom w:w="70" w:type="dxa"/>
              <w:left w:w="90" w:type="dxa"/>
              <w:right w:w="90" w:type="dxa"/>
            </w:tcMar>
          </w:tcPr>
          <w:p>
            <w:r>
              <w:t>NASA POWER REST API</w:t>
            </w:r>
          </w:p>
        </w:tc>
        <w:tc>
          <w:tcPr>
            <w:tcW w:type="dxa" w:w="3120"/>
            <w:shd w:fill="FFFFFF"/>
            <w:tcMar>
              <w:top w:w="70" w:type="dxa"/>
              <w:bottom w:w="70" w:type="dxa"/>
              <w:left w:w="90" w:type="dxa"/>
              <w:right w:w="90" w:type="dxa"/>
            </w:tcMar>
          </w:tcPr>
          <w:p>
            <w:r>
              <w:t>30d, 90d, 365d cumulative precipitation (mm), temperature (°C), relative humidity (%).</w:t>
            </w:r>
          </w:p>
        </w:tc>
      </w:tr>
      <w:tr>
        <w:tc>
          <w:tcPr>
            <w:tcW w:type="dxa" w:w="3120"/>
            <w:shd w:fill="F8FAFC"/>
            <w:tcMar>
              <w:top w:w="70" w:type="dxa"/>
              <w:bottom w:w="70" w:type="dxa"/>
              <w:left w:w="90" w:type="dxa"/>
              <w:right w:w="90" w:type="dxa"/>
            </w:tcMar>
          </w:tcPr>
          <w:p>
            <w:r>
              <w:t>Soil Physical Matrix</w:t>
            </w:r>
          </w:p>
        </w:tc>
        <w:tc>
          <w:tcPr>
            <w:tcW w:type="dxa" w:w="3120"/>
            <w:shd w:fill="F8FAFC"/>
            <w:tcMar>
              <w:top w:w="70" w:type="dxa"/>
              <w:bottom w:w="70" w:type="dxa"/>
              <w:left w:w="90" w:type="dxa"/>
              <w:right w:w="90" w:type="dxa"/>
            </w:tcMar>
          </w:tcPr>
          <w:p>
            <w:r>
              <w:t>ISRIC SoilGrids 250m REST API</w:t>
            </w:r>
          </w:p>
        </w:tc>
        <w:tc>
          <w:tcPr>
            <w:tcW w:type="dxa" w:w="3120"/>
            <w:shd w:fill="F8FAFC"/>
            <w:tcMar>
              <w:top w:w="70" w:type="dxa"/>
              <w:bottom w:w="70" w:type="dxa"/>
              <w:left w:w="90" w:type="dxa"/>
              <w:right w:w="90" w:type="dxa"/>
            </w:tcMar>
          </w:tcPr>
          <w:p>
            <w:r>
              <w:t>% clay, % sand, % silt, bulk density, soil pH at 0–30 cm depth.</w:t>
            </w:r>
          </w:p>
        </w:tc>
      </w:tr>
      <w:tr>
        <w:tc>
          <w:tcPr>
            <w:tcW w:type="dxa" w:w="3120"/>
            <w:shd w:fill="FFFFFF"/>
            <w:tcMar>
              <w:top w:w="70" w:type="dxa"/>
              <w:bottom w:w="70" w:type="dxa"/>
              <w:left w:w="90" w:type="dxa"/>
              <w:right w:w="90" w:type="dxa"/>
            </w:tcMar>
          </w:tcPr>
          <w:p>
            <w:r>
              <w:t>Topography &amp; Elevation</w:t>
            </w:r>
          </w:p>
        </w:tc>
        <w:tc>
          <w:tcPr>
            <w:tcW w:type="dxa" w:w="3120"/>
            <w:shd w:fill="FFFFFF"/>
            <w:tcMar>
              <w:top w:w="70" w:type="dxa"/>
              <w:bottom w:w="70" w:type="dxa"/>
              <w:left w:w="90" w:type="dxa"/>
              <w:right w:w="90" w:type="dxa"/>
            </w:tcMar>
          </w:tcPr>
          <w:p>
            <w:r>
              <w:t>NASA SRTM 30m via OpenTopoData</w:t>
            </w:r>
          </w:p>
        </w:tc>
        <w:tc>
          <w:tcPr>
            <w:tcW w:type="dxa" w:w="3120"/>
            <w:shd w:fill="FFFFFF"/>
            <w:tcMar>
              <w:top w:w="70" w:type="dxa"/>
              <w:bottom w:w="70" w:type="dxa"/>
              <w:left w:w="90" w:type="dxa"/>
              <w:right w:w="90" w:type="dxa"/>
            </w:tcMar>
          </w:tcPr>
          <w:p>
            <w:r>
              <w:t>Digital Elevation Model height in meters above Mean Sea Level (MSL).</w:t>
            </w:r>
          </w:p>
        </w:tc>
      </w:tr>
      <w:tr>
        <w:tc>
          <w:tcPr>
            <w:tcW w:type="dxa" w:w="3120"/>
            <w:shd w:fill="F8FAFC"/>
            <w:tcMar>
              <w:top w:w="70" w:type="dxa"/>
              <w:bottom w:w="70" w:type="dxa"/>
              <w:left w:w="90" w:type="dxa"/>
              <w:right w:w="90" w:type="dxa"/>
            </w:tcMar>
          </w:tcPr>
          <w:p>
            <w:r>
              <w:t>Land Use / Land Cover</w:t>
            </w:r>
          </w:p>
        </w:tc>
        <w:tc>
          <w:tcPr>
            <w:tcW w:type="dxa" w:w="3120"/>
            <w:shd w:fill="F8FAFC"/>
            <w:tcMar>
              <w:top w:w="70" w:type="dxa"/>
              <w:bottom w:w="70" w:type="dxa"/>
              <w:left w:w="90" w:type="dxa"/>
              <w:right w:w="90" w:type="dxa"/>
            </w:tcMar>
          </w:tcPr>
          <w:p>
            <w:r>
              <w:t>ESA WorldCover 10m</w:t>
            </w:r>
          </w:p>
        </w:tc>
        <w:tc>
          <w:tcPr>
            <w:tcW w:type="dxa" w:w="3120"/>
            <w:shd w:fill="F8FAFC"/>
            <w:tcMar>
              <w:top w:w="70" w:type="dxa"/>
              <w:bottom w:w="70" w:type="dxa"/>
              <w:left w:w="90" w:type="dxa"/>
              <w:right w:w="90" w:type="dxa"/>
            </w:tcMar>
          </w:tcPr>
          <w:p>
            <w:r>
              <w:t>Built-Up / Urban, Cropland, Grassland, Water body surface classifications.</w:t>
            </w:r>
          </w:p>
        </w:tc>
      </w:tr>
    </w:tbl>
    <w:p/>
    <w:p>
      <w:pPr>
        <w:pStyle w:val="Heading1"/>
        <w:spacing w:before="280" w:after="120"/>
      </w:pPr>
      <w:r>
        <w:rPr>
          <w:rFonts w:ascii="Arial" w:hAnsi="Arial"/>
          <w:b/>
          <w:color w:val="0F172A"/>
          <w:sz w:val="32"/>
        </w:rPr>
        <w:t>5. Machine Learning Pipeline &amp; Benchmark Metrics</w:t>
      </w:r>
    </w:p>
    <w:p>
      <w:r>
        <w:t>A strict temporal validation split was implemented during training (pre-2017 observations for training, 2017–2025 for unseen testing) to prevent temporal data leakage and benchmark real-world generalization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rPr>
              <w:t>Model</w:t>
            </w:r>
          </w:p>
        </w:tc>
        <w:tc>
          <w:tcPr>
            <w:tcW w:type="dxa" w:w="2340"/>
            <w:shd w:fill="0F172A"/>
            <w:tcMar>
              <w:top w:w="80" w:type="dxa"/>
              <w:bottom w:w="80" w:type="dxa"/>
              <w:left w:w="100" w:type="dxa"/>
              <w:right w:w="100" w:type="dxa"/>
            </w:tcMar>
          </w:tcPr>
          <w:p>
            <w:r>
              <w:rPr>
                <w:b/>
                <w:color w:val="FFFFFF"/>
              </w:rPr>
              <w:t>Test MAE (meters)</w:t>
            </w:r>
          </w:p>
        </w:tc>
        <w:tc>
          <w:tcPr>
            <w:tcW w:type="dxa" w:w="2340"/>
            <w:shd w:fill="0F172A"/>
            <w:tcMar>
              <w:top w:w="80" w:type="dxa"/>
              <w:bottom w:w="80" w:type="dxa"/>
              <w:left w:w="100" w:type="dxa"/>
              <w:right w:w="100" w:type="dxa"/>
            </w:tcMar>
          </w:tcPr>
          <w:p>
            <w:r>
              <w:rPr>
                <w:b/>
                <w:color w:val="FFFFFF"/>
              </w:rPr>
              <w:t>Test RMSE (meters)</w:t>
            </w:r>
          </w:p>
        </w:tc>
        <w:tc>
          <w:tcPr>
            <w:tcW w:type="dxa" w:w="2340"/>
            <w:shd w:fill="0F172A"/>
            <w:tcMar>
              <w:top w:w="80" w:type="dxa"/>
              <w:bottom w:w="80" w:type="dxa"/>
              <w:left w:w="100" w:type="dxa"/>
              <w:right w:w="100" w:type="dxa"/>
            </w:tcMar>
          </w:tcPr>
          <w:p>
            <w:r>
              <w:rPr>
                <w:b/>
                <w:color w:val="FFFFFF"/>
              </w:rPr>
              <w:t>R² Score</w:t>
            </w:r>
          </w:p>
        </w:tc>
      </w:tr>
      <w:tr>
        <w:tc>
          <w:tcPr>
            <w:tcW w:type="dxa" w:w="2340"/>
            <w:shd w:fill="F8FAFC"/>
            <w:tcMar>
              <w:top w:w="70" w:type="dxa"/>
              <w:bottom w:w="70" w:type="dxa"/>
              <w:left w:w="90" w:type="dxa"/>
              <w:right w:w="90" w:type="dxa"/>
            </w:tcMar>
          </w:tcPr>
          <w:p>
            <w:r>
              <w:t>Baseline (Simple Mean)</w:t>
            </w:r>
          </w:p>
        </w:tc>
        <w:tc>
          <w:tcPr>
            <w:tcW w:type="dxa" w:w="2340"/>
            <w:shd w:fill="F8FAFC"/>
            <w:tcMar>
              <w:top w:w="70" w:type="dxa"/>
              <w:bottom w:w="70" w:type="dxa"/>
              <w:left w:w="90" w:type="dxa"/>
              <w:right w:w="90" w:type="dxa"/>
            </w:tcMar>
          </w:tcPr>
          <w:p>
            <w:r>
              <w:t>4.94 m</w:t>
            </w:r>
          </w:p>
        </w:tc>
        <w:tc>
          <w:tcPr>
            <w:tcW w:type="dxa" w:w="2340"/>
            <w:shd w:fill="F8FAFC"/>
            <w:tcMar>
              <w:top w:w="70" w:type="dxa"/>
              <w:bottom w:w="70" w:type="dxa"/>
              <w:left w:w="90" w:type="dxa"/>
              <w:right w:w="90" w:type="dxa"/>
            </w:tcMar>
          </w:tcPr>
          <w:p>
            <w:r>
              <w:t>6.86 m</w:t>
            </w:r>
          </w:p>
        </w:tc>
        <w:tc>
          <w:tcPr>
            <w:tcW w:type="dxa" w:w="2340"/>
            <w:shd w:fill="F8FAFC"/>
            <w:tcMar>
              <w:top w:w="70" w:type="dxa"/>
              <w:bottom w:w="70" w:type="dxa"/>
              <w:left w:w="90" w:type="dxa"/>
              <w:right w:w="90" w:type="dxa"/>
            </w:tcMar>
          </w:tcPr>
          <w:p>
            <w:r>
              <w:t>-0.3225</w:t>
            </w:r>
          </w:p>
        </w:tc>
      </w:tr>
      <w:tr>
        <w:tc>
          <w:tcPr>
            <w:tcW w:type="dxa" w:w="2340"/>
            <w:shd w:fill="FFFFFF"/>
            <w:tcMar>
              <w:top w:w="70" w:type="dxa"/>
              <w:bottom w:w="70" w:type="dxa"/>
              <w:left w:w="90" w:type="dxa"/>
              <w:right w:w="90" w:type="dxa"/>
            </w:tcMar>
          </w:tcPr>
          <w:p>
            <w:r>
              <w:t>Random Forest Regressor</w:t>
            </w:r>
          </w:p>
        </w:tc>
        <w:tc>
          <w:tcPr>
            <w:tcW w:type="dxa" w:w="2340"/>
            <w:shd w:fill="FFFFFF"/>
            <w:tcMar>
              <w:top w:w="70" w:type="dxa"/>
              <w:bottom w:w="70" w:type="dxa"/>
              <w:left w:w="90" w:type="dxa"/>
              <w:right w:w="90" w:type="dxa"/>
            </w:tcMar>
          </w:tcPr>
          <w:p>
            <w:r>
              <w:t>3.83 m</w:t>
            </w:r>
          </w:p>
        </w:tc>
        <w:tc>
          <w:tcPr>
            <w:tcW w:type="dxa" w:w="2340"/>
            <w:shd w:fill="FFFFFF"/>
            <w:tcMar>
              <w:top w:w="70" w:type="dxa"/>
              <w:bottom w:w="70" w:type="dxa"/>
              <w:left w:w="90" w:type="dxa"/>
              <w:right w:w="90" w:type="dxa"/>
            </w:tcMar>
          </w:tcPr>
          <w:p>
            <w:r>
              <w:t>5.94 m</w:t>
            </w:r>
          </w:p>
        </w:tc>
        <w:tc>
          <w:tcPr>
            <w:tcW w:type="dxa" w:w="2340"/>
            <w:shd w:fill="FFFFFF"/>
            <w:tcMar>
              <w:top w:w="70" w:type="dxa"/>
              <w:bottom w:w="70" w:type="dxa"/>
              <w:left w:w="90" w:type="dxa"/>
              <w:right w:w="90" w:type="dxa"/>
            </w:tcMar>
          </w:tcPr>
          <w:p>
            <w:r>
              <w:t>0.0098</w:t>
            </w:r>
          </w:p>
        </w:tc>
      </w:tr>
      <w:tr>
        <w:tc>
          <w:tcPr>
            <w:tcW w:type="dxa" w:w="2340"/>
            <w:shd w:fill="F8FAFC"/>
            <w:tcMar>
              <w:top w:w="70" w:type="dxa"/>
              <w:bottom w:w="70" w:type="dxa"/>
              <w:left w:w="90" w:type="dxa"/>
              <w:right w:w="90" w:type="dxa"/>
            </w:tcMar>
          </w:tcPr>
          <w:p>
            <w:r>
              <w:t>LightGBM Regressor</w:t>
            </w:r>
          </w:p>
        </w:tc>
        <w:tc>
          <w:tcPr>
            <w:tcW w:type="dxa" w:w="2340"/>
            <w:shd w:fill="F8FAFC"/>
            <w:tcMar>
              <w:top w:w="70" w:type="dxa"/>
              <w:bottom w:w="70" w:type="dxa"/>
              <w:left w:w="90" w:type="dxa"/>
              <w:right w:w="90" w:type="dxa"/>
            </w:tcMar>
          </w:tcPr>
          <w:p>
            <w:r>
              <w:t>3.32 m</w:t>
            </w:r>
          </w:p>
        </w:tc>
        <w:tc>
          <w:tcPr>
            <w:tcW w:type="dxa" w:w="2340"/>
            <w:shd w:fill="F8FAFC"/>
            <w:tcMar>
              <w:top w:w="70" w:type="dxa"/>
              <w:bottom w:w="70" w:type="dxa"/>
              <w:left w:w="90" w:type="dxa"/>
              <w:right w:w="90" w:type="dxa"/>
            </w:tcMar>
          </w:tcPr>
          <w:p>
            <w:r>
              <w:t>4.36 m</w:t>
            </w:r>
          </w:p>
        </w:tc>
        <w:tc>
          <w:tcPr>
            <w:tcW w:type="dxa" w:w="2340"/>
            <w:shd w:fill="F8FAFC"/>
            <w:tcMar>
              <w:top w:w="70" w:type="dxa"/>
              <w:bottom w:w="70" w:type="dxa"/>
              <w:left w:w="90" w:type="dxa"/>
              <w:right w:w="90" w:type="dxa"/>
            </w:tcMar>
          </w:tcPr>
          <w:p>
            <w:r>
              <w:t>0.4647</w:t>
            </w:r>
          </w:p>
        </w:tc>
      </w:tr>
      <w:tr>
        <w:tc>
          <w:tcPr>
            <w:tcW w:type="dxa" w:w="2340"/>
            <w:shd w:fill="E0F2FE"/>
            <w:tcMar>
              <w:top w:w="70" w:type="dxa"/>
              <w:bottom w:w="70" w:type="dxa"/>
              <w:left w:w="90" w:type="dxa"/>
              <w:right w:w="90" w:type="dxa"/>
            </w:tcMar>
          </w:tcPr>
          <w:p>
            <w:r>
              <w:rPr>
                <w:b/>
              </w:rPr>
              <w:t>XGBoost Regressor (Selected Engine)</w:t>
            </w:r>
          </w:p>
        </w:tc>
        <w:tc>
          <w:tcPr>
            <w:tcW w:type="dxa" w:w="2340"/>
            <w:shd w:fill="E0F2FE"/>
            <w:tcMar>
              <w:top w:w="70" w:type="dxa"/>
              <w:bottom w:w="70" w:type="dxa"/>
              <w:left w:w="90" w:type="dxa"/>
              <w:right w:w="90" w:type="dxa"/>
            </w:tcMar>
          </w:tcPr>
          <w:p>
            <w:r>
              <w:rPr>
                <w:b/>
              </w:rPr>
              <w:t>3.04 m</w:t>
            </w:r>
          </w:p>
        </w:tc>
        <w:tc>
          <w:tcPr>
            <w:tcW w:type="dxa" w:w="2340"/>
            <w:shd w:fill="E0F2FE"/>
            <w:tcMar>
              <w:top w:w="70" w:type="dxa"/>
              <w:bottom w:w="70" w:type="dxa"/>
              <w:left w:w="90" w:type="dxa"/>
              <w:right w:w="90" w:type="dxa"/>
            </w:tcMar>
          </w:tcPr>
          <w:p>
            <w:r>
              <w:rPr>
                <w:b/>
              </w:rPr>
              <w:t>4.17 m</w:t>
            </w:r>
          </w:p>
        </w:tc>
        <w:tc>
          <w:tcPr>
            <w:tcW w:type="dxa" w:w="2340"/>
            <w:shd w:fill="E0F2FE"/>
            <w:tcMar>
              <w:top w:w="70" w:type="dxa"/>
              <w:bottom w:w="70" w:type="dxa"/>
              <w:left w:w="90" w:type="dxa"/>
              <w:right w:w="90" w:type="dxa"/>
            </w:tcMar>
          </w:tcPr>
          <w:p>
            <w:r>
              <w:rPr>
                <w:b/>
              </w:rPr>
              <w:t>0.5124</w:t>
            </w:r>
          </w:p>
        </w:tc>
      </w:tr>
    </w:tbl>
    <w:p/>
    <w:p>
      <w:pPr>
        <w:pStyle w:val="Heading1"/>
        <w:spacing w:before="280" w:after="120"/>
      </w:pPr>
      <w:r>
        <w:rPr>
          <w:rFonts w:ascii="Arial" w:hAnsi="Arial"/>
          <w:b/>
          <w:color w:val="0F172A"/>
          <w:sz w:val="32"/>
        </w:rPr>
        <w:t>6. Output Interpretation &amp; Confidence Formula</w:t>
      </w:r>
    </w:p>
    <w:p>
      <w:r>
        <w:t>Groundwater Depth Condition Categories:</w:t>
        <w:br/>
        <w:t>• 0 - 10 meters: Excellent (High water table, ideal for shallow borewells and open wells)</w:t>
        <w:br/>
        <w:t>• 10 - 20 meters: Good (Moderate depth, stable recharge zones)</w:t>
        <w:br/>
        <w:t>• 20 - 30 meters: Moderate (Deep water table, significant seasonal variation)</w:t>
        <w:br/>
        <w:t>• &gt; 30 meters: Poor / Critical (High water stress, deep aquifer requirement)</w:t>
      </w:r>
    </w:p>
    <w:p>
      <w:r>
        <w:t>Confidence Score Formula:</w:t>
        <w:br/>
        <w:t>The model reports confidence derived from local observation well density and spatial distance:</w:t>
        <w:br/>
        <w:t>Confidence = min(99%, 30 + 40 * (N_wells / N_max) + 30 * (1 - D_nearest / R_search))</w:t>
        <w:br/>
        <w:t>This ensures transparent, explainable reliability metrics for end-users.</w:t>
      </w:r>
    </w:p>
    <w:p>
      <w:pPr>
        <w:pStyle w:val="Heading1"/>
        <w:spacing w:before="280" w:after="120"/>
      </w:pPr>
      <w:r>
        <w:rPr>
          <w:rFonts w:ascii="Arial" w:hAnsi="Arial"/>
          <w:b/>
          <w:color w:val="0F172A"/>
          <w:sz w:val="32"/>
        </w:rPr>
        <w:t>7. Database Schema (PostgreSQL)</w:t>
      </w:r>
    </w:p>
    <w:p>
      <w:r>
        <w:t>The system stores stateful data in four relational tables defined in database/init.sql:</w:t>
        <w:br/>
        <w:t>1. districts: Stores district-level averages, monitoring counts, and regional status.</w:t>
        <w:br/>
        <w:t>2. monitoring_wells: Spatial registry of all 1,025 physical monitoring wells with GPS coordinates.</w:t>
        <w:br/>
        <w:t>3. prediction_logs: Audits every user query with coordinates, estimated depth, confidence, and environmental snapshots.</w:t>
        <w:br/>
        <w:t>4. field_feedback: Collects field ground-truth measurements submitted by farmers and drillers for model retraining.</w:t>
      </w:r>
    </w:p>
    <w:p>
      <w:pPr>
        <w:pStyle w:val="Heading1"/>
        <w:spacing w:before="280" w:after="120"/>
      </w:pPr>
      <w:r>
        <w:rPr>
          <w:rFonts w:ascii="Arial" w:hAnsi="Arial"/>
          <w:b/>
          <w:color w:val="0F172A"/>
          <w:sz w:val="32"/>
        </w:rPr>
        <w:t>8. How to Run the Application</w:t>
      </w:r>
    </w:p>
    <w:p>
      <w:r>
        <w:t>Full-Stack Single-Command Startup:</w:t>
        <w:br/>
        <w:t>Run the following command from the project root:</w:t>
        <w:br/>
        <w:t xml:space="preserve">    python start_all.py</w:t>
        <w:br/>
        <w:br/>
        <w:t>Service Endpoints:</w:t>
        <w:br/>
        <w:t>• Frontend Web Application: http://localhost:5173</w:t>
        <w:br/>
        <w:t>• Backend API Gateway: http://localhost:3001/api/v1/health</w:t>
        <w:br/>
        <w:t>• FastAPI ML Service Docs: http://localhost:8000/docs</w:t>
      </w:r>
    </w:p>
    <w:p>
      <w:pPr>
        <w:pStyle w:val="Heading1"/>
        <w:spacing w:before="280" w:after="120"/>
      </w:pPr>
      <w:r>
        <w:rPr>
          <w:rFonts w:ascii="Arial" w:hAnsi="Arial"/>
          <w:b/>
          <w:color w:val="0F172A"/>
          <w:sz w:val="32"/>
        </w:rPr>
        <w:t>9. Conclusion &amp; Scientific Disclaimer</w:t>
      </w:r>
    </w:p>
    <w:p>
      <w:r>
        <w:t>GeoGround AI establishes that regional groundwater depths can be estimated with actionable accuracy by combining sparse government monitoring data with dense, open geospatial APIs and gradient-boosted decision trees.</w:t>
      </w:r>
    </w:p>
    <w:tbl>
      <w:tblPr>
        <w:tblW w:type="auto" w:w="0"/>
        <w:tblLook w:firstColumn="1" w:firstRow="1" w:lastColumn="0" w:lastRow="0" w:noHBand="0" w:noVBand="1" w:val="04A0"/>
      </w:tblPr>
      <w:tblGrid>
        <w:gridCol w:w="9360"/>
      </w:tblGrid>
      <w:tr>
        <w:tc>
          <w:tcPr>
            <w:tcW w:type="dxa" w:w="9360"/>
            <w:shd w:fill="FEF3C7"/>
            <w:tcMar>
              <w:top w:w="120" w:type="dxa"/>
              <w:bottom w:w="120" w:type="dxa"/>
              <w:left w:w="150" w:type="dxa"/>
              <w:right w:w="150" w:type="dxa"/>
            </w:tcMar>
          </w:tcPr>
          <w:p>
            <w:r>
              <w:rPr>
                <w:i/>
                <w:sz w:val="19"/>
              </w:rPr>
              <w:t>IMPORTANT DISCLAIMER: GeoGround AI provides statistical and machine-learning estimates based on historical monitoring and environmental indicators. It is intended as a pre-assessment planning tool for farmers, students, and planners, and does NOT replace physical hydrogeological surveys (electrical resistivity tomography) or borehole test drilling.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