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Understanding the Ultra-Low Density Cluster in Sparse Autoencoders</w:t>
      </w:r>
    </w:p>
    <w:p w:rsidR="00000000" w:rsidDel="00000000" w:rsidP="00000000" w:rsidRDefault="00000000" w:rsidRPr="00000000" w14:paraId="0000000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 -  Pavan Katta</w:t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*Produced as an application for MATS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 results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Ultra high frequency cluster majorly consists of features which are activated when the model’s token prediction has very high loss.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average loss curve associated with feature activation displays a phase-transition-type behaviour, particularly noticeable when transitioning from high to low frequency clusters.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Features within the low frequency cluster that have a low average loss appear more likely to be interpretable, though this aspect requires further research.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 pick some features in the ultra low frequency cluster using the above heuristic and  demonstrate their interpretability.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Background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Recently anthropic’s MI team found great success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extracting</w:t>
        </w:r>
      </w:hyperlink>
      <w:r w:rsidDel="00000000" w:rsidR="00000000" w:rsidRPr="00000000">
        <w:rPr>
          <w:rtl w:val="0"/>
        </w:rPr>
        <w:t xml:space="preserve">(Bricken et al)</w:t>
      </w:r>
      <w:r w:rsidDel="00000000" w:rsidR="00000000" w:rsidRPr="00000000">
        <w:rPr>
          <w:rtl w:val="0"/>
        </w:rPr>
        <w:t xml:space="preserve"> interpretable features out of a MLP layer of a 1L transformer. One interesting detail is that the feature density histogram seems to have 3 clusters. Namely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Dead neurons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 low density (Not Interpretable)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Others (Interpretable)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Nanda et al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replicated</w:t>
        </w:r>
      </w:hyperlink>
      <w:r w:rsidDel="00000000" w:rsidR="00000000" w:rsidRPr="00000000">
        <w:rPr>
          <w:rtl w:val="0"/>
        </w:rPr>
        <w:t xml:space="preserve"> the results and found a similar bimodal graph with a ultra low frequency cluster of features. 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Image from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Nanda et 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Ultra low frequency cluster is defined as features with frequency &lt; 1e-4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All the experiments were done using the open sourced autoencoder(run-1), 1L Gelu and training data from 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replication tutorial from</w:t>
        </w:r>
      </w:hyperlink>
      <w:r w:rsidDel="00000000" w:rsidR="00000000" w:rsidRPr="00000000">
        <w:rPr>
          <w:rtl w:val="0"/>
        </w:rPr>
        <w:t xml:space="preserve"> Nanda et al.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For each feature in the sparse autoencoder I looked at the avg loss when it was activated.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frequency cluster is primarily activated on the tokens where the prediction loss of the model is very high.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seems to be a sharp bump on avg loss when activated around the threshold of low frequency cluster(1e-4)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color w:val="0f0f0f"/>
          <w:rtl w:val="0"/>
        </w:rPr>
        <w:t xml:space="preserve">(Note: To mitigate noise, I grouped features into frequency-based buckets for the plots.)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The entire scatter plot looks as below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68914" cy="27384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914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We see that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frequency cluster features have very high loss, almost double the model’s loss.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frequency cluster features have close to model loss.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color w:val="0f0f0f"/>
          <w:rtl w:val="0"/>
        </w:rPr>
        <w:t xml:space="preserve">Interestingly, while the majority of low frequency cluster features correspond to high loss, there are outliers with both low frequency and low average loss.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" w:cs="Roboto" w:eastAsia="Roboto" w:hAnsi="Roboto"/>
          <w:sz w:val="19"/>
          <w:szCs w:val="19"/>
        </w:rPr>
      </w:pPr>
      <w:r w:rsidDel="00000000" w:rsidR="00000000" w:rsidRPr="00000000">
        <w:rPr>
          <w:rtl w:val="0"/>
        </w:rPr>
        <w:t xml:space="preserve">Given Bricken et al's heuristic finding that “</w:t>
      </w:r>
      <w:r w:rsidDel="00000000" w:rsidR="00000000" w:rsidRPr="00000000">
        <w:rPr>
          <w:rFonts w:ascii="Roboto" w:cs="Roboto" w:eastAsia="Roboto" w:hAnsi="Roboto"/>
          <w:sz w:val="19"/>
          <w:szCs w:val="19"/>
          <w:rtl w:val="0"/>
        </w:rPr>
        <w:t xml:space="preserve">Anecdotally, almost all of the features in the high density cluster are interpretable, but almost none of the features in the ultralow density cluster are.”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It’s interesting to see if there’s any relation between loss and a feature being interpretable.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The principled way to do this would be to use an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autointerp</w:t>
        </w:r>
      </w:hyperlink>
      <w:r w:rsidDel="00000000" w:rsidR="00000000" w:rsidRPr="00000000">
        <w:rPr>
          <w:rtl w:val="0"/>
        </w:rPr>
        <w:t xml:space="preserve"> (Bills et al)score for all features and check it with loss. But it’s costly and will check with Bricken et al if they can run the analysis.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Another suggestive evidence could use the above loss information to help find interpretable features in the low frequency cluster which are considered uninterpretable.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We look at the features marked red in the scatter plot. We will look at the following features including a feature which is almost at the left end of the scatter plot.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081213" cy="153399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53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I find these features as interpretable as the ones in high frequency cluster.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Now let's take a look at one of these in detail and others are in the appendix.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I used the visualisations used by Nanda et al in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tutorial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Namely - Looking at activations, Looking at a sentence we generate, logits boosted.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Feature no - 2124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Frequency - 2e-05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Interpretation - lived and its synonyms.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Activations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Logits boosted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70294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Discussion and Questions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Are all the features in the low frequency cluster the same?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It is unlikely, as the features I have interpreted do not appear to be identical.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What’s happening in the average loss curve?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My intuitive guess would be that training the model (the original transformer) well to achieve a lower loss would get them to have low loss and move to high frequency cluster.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color w:val="0f0f0f"/>
          <w:rtl w:val="0"/>
        </w:rPr>
        <w:t xml:space="preserve">Does average loss correlate with a feature's interpretability in a sparse autoencoder?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Currently, there is insufficient evidence to confirm this correlation, as a comprehensive analysis using autointerp scores for all features has not been done. 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0f0f0f"/>
          <w:rtl w:val="0"/>
        </w:rPr>
        <w:t xml:space="preserve">But some evidence is that we were able to randomly select some features in a low frequency cluster(which was previously thought to be uninterpretable) using this assumption and they were interpretable.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Arial" w:cs="Arial" w:eastAsia="Arial" w:hAnsi="Arial"/>
          <w:color w:val="0f0f0f"/>
          <w:sz w:val="22"/>
          <w:szCs w:val="22"/>
        </w:rPr>
      </w:pPr>
      <w:r w:rsidDel="00000000" w:rsidR="00000000" w:rsidRPr="00000000">
        <w:rPr>
          <w:color w:val="0f0f0f"/>
          <w:rtl w:val="0"/>
        </w:rPr>
        <w:t xml:space="preserve">Would be great if it were true though! 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color w:val="0f0f0f"/>
          <w:u w:val="none"/>
        </w:rPr>
      </w:pPr>
      <w:r w:rsidDel="00000000" w:rsidR="00000000" w:rsidRPr="00000000">
        <w:rPr>
          <w:color w:val="0f0f0f"/>
          <w:rtl w:val="0"/>
        </w:rPr>
        <w:t xml:space="preserve">Are the high avg loss features in the high frequency cluster(there are quite some with loss &gt;10) less interpretable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f0f0f"/>
          <w:u w:val="none"/>
        </w:rPr>
      </w:pPr>
      <w:r w:rsidDel="00000000" w:rsidR="00000000" w:rsidRPr="00000000">
        <w:rPr>
          <w:color w:val="0f0f0f"/>
          <w:rtl w:val="0"/>
        </w:rPr>
        <w:t xml:space="preserve">Working on this next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Replication - I primarily relied on the opensource models and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tl w:val="0"/>
        </w:rPr>
        <w:t xml:space="preserve"> tutorial made accessible by Neel Nanda. My results can be replicated through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Sparseautoencoder 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Other 4 interpretations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Feature no 3560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Interpretation - token ‘kil’ and very weakly on hect during hectare</w:t>
      </w: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Feature - 1501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Interpretation - Followed and words related to that.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Feature -9686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Interpretation - tokens ‘Er’ and ‘Ger’ and others like ‘Der’ ‘Unter’ . 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 : this was not as interpretable and has likely a low interp score but not zero.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Feature - 11950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Interpretation - Conduct and words with conduct in context.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colab.research.google.com/drive/19WG5bpa0vatr71cFf6qFSJcOZT8f34xi?usp=sharing" TargetMode="External"/><Relationship Id="rId21" Type="http://schemas.openxmlformats.org/officeDocument/2006/relationships/hyperlink" Target="https://colab.research.google.com/drive/1u8larhpxy8w4mMsJiSBddNOzFGj7_RTn?usp=sharing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lignmentforum.org/posts/fKuugaxt2XLTkASkk/open-source-replication-and-commentary-on-anthropic-s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transformer-circuits.pub/2023/monosemantic-features/index.html" TargetMode="External"/><Relationship Id="rId7" Type="http://schemas.openxmlformats.org/officeDocument/2006/relationships/hyperlink" Target="https://www.alignmentforum.org/posts/fKuugaxt2XLTkASkk/open-source-replication-and-commentary-on-anthropic-s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hyperlink" Target="https://colab.research.google.com/drive/1u8larhpxy8w4mMsJiSBddNOzFGj7_RTn?usp=sharing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hyperlink" Target="https://openai.com/research/language-models-can-explain-neurons-in-language-models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colab.research.google.com/drive/1u8larhpxy8w4mMsJiSBddNOzFGj7_RTn?usp=sharing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