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1900" w:after="400" w:line="264" w:lineRule="auto"/>
        <w:jc w:val="center"/>
      </w:pPr>
      <w:r>
        <w:rPr>
          <w:rFonts w:ascii="Aptos" w:hAnsi="Aptos" w:eastAsia="Aptos"/>
          <w:b/>
          <w:i w:val="0"/>
          <w:color w:val="A67C37"/>
          <w:sz w:val="20"/>
        </w:rPr>
        <w:t>КОРПОРАТИВНАЯ БИБЛИЯ</w:t>
      </w:r>
    </w:p>
    <w:p>
      <w:pPr>
        <w:keepNext/>
        <w:spacing w:before="0" w:after="160" w:line="264" w:lineRule="auto"/>
        <w:jc w:val="center"/>
      </w:pPr>
      <w:r>
        <w:rPr>
          <w:rFonts w:ascii="Aptos" w:hAnsi="Aptos" w:eastAsia="Aptos"/>
          <w:b/>
          <w:i w:val="0"/>
          <w:color w:val="0B2545"/>
          <w:sz w:val="62"/>
        </w:rPr>
        <w:t>IGNATEV ESTATE</w:t>
      </w:r>
    </w:p>
    <w:p>
      <w:pPr>
        <w:spacing w:before="0" w:after="560" w:line="283" w:lineRule="auto"/>
        <w:jc w:val="center"/>
      </w:pPr>
      <w:r>
        <w:rPr>
          <w:rFonts w:ascii="Aptos" w:hAnsi="Aptos" w:eastAsia="Aptos"/>
          <w:b w:val="0"/>
          <w:i w:val="0"/>
          <w:color w:val="1F4D78"/>
          <w:sz w:val="32"/>
        </w:rPr>
        <w:t>Представитель собственника и оператор</w:t>
        <w:br/>
        <w:t>доходной недвижимости на Пхукете</w:t>
      </w:r>
    </w:p>
    <w:p>
      <w:pPr>
        <w:spacing w:before="0" w:after="480" w:line="264" w:lineRule="auto"/>
        <w:jc w:val="left"/>
        <w:pBdr>
          <w:bottom w:val="single" w:sz="14" w:space="1" w:color="A67C37"/>
        </w:pBdr>
      </w:pPr>
    </w:p>
    <w:p>
      <w:pPr>
        <w:spacing w:before="0" w:after="1520" w:line="288" w:lineRule="auto"/>
        <w:jc w:val="center"/>
      </w:pPr>
      <w:r>
        <w:rPr>
          <w:rFonts w:ascii="Aptos" w:hAnsi="Aptos" w:eastAsia="Aptos"/>
          <w:b/>
          <w:i w:val="0"/>
          <w:color w:val="1F2933"/>
          <w:sz w:val="24"/>
        </w:rPr>
        <w:t>Компания управляет экономикой актива на всём сроке владения —</w:t>
        <w:br/>
        <w:t>от отбора и приобретения до эксплуатации и выхода.</w:t>
      </w:r>
    </w:p>
    <w:p>
      <w:pPr>
        <w:spacing w:before="0" w:after="100" w:line="264" w:lineRule="auto"/>
        <w:jc w:val="center"/>
      </w:pPr>
      <w:r>
        <w:rPr>
          <w:rFonts w:ascii="Aptos" w:hAnsi="Aptos" w:eastAsia="Aptos"/>
          <w:b/>
          <w:i w:val="0"/>
          <w:color w:val="5E6B75"/>
          <w:sz w:val="19"/>
        </w:rPr>
        <w:t>СТРАТЕГИЯ · БИЗНЕС-МОДЕЛЬ · OPERATING SYSTEM  ·  ВЕРСИЯ 9</w:t>
      </w:r>
    </w:p>
    <w:p>
      <w:pPr>
        <w:spacing w:before="0" w:after="0" w:line="264" w:lineRule="auto"/>
        <w:jc w:val="center"/>
      </w:pPr>
      <w:r>
        <w:rPr>
          <w:rFonts w:ascii="Aptos" w:hAnsi="Aptos" w:eastAsia="Aptos"/>
          <w:b w:val="0"/>
          <w:i w:val="0"/>
          <w:color w:val="5E6B75"/>
          <w:sz w:val="20"/>
        </w:rPr>
        <w:t>Август 2026  ·  Пхукет, Таиланд</w:t>
      </w:r>
    </w:p>
    <w:p>
      <w:r>
        <w:br w:type="page"/>
      </w:r>
    </w:p>
    <w:p>
      <w:pPr>
        <w:pStyle w:val="Heading1"/>
        <w:keepNext/>
      </w:pPr>
      <w:r>
        <w:t>Статус документа</w:t>
      </w:r>
    </w:p>
    <w:p>
      <w:pPr>
        <w:spacing w:before="0" w:after="120" w:line="264" w:lineRule="auto"/>
        <w:jc w:val="left"/>
      </w:pPr>
      <w:r>
        <w:rPr>
          <w:rFonts w:ascii="Aptos" w:hAnsi="Aptos" w:eastAsia="Aptos"/>
          <w:b w:val="0"/>
          <w:i w:val="0"/>
          <w:color w:val="1F2933"/>
          <w:sz w:val="22"/>
        </w:rPr>
        <w:t>Настоящий документ является канонической корпоративной библией Ignatev Estate Co., Ltd. Он фиксирует идентичность компании, ценность для каждой аудитории, продуктовую и финансовую модель, правила исполнения, управления, данных, риска и масштабирования. На его основе создаются договоры, policies, playbooks, SOP, системы, сайт и коммерческие материалы.</w:t>
      </w:r>
    </w:p>
    <w:tbl>
      <w:tblPr>
        <w:tblW w:type="dxa" w:w="9360"/>
        <w:jc w:val="left"/>
        <w:tblLook w:firstColumn="1" w:firstRow="1" w:lastColumn="0" w:lastRow="0" w:noHBand="0" w:noVBand="1" w:val="04A0"/>
        <w:tblInd w:w="120" w:type="dxa"/>
        <w:tblBorders>
          <w:top w:val="single" w:sz="4" w:space="0" w:color="E8EEF5"/>
          <w:left w:val="single" w:sz="4" w:space="0" w:color="E8EEF5"/>
          <w:bottom w:val="single" w:sz="4" w:space="0" w:color="E8EEF5"/>
          <w:right w:val="single" w:sz="4" w:space="0" w:color="E8EEF5"/>
          <w:insideH w:val="single" w:sz="4" w:space="0" w:color="E8EEF5"/>
          <w:insideV w:val="single" w:sz="4" w:space="0" w:color="E8EEF5"/>
        </w:tblBorders>
      </w:tblPr>
      <w:tblGrid>
        <w:gridCol w:w="9360"/>
      </w:tblGrid>
      <w:tr>
        <w:tc>
          <w:tcPr>
            <w:tcW w:type="dxa" w:w="9360"/>
            <w:shd w:fill="E8EEF5"/>
            <w:tcMar>
              <w:top w:w="150" w:type="dxa"/>
              <w:start w:w="180" w:type="dxa"/>
              <w:bottom w:w="150" w:type="dxa"/>
              <w:end w:w="180" w:type="dxa"/>
            </w:tcMar>
          </w:tcPr>
          <w:p>
            <w:pPr>
              <w:spacing w:after="0" w:line="269" w:lineRule="auto"/>
            </w:pPr>
            <w:r>
              <w:rPr>
                <w:rFonts w:ascii="Aptos" w:hAnsi="Aptos" w:eastAsia="Aptos"/>
                <w:b/>
                <w:color w:val="0B2545"/>
                <w:sz w:val="21"/>
              </w:rPr>
              <w:t xml:space="preserve">Ключевое решение. </w:t>
            </w:r>
            <w:r>
              <w:rPr>
                <w:rFonts w:ascii="Aptos" w:hAnsi="Aptos" w:eastAsia="Aptos"/>
                <w:color w:val="1F2933"/>
                <w:sz w:val="21"/>
              </w:rPr>
              <w:t>Ignatev Estate строится не вокруг разовой сделки, а вокруг долгосрочного мандата собственника и измеримого результата его актива.</w:t>
            </w:r>
          </w:p>
        </w:tc>
      </w:tr>
    </w:tbl>
    <w:p>
      <w:pPr>
        <w:spacing w:before="0" w:after="40" w:line="264" w:lineRule="auto"/>
        <w:jc w:val="left"/>
      </w:pPr>
    </w:p>
    <w:p>
      <w:pPr>
        <w:spacing w:before="0" w:after="120" w:line="264" w:lineRule="auto"/>
        <w:jc w:val="left"/>
      </w:pPr>
      <w:r>
        <w:rPr>
          <w:rFonts w:ascii="Aptos" w:hAnsi="Aptos" w:eastAsia="Aptos"/>
          <w:b w:val="0"/>
          <w:i/>
          <w:color w:val="5E6B75"/>
          <w:sz w:val="22"/>
        </w:rPr>
        <w:t>Документ обязателен как управленческая рамка для основателя, руководителей, команды и партнёров в пределах их роли. При противоречии преимущество имеет применимое право и подписанный договор; противоречие регистрируется и выносится на изменение библии, договора или SOP. Конкретные ставки, бюджеты, SLA и пороги фиксируются в договорах и ежегодных приложениях, чтобы переменные параметры не выдавались за вечную доктрину.</w:t>
      </w:r>
    </w:p>
    <w:p>
      <w:pPr>
        <w:spacing w:before="0" w:after="240" w:line="264" w:lineRule="auto"/>
        <w:jc w:val="left"/>
      </w:pPr>
      <w:r>
        <w:rPr>
          <w:rFonts w:ascii="Aptos" w:hAnsi="Aptos" w:eastAsia="Aptos"/>
          <w:b w:val="0"/>
          <w:i/>
          <w:color w:val="5E6B75"/>
          <w:sz w:val="22"/>
        </w:rPr>
        <w:t>Владелец документа — CEO. Смысловые изменения утверждает основатель; функциональные владельцы поддерживают связанные policies и SOP. Плановый пересмотр — ежеквартально для приложений и ежегодно для доктрины; критические правовые, финансовые или репутационные изменения вносятся немедленно. Каждая редакция имеет номер, дату и decision log.</w:t>
      </w:r>
    </w:p>
    <w:p>
      <w:pPr>
        <w:pStyle w:val="Heading2"/>
        <w:keepNext/>
      </w:pPr>
      <w:r>
        <w:t>Карта документа</w:t>
      </w:r>
    </w:p>
    <w:tbl>
      <w:tblPr>
        <w:tblW w:type="dxa" w:w="9360"/>
        <w:jc w:val="left"/>
        <w:tblLayout w:type="fixed"/>
        <w:tblLook w:firstColumn="1" w:firstRow="1" w:lastColumn="0" w:lastRow="0" w:noHBand="0" w:noVBand="1" w:val="04A0"/>
        <w:tblInd w:w="120" w:type="dxa"/>
        <w:tblBorders>
          <w:top w:val="single" w:sz="6" w:space="0" w:color="D6DCE2"/>
          <w:left w:val="single" w:sz="6" w:space="0" w:color="D6DCE2"/>
          <w:bottom w:val="single" w:sz="6" w:space="0" w:color="D6DCE2"/>
          <w:right w:val="single" w:sz="6" w:space="0" w:color="D6DCE2"/>
          <w:insideH w:val="single" w:sz="6" w:space="0" w:color="D6DCE2"/>
          <w:insideV w:val="single" w:sz="6" w:space="0" w:color="D6DCE2"/>
        </w:tblBorders>
      </w:tblPr>
      <w:tblGrid>
        <w:gridCol w:w="1800"/>
        <w:gridCol w:w="1800"/>
        <w:gridCol w:w="5760"/>
      </w:tblGrid>
      <w:tr>
        <w:trPr>
          <w:tblHeader w:val="true"/>
          <w:cantSplit/>
        </w:trPr>
        <w:tc>
          <w:tcPr>
            <w:tcW w:type="dxa" w:w="1800"/>
            <w:shd w:fill="0B2545"/>
            <w:tcMar>
              <w:top w:w="100" w:type="dxa"/>
              <w:start w:w="130" w:type="dxa"/>
              <w:bottom w:w="100" w:type="dxa"/>
              <w:end w:w="130" w:type="dxa"/>
            </w:tcMar>
            <w:vAlign w:val="center"/>
          </w:tcPr>
          <w:p>
            <w:pPr>
              <w:spacing w:after="0" w:line="240" w:lineRule="auto"/>
            </w:pPr>
            <w:r>
              <w:rPr>
                <w:rFonts w:ascii="Aptos" w:hAnsi="Aptos" w:eastAsia="Aptos"/>
                <w:b/>
                <w:color w:val="FFFFFF"/>
                <w:sz w:val="19"/>
              </w:rPr>
              <w:t>БЛОК</w:t>
            </w:r>
          </w:p>
        </w:tc>
        <w:tc>
          <w:tcPr>
            <w:tcW w:type="dxa" w:w="1800"/>
            <w:shd w:fill="0B2545"/>
            <w:tcMar>
              <w:top w:w="100" w:type="dxa"/>
              <w:start w:w="130" w:type="dxa"/>
              <w:bottom w:w="100" w:type="dxa"/>
              <w:end w:w="130" w:type="dxa"/>
            </w:tcMar>
            <w:vAlign w:val="center"/>
          </w:tcPr>
          <w:p>
            <w:pPr>
              <w:spacing w:after="0" w:line="240" w:lineRule="auto"/>
            </w:pPr>
            <w:r>
              <w:rPr>
                <w:rFonts w:ascii="Aptos" w:hAnsi="Aptos" w:eastAsia="Aptos"/>
                <w:b/>
                <w:color w:val="FFFFFF"/>
                <w:sz w:val="19"/>
              </w:rPr>
              <w:t>РАЗДЕЛЫ</w:t>
            </w:r>
          </w:p>
        </w:tc>
        <w:tc>
          <w:tcPr>
            <w:tcW w:type="dxa" w:w="5760"/>
            <w:shd w:fill="0B2545"/>
            <w:tcMar>
              <w:top w:w="100" w:type="dxa"/>
              <w:start w:w="130" w:type="dxa"/>
              <w:bottom w:w="100" w:type="dxa"/>
              <w:end w:w="130" w:type="dxa"/>
            </w:tcMar>
            <w:vAlign w:val="center"/>
          </w:tcPr>
          <w:p>
            <w:pPr>
              <w:spacing w:after="0" w:line="240" w:lineRule="auto"/>
            </w:pPr>
            <w:r>
              <w:rPr>
                <w:rFonts w:ascii="Aptos" w:hAnsi="Aptos" w:eastAsia="Aptos"/>
                <w:b/>
                <w:color w:val="FFFFFF"/>
                <w:sz w:val="19"/>
              </w:rPr>
              <w:t>ГЛАВНЫЙ ВОПРОС</w:t>
            </w:r>
          </w:p>
        </w:tc>
      </w:tr>
      <w:tr>
        <w:trPr>
          <w:cantSplit/>
        </w:trPr>
        <w:tc>
          <w:tcPr>
            <w:tcW w:type="dxa" w:w="1800"/>
            <w:tcMar>
              <w:top w:w="100" w:type="dxa"/>
              <w:start w:w="130" w:type="dxa"/>
              <w:bottom w:w="100" w:type="dxa"/>
              <w:end w:w="130" w:type="dxa"/>
            </w:tcMar>
            <w:vAlign w:val="center"/>
          </w:tcPr>
          <w:p>
            <w:pPr>
              <w:spacing w:after="0" w:line="252" w:lineRule="auto"/>
            </w:pPr>
            <w:r>
              <w:rPr>
                <w:rFonts w:ascii="Aptos" w:hAnsi="Aptos" w:eastAsia="Aptos"/>
                <w:b/>
                <w:color w:val="0B2545"/>
                <w:sz w:val="19"/>
              </w:rPr>
              <w:t>Доктрина</w:t>
            </w:r>
          </w:p>
        </w:tc>
        <w:tc>
          <w:tcPr>
            <w:tcW w:type="dxa" w:w="1800"/>
            <w:tcMar>
              <w:top w:w="100" w:type="dxa"/>
              <w:start w:w="130" w:type="dxa"/>
              <w:bottom w:w="100" w:type="dxa"/>
              <w:end w:w="130" w:type="dxa"/>
            </w:tcMar>
            <w:vAlign w:val="center"/>
          </w:tcPr>
          <w:p>
            <w:pPr>
              <w:spacing w:after="0" w:line="252" w:lineRule="auto"/>
            </w:pPr>
            <w:r>
              <w:rPr>
                <w:rFonts w:ascii="Aptos" w:hAnsi="Aptos" w:eastAsia="Aptos"/>
                <w:b w:val="0"/>
                <w:color w:val="1F2933"/>
                <w:sz w:val="19"/>
              </w:rPr>
              <w:t>1–5, 9</w:t>
            </w:r>
          </w:p>
        </w:tc>
        <w:tc>
          <w:tcPr>
            <w:tcW w:type="dxa" w:w="5760"/>
            <w:tcMar>
              <w:top w:w="100" w:type="dxa"/>
              <w:start w:w="130" w:type="dxa"/>
              <w:bottom w:w="100" w:type="dxa"/>
              <w:end w:w="130" w:type="dxa"/>
            </w:tcMar>
            <w:vAlign w:val="center"/>
          </w:tcPr>
          <w:p>
            <w:pPr>
              <w:spacing w:after="0" w:line="252" w:lineRule="auto"/>
            </w:pPr>
            <w:r>
              <w:rPr>
                <w:rFonts w:ascii="Aptos" w:hAnsi="Aptos" w:eastAsia="Aptos"/>
                <w:b w:val="0"/>
                <w:color w:val="1F2933"/>
                <w:sz w:val="19"/>
              </w:rPr>
              <w:t>Кто мы, кого представляем и как устроены бренды?</w:t>
            </w:r>
          </w:p>
        </w:tc>
      </w:tr>
      <w:tr>
        <w:trPr>
          <w:cantSplit/>
        </w:trPr>
        <w:tc>
          <w:tcPr>
            <w:tcW w:type="dxa" w:w="1800"/>
            <w:tcMar>
              <w:top w:w="100" w:type="dxa"/>
              <w:start w:w="130" w:type="dxa"/>
              <w:bottom w:w="100" w:type="dxa"/>
              <w:end w:w="130" w:type="dxa"/>
            </w:tcMar>
            <w:vAlign w:val="center"/>
            <w:shd w:fill="FAFBFC"/>
          </w:tcPr>
          <w:p>
            <w:pPr>
              <w:spacing w:after="0" w:line="252" w:lineRule="auto"/>
            </w:pPr>
            <w:r>
              <w:rPr>
                <w:rFonts w:ascii="Aptos" w:hAnsi="Aptos" w:eastAsia="Aptos"/>
                <w:b/>
                <w:color w:val="0B2545"/>
                <w:sz w:val="19"/>
              </w:rPr>
              <w:t>Клиент и рынок</w:t>
            </w:r>
          </w:p>
        </w:tc>
        <w:tc>
          <w:tcPr>
            <w:tcW w:type="dxa" w:w="180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6–7, 14–16, 19</w:t>
            </w:r>
          </w:p>
        </w:tc>
        <w:tc>
          <w:tcPr>
            <w:tcW w:type="dxa" w:w="576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Для кого создаём ценность и как строим отношения и спрос?</w:t>
            </w:r>
          </w:p>
        </w:tc>
      </w:tr>
      <w:tr>
        <w:trPr>
          <w:cantSplit/>
        </w:trPr>
        <w:tc>
          <w:tcPr>
            <w:tcW w:type="dxa" w:w="1800"/>
            <w:tcMar>
              <w:top w:w="100" w:type="dxa"/>
              <w:start w:w="130" w:type="dxa"/>
              <w:bottom w:w="100" w:type="dxa"/>
              <w:end w:w="130" w:type="dxa"/>
            </w:tcMar>
            <w:vAlign w:val="center"/>
          </w:tcPr>
          <w:p>
            <w:pPr>
              <w:spacing w:after="0" w:line="252" w:lineRule="auto"/>
            </w:pPr>
            <w:r>
              <w:rPr>
                <w:rFonts w:ascii="Aptos" w:hAnsi="Aptos" w:eastAsia="Aptos"/>
                <w:b/>
                <w:color w:val="0B2545"/>
                <w:sz w:val="19"/>
              </w:rPr>
              <w:t>Продукт</w:t>
            </w:r>
          </w:p>
        </w:tc>
        <w:tc>
          <w:tcPr>
            <w:tcW w:type="dxa" w:w="1800"/>
            <w:tcMar>
              <w:top w:w="100" w:type="dxa"/>
              <w:start w:w="130" w:type="dxa"/>
              <w:bottom w:w="100" w:type="dxa"/>
              <w:end w:w="130" w:type="dxa"/>
            </w:tcMar>
            <w:vAlign w:val="center"/>
          </w:tcPr>
          <w:p>
            <w:pPr>
              <w:spacing w:after="0" w:line="252" w:lineRule="auto"/>
            </w:pPr>
            <w:r>
              <w:rPr>
                <w:rFonts w:ascii="Aptos" w:hAnsi="Aptos" w:eastAsia="Aptos"/>
                <w:b w:val="0"/>
                <w:color w:val="1F2933"/>
                <w:sz w:val="19"/>
              </w:rPr>
              <w:t>8, 11, 15, 17–18</w:t>
            </w:r>
          </w:p>
        </w:tc>
        <w:tc>
          <w:tcPr>
            <w:tcW w:type="dxa" w:w="5760"/>
            <w:tcMar>
              <w:top w:w="100" w:type="dxa"/>
              <w:start w:w="130" w:type="dxa"/>
              <w:bottom w:w="100" w:type="dxa"/>
              <w:end w:w="130" w:type="dxa"/>
            </w:tcMar>
            <w:vAlign w:val="center"/>
          </w:tcPr>
          <w:p>
            <w:pPr>
              <w:spacing w:after="0" w:line="252" w:lineRule="auto"/>
            </w:pPr>
            <w:r>
              <w:rPr>
                <w:rFonts w:ascii="Aptos" w:hAnsi="Aptos" w:eastAsia="Aptos"/>
                <w:b w:val="0"/>
                <w:color w:val="1F2933"/>
                <w:sz w:val="19"/>
              </w:rPr>
              <w:t>Что продаём, какой мандат принимаем и что допускаем?</w:t>
            </w:r>
          </w:p>
        </w:tc>
      </w:tr>
      <w:tr>
        <w:trPr>
          <w:cantSplit/>
        </w:trPr>
        <w:tc>
          <w:tcPr>
            <w:tcW w:type="dxa" w:w="1800"/>
            <w:tcMar>
              <w:top w:w="100" w:type="dxa"/>
              <w:start w:w="130" w:type="dxa"/>
              <w:bottom w:w="100" w:type="dxa"/>
              <w:end w:w="130" w:type="dxa"/>
            </w:tcMar>
            <w:vAlign w:val="center"/>
            <w:shd w:fill="FAFBFC"/>
          </w:tcPr>
          <w:p>
            <w:pPr>
              <w:spacing w:after="0" w:line="252" w:lineRule="auto"/>
            </w:pPr>
            <w:r>
              <w:rPr>
                <w:rFonts w:ascii="Aptos" w:hAnsi="Aptos" w:eastAsia="Aptos"/>
                <w:b/>
                <w:color w:val="0B2545"/>
                <w:sz w:val="19"/>
              </w:rPr>
              <w:t>Экономика</w:t>
            </w:r>
          </w:p>
        </w:tc>
        <w:tc>
          <w:tcPr>
            <w:tcW w:type="dxa" w:w="180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10, 20–21</w:t>
            </w:r>
          </w:p>
        </w:tc>
        <w:tc>
          <w:tcPr>
            <w:tcW w:type="dxa" w:w="576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На чём зарабатываем и как считаем и контролируем деньги?</w:t>
            </w:r>
          </w:p>
        </w:tc>
      </w:tr>
      <w:tr>
        <w:trPr>
          <w:cantSplit/>
        </w:trPr>
        <w:tc>
          <w:tcPr>
            <w:tcW w:type="dxa" w:w="1800"/>
            <w:tcMar>
              <w:top w:w="100" w:type="dxa"/>
              <w:start w:w="130" w:type="dxa"/>
              <w:bottom w:w="100" w:type="dxa"/>
              <w:end w:w="130" w:type="dxa"/>
            </w:tcMar>
            <w:vAlign w:val="center"/>
          </w:tcPr>
          <w:p>
            <w:pPr>
              <w:spacing w:after="0" w:line="252" w:lineRule="auto"/>
            </w:pPr>
            <w:r>
              <w:rPr>
                <w:rFonts w:ascii="Aptos" w:hAnsi="Aptos" w:eastAsia="Aptos"/>
                <w:b/>
                <w:color w:val="0B2545"/>
                <w:sz w:val="19"/>
              </w:rPr>
              <w:t>Исполнение</w:t>
            </w:r>
          </w:p>
        </w:tc>
        <w:tc>
          <w:tcPr>
            <w:tcW w:type="dxa" w:w="1800"/>
            <w:tcMar>
              <w:top w:w="100" w:type="dxa"/>
              <w:start w:w="130" w:type="dxa"/>
              <w:bottom w:w="100" w:type="dxa"/>
              <w:end w:w="130" w:type="dxa"/>
            </w:tcMar>
            <w:vAlign w:val="center"/>
          </w:tcPr>
          <w:p>
            <w:pPr>
              <w:spacing w:after="0" w:line="252" w:lineRule="auto"/>
            </w:pPr>
            <w:r>
              <w:rPr>
                <w:rFonts w:ascii="Aptos" w:hAnsi="Aptos" w:eastAsia="Aptos"/>
                <w:b w:val="0"/>
                <w:color w:val="1F2933"/>
                <w:sz w:val="19"/>
              </w:rPr>
              <w:t>12–13, 22–23</w:t>
            </w:r>
          </w:p>
        </w:tc>
        <w:tc>
          <w:tcPr>
            <w:tcW w:type="dxa" w:w="5760"/>
            <w:tcMar>
              <w:top w:w="100" w:type="dxa"/>
              <w:start w:w="130" w:type="dxa"/>
              <w:bottom w:w="100" w:type="dxa"/>
              <w:end w:w="130" w:type="dxa"/>
            </w:tcMar>
            <w:vAlign w:val="center"/>
          </w:tcPr>
          <w:p>
            <w:pPr>
              <w:spacing w:after="0" w:line="252" w:lineRule="auto"/>
            </w:pPr>
            <w:r>
              <w:rPr>
                <w:rFonts w:ascii="Aptos" w:hAnsi="Aptos" w:eastAsia="Aptos"/>
                <w:b w:val="0"/>
                <w:color w:val="1F2933"/>
                <w:sz w:val="19"/>
              </w:rPr>
              <w:t>Как запускаем, обслуживаем, привлекаем партнёров и решаем проблемы?</w:t>
            </w:r>
          </w:p>
        </w:tc>
      </w:tr>
      <w:tr>
        <w:trPr>
          <w:cantSplit/>
        </w:trPr>
        <w:tc>
          <w:tcPr>
            <w:tcW w:type="dxa" w:w="1800"/>
            <w:tcMar>
              <w:top w:w="100" w:type="dxa"/>
              <w:start w:w="130" w:type="dxa"/>
              <w:bottom w:w="100" w:type="dxa"/>
              <w:end w:w="130" w:type="dxa"/>
            </w:tcMar>
            <w:vAlign w:val="center"/>
            <w:shd w:fill="FAFBFC"/>
          </w:tcPr>
          <w:p>
            <w:pPr>
              <w:spacing w:after="0" w:line="252" w:lineRule="auto"/>
            </w:pPr>
            <w:r>
              <w:rPr>
                <w:rFonts w:ascii="Aptos" w:hAnsi="Aptos" w:eastAsia="Aptos"/>
                <w:b/>
                <w:color w:val="0B2545"/>
                <w:sz w:val="19"/>
              </w:rPr>
              <w:t>Система управления</w:t>
            </w:r>
          </w:p>
        </w:tc>
        <w:tc>
          <w:tcPr>
            <w:tcW w:type="dxa" w:w="180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24–27</w:t>
            </w:r>
          </w:p>
        </w:tc>
        <w:tc>
          <w:tcPr>
            <w:tcW w:type="dxa" w:w="576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Где источник истины, кто решает и как контролируются риски?</w:t>
            </w:r>
          </w:p>
        </w:tc>
      </w:tr>
      <w:tr>
        <w:trPr>
          <w:cantSplit/>
        </w:trPr>
        <w:tc>
          <w:tcPr>
            <w:tcW w:type="dxa" w:w="1800"/>
            <w:tcMar>
              <w:top w:w="100" w:type="dxa"/>
              <w:start w:w="130" w:type="dxa"/>
              <w:bottom w:w="100" w:type="dxa"/>
              <w:end w:w="130" w:type="dxa"/>
            </w:tcMar>
            <w:vAlign w:val="center"/>
          </w:tcPr>
          <w:p>
            <w:pPr>
              <w:spacing w:after="0" w:line="252" w:lineRule="auto"/>
            </w:pPr>
            <w:r>
              <w:rPr>
                <w:rFonts w:ascii="Aptos" w:hAnsi="Aptos" w:eastAsia="Aptos"/>
                <w:b/>
                <w:color w:val="0B2545"/>
                <w:sz w:val="19"/>
              </w:rPr>
              <w:t>Рост</w:t>
            </w:r>
          </w:p>
        </w:tc>
        <w:tc>
          <w:tcPr>
            <w:tcW w:type="dxa" w:w="1800"/>
            <w:tcMar>
              <w:top w:w="100" w:type="dxa"/>
              <w:start w:w="130" w:type="dxa"/>
              <w:bottom w:w="100" w:type="dxa"/>
              <w:end w:w="130" w:type="dxa"/>
            </w:tcMar>
            <w:vAlign w:val="center"/>
          </w:tcPr>
          <w:p>
            <w:pPr>
              <w:spacing w:after="0" w:line="252" w:lineRule="auto"/>
            </w:pPr>
            <w:r>
              <w:rPr>
                <w:rFonts w:ascii="Aptos" w:hAnsi="Aptos" w:eastAsia="Aptos"/>
                <w:b w:val="0"/>
                <w:color w:val="1F2933"/>
                <w:sz w:val="19"/>
              </w:rPr>
              <w:t>28–30</w:t>
            </w:r>
          </w:p>
        </w:tc>
        <w:tc>
          <w:tcPr>
            <w:tcW w:type="dxa" w:w="5760"/>
            <w:tcMar>
              <w:top w:w="100" w:type="dxa"/>
              <w:start w:w="130" w:type="dxa"/>
              <w:bottom w:w="100" w:type="dxa"/>
              <w:end w:w="130" w:type="dxa"/>
            </w:tcMar>
            <w:vAlign w:val="center"/>
          </w:tcPr>
          <w:p>
            <w:pPr>
              <w:spacing w:after="0" w:line="252" w:lineRule="auto"/>
            </w:pPr>
            <w:r>
              <w:rPr>
                <w:rFonts w:ascii="Aptos" w:hAnsi="Aptos" w:eastAsia="Aptos"/>
                <w:b w:val="0"/>
                <w:color w:val="1F2933"/>
                <w:sz w:val="19"/>
              </w:rPr>
              <w:t>Когда масштабировать, что тестировать и как измерять успех?</w:t>
            </w:r>
          </w:p>
        </w:tc>
      </w:tr>
      <w:tr>
        <w:trPr>
          <w:cantSplit/>
        </w:trPr>
        <w:tc>
          <w:tcPr>
            <w:tcW w:type="dxa" w:w="1800"/>
            <w:tcMar>
              <w:top w:w="100" w:type="dxa"/>
              <w:start w:w="130" w:type="dxa"/>
              <w:bottom w:w="100" w:type="dxa"/>
              <w:end w:w="130" w:type="dxa"/>
            </w:tcMar>
            <w:vAlign w:val="center"/>
            <w:shd w:fill="FAFBFC"/>
          </w:tcPr>
          <w:p>
            <w:pPr>
              <w:spacing w:after="0" w:line="252" w:lineRule="auto"/>
            </w:pPr>
            <w:r>
              <w:rPr>
                <w:rFonts w:ascii="Aptos" w:hAnsi="Aptos" w:eastAsia="Aptos"/>
                <w:b/>
                <w:color w:val="0B2545"/>
                <w:sz w:val="19"/>
              </w:rPr>
              <w:t>Корпоративный код</w:t>
            </w:r>
          </w:p>
        </w:tc>
        <w:tc>
          <w:tcPr>
            <w:tcW w:type="dxa" w:w="180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31–32</w:t>
            </w:r>
          </w:p>
        </w:tc>
        <w:tc>
          <w:tcPr>
            <w:tcW w:type="dxa" w:w="576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Какие правила неизменны и как поддерживается система документов?</w:t>
            </w:r>
          </w:p>
        </w:tc>
      </w:tr>
    </w:tbl>
    <w:p>
      <w:pPr>
        <w:spacing w:before="0" w:after="40" w:line="264" w:lineRule="auto"/>
        <w:jc w:val="left"/>
      </w:pPr>
    </w:p>
    <w:p>
      <w:pPr>
        <w:pStyle w:val="Heading1"/>
        <w:keepNext/>
      </w:pPr>
      <w:r>
        <w:t>Краткое определение</w:t>
      </w:r>
    </w:p>
    <w:p>
      <w:pPr>
        <w:spacing w:before="0" w:after="160" w:line="264" w:lineRule="auto"/>
        <w:jc w:val="left"/>
      </w:pPr>
      <w:r>
        <w:rPr>
          <w:rFonts w:ascii="Aptos" w:hAnsi="Aptos" w:eastAsia="Aptos"/>
          <w:b/>
          <w:i w:val="0"/>
          <w:color w:val="0B2545"/>
          <w:sz w:val="28"/>
        </w:rPr>
        <w:t>Ignatev Estate — представитель собственника и оператор доходной недвижимости на Пхукете.</w:t>
      </w:r>
    </w:p>
    <w:p>
      <w:pPr>
        <w:spacing w:before="0" w:after="120" w:line="264" w:lineRule="auto"/>
        <w:jc w:val="left"/>
      </w:pPr>
      <w:r>
        <w:rPr>
          <w:rFonts w:ascii="Aptos" w:hAnsi="Aptos" w:eastAsia="Aptos"/>
          <w:b w:val="0"/>
          <w:i w:val="0"/>
          <w:color w:val="1F2933"/>
          <w:sz w:val="22"/>
        </w:rPr>
        <w:t>Компания отбирает и проверяет активы, принимает коммерческий мандат, организует управление, повышает прозрачность доходности и поддерживает ликвидность объекта на всём сроке владения — от приобретения до продажи.</w:t>
      </w:r>
    </w:p>
    <w:p>
      <w:pPr>
        <w:spacing w:before="0" w:after="120" w:line="264" w:lineRule="auto"/>
        <w:jc w:val="left"/>
      </w:pPr>
      <w:r>
        <w:rPr>
          <w:rFonts w:ascii="Aptos" w:hAnsi="Aptos" w:eastAsia="Aptos"/>
          <w:b w:val="0"/>
          <w:i w:val="0"/>
          <w:color w:val="1F2933"/>
          <w:sz w:val="22"/>
        </w:rPr>
        <w:t>Ignatev Estate не является традиционным агентством, живущим от одной сделки до следующей. Брокерские операции, аренда, управление и advisory объединены в одну owner-centric модель, в которой интересы компании связаны с результатом актива.</w:t>
      </w:r>
    </w:p>
    <w:p>
      <w:pPr>
        <w:pStyle w:val="Heading2"/>
        <w:keepNext/>
      </w:pPr>
      <w:r>
        <w:t>Формула компании</w:t>
      </w:r>
    </w:p>
    <w:tbl>
      <w:tblPr>
        <w:tblW w:type="dxa" w:w="9360"/>
        <w:jc w:val="left"/>
        <w:tblLayout w:type="fixed"/>
        <w:tblLook w:firstColumn="1" w:firstRow="1" w:lastColumn="0" w:lastRow="0" w:noHBand="0" w:noVBand="1" w:val="04A0"/>
        <w:tblInd w:w="120" w:type="dxa"/>
        <w:tblBorders>
          <w:top w:val="single" w:sz="6" w:space="0" w:color="D6DCE2"/>
          <w:left w:val="single" w:sz="6" w:space="0" w:color="D6DCE2"/>
          <w:bottom w:val="single" w:sz="6" w:space="0" w:color="D6DCE2"/>
          <w:right w:val="single" w:sz="6" w:space="0" w:color="D6DCE2"/>
          <w:insideH w:val="single" w:sz="6" w:space="0" w:color="D6DCE2"/>
          <w:insideV w:val="single" w:sz="6" w:space="0" w:color="D6DCE2"/>
        </w:tblBorders>
      </w:tblPr>
      <w:tblGrid>
        <w:gridCol w:w="3120"/>
        <w:gridCol w:w="3120"/>
        <w:gridCol w:w="3120"/>
      </w:tblGrid>
      <w:tr>
        <w:trPr>
          <w:tblHeader w:val="true"/>
          <w:cantSplit/>
        </w:trPr>
        <w:tc>
          <w:tcPr>
            <w:tcW w:type="dxa" w:w="3120"/>
            <w:shd w:fill="0B2545"/>
            <w:tcMar>
              <w:top w:w="100" w:type="dxa"/>
              <w:start w:w="130" w:type="dxa"/>
              <w:bottom w:w="100" w:type="dxa"/>
              <w:end w:w="130" w:type="dxa"/>
            </w:tcMar>
            <w:vAlign w:val="center"/>
          </w:tcPr>
          <w:p>
            <w:pPr>
              <w:spacing w:after="0" w:line="240" w:lineRule="auto"/>
            </w:pPr>
            <w:r>
              <w:rPr>
                <w:rFonts w:ascii="Aptos" w:hAnsi="Aptos" w:eastAsia="Aptos"/>
                <w:b/>
                <w:color w:val="FFFFFF"/>
                <w:sz w:val="19"/>
              </w:rPr>
              <w:t>IGNATEV</w:t>
            </w:r>
          </w:p>
        </w:tc>
        <w:tc>
          <w:tcPr>
            <w:tcW w:type="dxa" w:w="3120"/>
            <w:shd w:fill="0B2545"/>
            <w:tcMar>
              <w:top w:w="100" w:type="dxa"/>
              <w:start w:w="130" w:type="dxa"/>
              <w:bottom w:w="100" w:type="dxa"/>
              <w:end w:w="130" w:type="dxa"/>
            </w:tcMar>
            <w:vAlign w:val="center"/>
          </w:tcPr>
          <w:p>
            <w:pPr>
              <w:spacing w:after="0" w:line="240" w:lineRule="auto"/>
            </w:pPr>
            <w:r>
              <w:rPr>
                <w:rFonts w:ascii="Aptos" w:hAnsi="Aptos" w:eastAsia="Aptos"/>
                <w:b/>
                <w:color w:val="FFFFFF"/>
                <w:sz w:val="19"/>
              </w:rPr>
              <w:t>CLEARVIEW</w:t>
            </w:r>
          </w:p>
        </w:tc>
        <w:tc>
          <w:tcPr>
            <w:tcW w:type="dxa" w:w="3120"/>
            <w:shd w:fill="0B2545"/>
            <w:tcMar>
              <w:top w:w="100" w:type="dxa"/>
              <w:start w:w="130" w:type="dxa"/>
              <w:bottom w:w="100" w:type="dxa"/>
              <w:end w:w="130" w:type="dxa"/>
            </w:tcMar>
            <w:vAlign w:val="center"/>
          </w:tcPr>
          <w:p>
            <w:pPr>
              <w:spacing w:after="0" w:line="240" w:lineRule="auto"/>
            </w:pPr>
            <w:r>
              <w:rPr>
                <w:rFonts w:ascii="Aptos" w:hAnsi="Aptos" w:eastAsia="Aptos"/>
                <w:b/>
                <w:color w:val="FFFFFF"/>
                <w:sz w:val="19"/>
              </w:rPr>
              <w:t>myUNO</w:t>
            </w:r>
          </w:p>
        </w:tc>
      </w:tr>
      <w:tr>
        <w:trPr>
          <w:cantSplit/>
        </w:trPr>
        <w:tc>
          <w:tcPr>
            <w:tcW w:type="dxa" w:w="3120"/>
            <w:tcMar>
              <w:top w:w="100" w:type="dxa"/>
              <w:start w:w="130" w:type="dxa"/>
              <w:bottom w:w="100" w:type="dxa"/>
              <w:end w:w="130" w:type="dxa"/>
            </w:tcMar>
            <w:vAlign w:val="center"/>
          </w:tcPr>
          <w:p>
            <w:pPr>
              <w:spacing w:after="0" w:line="252" w:lineRule="auto"/>
            </w:pPr>
            <w:r>
              <w:rPr>
                <w:rFonts w:ascii="Aptos" w:hAnsi="Aptos" w:eastAsia="Aptos"/>
                <w:b/>
                <w:color w:val="0B2545"/>
                <w:sz w:val="19"/>
              </w:rPr>
              <w:t>Мандат и суждение</w:t>
            </w:r>
          </w:p>
        </w:tc>
        <w:tc>
          <w:tcPr>
            <w:tcW w:type="dxa" w:w="3120"/>
            <w:tcMar>
              <w:top w:w="100" w:type="dxa"/>
              <w:start w:w="130" w:type="dxa"/>
              <w:bottom w:w="100" w:type="dxa"/>
              <w:end w:w="130" w:type="dxa"/>
            </w:tcMar>
            <w:vAlign w:val="center"/>
          </w:tcPr>
          <w:p>
            <w:pPr>
              <w:spacing w:after="0" w:line="252" w:lineRule="auto"/>
            </w:pPr>
            <w:r>
              <w:rPr>
                <w:rFonts w:ascii="Aptos" w:hAnsi="Aptos" w:eastAsia="Aptos"/>
                <w:b w:val="0"/>
                <w:color w:val="1F2933"/>
                <w:sz w:val="19"/>
              </w:rPr>
              <w:t>Отбор и доказательства</w:t>
            </w:r>
          </w:p>
        </w:tc>
        <w:tc>
          <w:tcPr>
            <w:tcW w:type="dxa" w:w="3120"/>
            <w:tcMar>
              <w:top w:w="100" w:type="dxa"/>
              <w:start w:w="130" w:type="dxa"/>
              <w:bottom w:w="100" w:type="dxa"/>
              <w:end w:w="130" w:type="dxa"/>
            </w:tcMar>
            <w:vAlign w:val="center"/>
          </w:tcPr>
          <w:p>
            <w:pPr>
              <w:spacing w:after="0" w:line="252" w:lineRule="auto"/>
            </w:pPr>
            <w:r>
              <w:rPr>
                <w:rFonts w:ascii="Aptos" w:hAnsi="Aptos" w:eastAsia="Aptos"/>
                <w:b w:val="0"/>
                <w:color w:val="1F2933"/>
                <w:sz w:val="19"/>
              </w:rPr>
              <w:t>Операционный стандарт</w:t>
            </w:r>
          </w:p>
        </w:tc>
      </w:tr>
      <w:tr>
        <w:trPr>
          <w:cantSplit/>
        </w:trPr>
        <w:tc>
          <w:tcPr>
            <w:tcW w:type="dxa" w:w="3120"/>
            <w:tcMar>
              <w:top w:w="100" w:type="dxa"/>
              <w:start w:w="130" w:type="dxa"/>
              <w:bottom w:w="100" w:type="dxa"/>
              <w:end w:w="130" w:type="dxa"/>
            </w:tcMar>
            <w:vAlign w:val="center"/>
            <w:shd w:fill="FAFBFC"/>
          </w:tcPr>
          <w:p>
            <w:pPr>
              <w:spacing w:after="0" w:line="252" w:lineRule="auto"/>
            </w:pPr>
            <w:r>
              <w:rPr>
                <w:rFonts w:ascii="Aptos" w:hAnsi="Aptos" w:eastAsia="Aptos"/>
                <w:b/>
                <w:color w:val="0B2545"/>
                <w:sz w:val="19"/>
              </w:rPr>
              <w:t>Представляет интересы собственника и ведёт ключевые решения.</w:t>
            </w:r>
          </w:p>
        </w:tc>
        <w:tc>
          <w:tcPr>
            <w:tcW w:type="dxa" w:w="312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Проверяет риск, экономику, документы и пригодность актива.</w:t>
            </w:r>
          </w:p>
        </w:tc>
        <w:tc>
          <w:tcPr>
            <w:tcW w:type="dxa" w:w="312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Превращает принятые решения в повторяемое исполнение.</w:t>
            </w:r>
          </w:p>
        </w:tc>
      </w:tr>
    </w:tbl>
    <w:p>
      <w:pPr>
        <w:spacing w:before="0" w:after="40" w:line="264" w:lineRule="auto"/>
        <w:jc w:val="left"/>
      </w:pPr>
    </w:p>
    <w:p>
      <w:pPr>
        <w:pStyle w:val="Heading1"/>
        <w:keepNext/>
      </w:pPr>
      <w:r>
        <w:t>1. Идентичность компании</w:t>
      </w:r>
    </w:p>
    <w:p>
      <w:pPr>
        <w:pStyle w:val="Heading2"/>
        <w:keepNext/>
      </w:pPr>
      <w:r>
        <w:t>Назначение</w:t>
      </w:r>
    </w:p>
    <w:p>
      <w:pPr>
        <w:spacing w:before="0" w:after="120" w:line="264" w:lineRule="auto"/>
        <w:jc w:val="left"/>
      </w:pPr>
      <w:r>
        <w:rPr>
          <w:rFonts w:ascii="Aptos" w:hAnsi="Aptos" w:eastAsia="Aptos"/>
          <w:b w:val="0"/>
          <w:i w:val="0"/>
          <w:color w:val="1F2933"/>
          <w:sz w:val="22"/>
        </w:rPr>
        <w:t>Защищать экономический интерес собственника недвижимости на Пхукете и превращать непрозрачный объект в управляемый актив с подтверждённой историей доходов, расходов, качества и решений.</w:t>
      </w:r>
    </w:p>
    <w:p>
      <w:pPr>
        <w:pStyle w:val="Heading2"/>
        <w:keepNext/>
      </w:pPr>
      <w:r>
        <w:t>Миссия</w:t>
      </w:r>
    </w:p>
    <w:p>
      <w:pPr>
        <w:spacing w:before="0" w:after="120" w:line="264" w:lineRule="auto"/>
        <w:jc w:val="left"/>
      </w:pPr>
      <w:r>
        <w:rPr>
          <w:rFonts w:ascii="Aptos" w:hAnsi="Aptos" w:eastAsia="Aptos"/>
          <w:b w:val="0"/>
          <w:i w:val="0"/>
          <w:color w:val="1F2933"/>
          <w:sz w:val="22"/>
        </w:rPr>
        <w:t>Создавать ясность в выборе, управлении и продаже недвижимости — на основе проверяемых данных, локального исполнения и персональной ответственности.</w:t>
      </w:r>
    </w:p>
    <w:p>
      <w:pPr>
        <w:pStyle w:val="Heading2"/>
        <w:keepNext/>
      </w:pPr>
      <w:r>
        <w:t>Обещание</w:t>
      </w:r>
    </w:p>
    <w:p>
      <w:pPr>
        <w:spacing w:before="0" w:after="120" w:line="264" w:lineRule="auto"/>
        <w:jc w:val="left"/>
      </w:pPr>
      <w:r>
        <w:rPr>
          <w:rFonts w:ascii="Aptos" w:hAnsi="Aptos" w:eastAsia="Aptos"/>
          <w:b w:val="0"/>
          <w:i w:val="0"/>
          <w:color w:val="1F2933"/>
          <w:sz w:val="22"/>
        </w:rPr>
        <w:t>Собственник понимает, что происходит с его активом, почему принимается каждое существенное решение, сколько актив заработал, какие риски существуют и что необходимо сделать дальше.</w:t>
      </w:r>
    </w:p>
    <w:p>
      <w:pPr>
        <w:pStyle w:val="Heading2"/>
        <w:keepNext/>
      </w:pPr>
      <w:r>
        <w:t>Позиционирование</w:t>
      </w:r>
    </w:p>
    <w:tbl>
      <w:tblPr>
        <w:tblW w:type="dxa" w:w="9360"/>
        <w:jc w:val="left"/>
        <w:tblLook w:firstColumn="1" w:firstRow="1" w:lastColumn="0" w:lastRow="0" w:noHBand="0" w:noVBand="1" w:val="04A0"/>
        <w:tblInd w:w="120" w:type="dxa"/>
        <w:tblBorders>
          <w:top w:val="single" w:sz="4" w:space="0" w:color="E8EEF5"/>
          <w:left w:val="single" w:sz="4" w:space="0" w:color="E8EEF5"/>
          <w:bottom w:val="single" w:sz="4" w:space="0" w:color="E8EEF5"/>
          <w:right w:val="single" w:sz="4" w:space="0" w:color="E8EEF5"/>
          <w:insideH w:val="single" w:sz="4" w:space="0" w:color="E8EEF5"/>
          <w:insideV w:val="single" w:sz="4" w:space="0" w:color="E8EEF5"/>
        </w:tblBorders>
      </w:tblPr>
      <w:tblGrid>
        <w:gridCol w:w="9360"/>
      </w:tblGrid>
      <w:tr>
        <w:tc>
          <w:tcPr>
            <w:tcW w:type="dxa" w:w="9360"/>
            <w:shd w:fill="E8EEF5"/>
            <w:tcMar>
              <w:top w:w="150" w:type="dxa"/>
              <w:start w:w="180" w:type="dxa"/>
              <w:bottom w:w="150" w:type="dxa"/>
              <w:end w:w="180" w:type="dxa"/>
            </w:tcMar>
          </w:tcPr>
          <w:p>
            <w:pPr>
              <w:spacing w:after="0" w:line="269" w:lineRule="auto"/>
            </w:pPr>
            <w:r>
              <w:rPr>
                <w:rFonts w:ascii="Aptos" w:hAnsi="Aptos" w:eastAsia="Aptos"/>
                <w:b/>
                <w:color w:val="0B2545"/>
                <w:sz w:val="21"/>
              </w:rPr>
              <w:t xml:space="preserve">Позиция на рынке. </w:t>
            </w:r>
            <w:r>
              <w:rPr>
                <w:rFonts w:ascii="Aptos" w:hAnsi="Aptos" w:eastAsia="Aptos"/>
                <w:color w:val="1F2933"/>
                <w:sz w:val="21"/>
              </w:rPr>
              <w:t>Большинство посредников продают прогноз. Ignatev Estate создаёт, измеряет и документирует фактический результат актива.</w:t>
            </w:r>
          </w:p>
        </w:tc>
      </w:tr>
    </w:tbl>
    <w:p>
      <w:pPr>
        <w:spacing w:before="0" w:after="40" w:line="264" w:lineRule="auto"/>
        <w:jc w:val="left"/>
      </w:pPr>
    </w:p>
    <w:p>
      <w:pPr>
        <w:pStyle w:val="Heading2"/>
        <w:keepNext/>
      </w:pPr>
      <w:r>
        <w:t>Что компания означает для собственника</w:t>
      </w:r>
    </w:p>
    <w:p>
      <w:pPr>
        <w:pStyle w:val="ListBullet"/>
        <w:spacing w:after="80" w:line="264" w:lineRule="auto"/>
      </w:pPr>
      <w:r>
        <w:rPr>
          <w:rFonts w:ascii="Aptos" w:hAnsi="Aptos" w:eastAsia="Aptos"/>
          <w:b/>
          <w:color w:val="0B2545"/>
          <w:sz w:val="22"/>
        </w:rPr>
        <w:t>Один ответственный контур.</w:t>
      </w:r>
      <w:r>
        <w:rPr>
          <w:rFonts w:ascii="Aptos" w:hAnsi="Aptos" w:eastAsia="Aptos"/>
          <w:color w:val="1F2933"/>
          <w:sz w:val="22"/>
        </w:rPr>
        <w:t xml:space="preserve"> От проверки и входа до эксплуатации и выхода.</w:t>
      </w:r>
    </w:p>
    <w:p>
      <w:pPr>
        <w:pStyle w:val="ListBullet"/>
        <w:spacing w:after="80" w:line="264" w:lineRule="auto"/>
      </w:pPr>
      <w:r>
        <w:rPr>
          <w:rFonts w:ascii="Aptos" w:hAnsi="Aptos" w:eastAsia="Aptos"/>
          <w:b/>
          <w:color w:val="0B2545"/>
          <w:sz w:val="22"/>
        </w:rPr>
        <w:t>Независимое суждение.</w:t>
      </w:r>
      <w:r>
        <w:rPr>
          <w:rFonts w:ascii="Aptos" w:hAnsi="Aptos" w:eastAsia="Aptos"/>
          <w:color w:val="1F2933"/>
          <w:sz w:val="22"/>
        </w:rPr>
        <w:t xml:space="preserve"> Отказ от объекта или решения, если риск не соответствует интересу собственника.</w:t>
      </w:r>
    </w:p>
    <w:p>
      <w:pPr>
        <w:pStyle w:val="ListBullet"/>
        <w:spacing w:after="80" w:line="264" w:lineRule="auto"/>
      </w:pPr>
      <w:r>
        <w:rPr>
          <w:rFonts w:ascii="Aptos" w:hAnsi="Aptos" w:eastAsia="Aptos"/>
          <w:b/>
          <w:color w:val="0B2545"/>
          <w:sz w:val="22"/>
        </w:rPr>
        <w:t>Проверяемая экономика.</w:t>
      </w:r>
      <w:r>
        <w:rPr>
          <w:rFonts w:ascii="Aptos" w:hAnsi="Aptos" w:eastAsia="Aptos"/>
          <w:color w:val="1F2933"/>
          <w:sz w:val="22"/>
        </w:rPr>
        <w:t xml:space="preserve"> Отчётность строится вокруг фактических денежных потоков, а не маркетинговой доходности.</w:t>
      </w:r>
    </w:p>
    <w:p>
      <w:pPr>
        <w:pStyle w:val="ListBullet"/>
        <w:spacing w:after="80" w:line="264" w:lineRule="auto"/>
      </w:pPr>
      <w:r>
        <w:rPr>
          <w:rFonts w:ascii="Aptos" w:hAnsi="Aptos" w:eastAsia="Aptos"/>
          <w:b/>
          <w:color w:val="0B2545"/>
          <w:sz w:val="22"/>
        </w:rPr>
        <w:t>Локальное присутствие.</w:t>
      </w:r>
      <w:r>
        <w:rPr>
          <w:rFonts w:ascii="Aptos" w:hAnsi="Aptos" w:eastAsia="Aptos"/>
          <w:color w:val="1F2933"/>
          <w:sz w:val="22"/>
        </w:rPr>
        <w:t xml:space="preserve"> Решения исполняются на Пхукете, а не передаются между несвязанными подрядчиками.</w:t>
      </w:r>
    </w:p>
    <w:p>
      <w:pPr>
        <w:pStyle w:val="ListBullet"/>
        <w:spacing w:after="80" w:line="264" w:lineRule="auto"/>
      </w:pPr>
      <w:r>
        <w:rPr>
          <w:rFonts w:ascii="Aptos" w:hAnsi="Aptos" w:eastAsia="Aptos"/>
          <w:b/>
          <w:color w:val="0B2545"/>
          <w:sz w:val="22"/>
        </w:rPr>
        <w:t>Подготовленный выход.</w:t>
      </w:r>
      <w:r>
        <w:rPr>
          <w:rFonts w:ascii="Aptos" w:hAnsi="Aptos" w:eastAsia="Aptos"/>
          <w:color w:val="1F2933"/>
          <w:sz w:val="22"/>
        </w:rPr>
        <w:t xml:space="preserve"> История управления становится доказательной базой для будущего покупателя.</w:t>
      </w:r>
    </w:p>
    <w:p>
      <w:pPr>
        <w:pStyle w:val="Heading1"/>
        <w:keepNext/>
      </w:pPr>
      <w:r>
        <w:t>2. Проблема, которую решает Ignatev Estate</w:t>
      </w:r>
    </w:p>
    <w:p>
      <w:pPr>
        <w:spacing w:before="0" w:after="120" w:line="264" w:lineRule="auto"/>
        <w:jc w:val="left"/>
      </w:pPr>
      <w:r>
        <w:rPr>
          <w:rFonts w:ascii="Aptos" w:hAnsi="Aptos" w:eastAsia="Aptos"/>
          <w:b w:val="0"/>
          <w:i w:val="0"/>
          <w:color w:val="1F2933"/>
          <w:sz w:val="22"/>
        </w:rPr>
        <w:t>Доходная недвижимость на Пхукете часто продаётся как готовый инвестиционный продукт, хотя после сделки собственник получает набор разрозненных договорённостей: застройщик отвечает за строительство, агент — за продажу, управляющая компания — за перечень услуг, а никто не отвечает за итоговый экономический результат.</w:t>
      </w:r>
    </w:p>
    <w:p>
      <w:pPr>
        <w:spacing w:before="0" w:after="120" w:line="264" w:lineRule="auto"/>
        <w:jc w:val="left"/>
      </w:pPr>
      <w:r>
        <w:rPr>
          <w:rFonts w:ascii="Aptos" w:hAnsi="Aptos" w:eastAsia="Aptos"/>
          <w:b w:val="0"/>
          <w:i w:val="0"/>
          <w:color w:val="1F2933"/>
          <w:sz w:val="22"/>
        </w:rPr>
        <w:t>Иностранный собственник дополнительно сталкивается с дистанцией, неполной отчётностью, конфликтами интересов, сложностью контроля подрядчиков и отсутствием достоверной операционной истории при перепродаже.</w:t>
      </w:r>
    </w:p>
    <w:p>
      <w:pPr>
        <w:spacing w:before="0" w:after="120" w:line="264" w:lineRule="auto"/>
        <w:jc w:val="left"/>
      </w:pPr>
      <w:r>
        <w:rPr>
          <w:rFonts w:ascii="Aptos" w:hAnsi="Aptos" w:eastAsia="Aptos"/>
          <w:b w:val="0"/>
          <w:i w:val="0"/>
          <w:color w:val="1F2933"/>
          <w:sz w:val="22"/>
        </w:rPr>
        <w:t>Ignatev Estate устраняет этот разрыв, принимая owner-side мандат и связывая инвестиционное решение, операционное исполнение и будущую ликвидность в единую систему.</w:t>
      </w:r>
    </w:p>
    <w:p>
      <w:pPr>
        <w:pStyle w:val="Heading2"/>
        <w:keepNext/>
      </w:pPr>
      <w:r>
        <w:t>Принцип ответственности</w:t>
      </w:r>
    </w:p>
    <w:p>
      <w:pPr>
        <w:spacing w:before="0" w:after="120" w:line="264" w:lineRule="auto"/>
        <w:jc w:val="left"/>
      </w:pPr>
      <w:r>
        <w:rPr>
          <w:rFonts w:ascii="Aptos" w:hAnsi="Aptos" w:eastAsia="Aptos"/>
          <w:b w:val="0"/>
          <w:i w:val="0"/>
          <w:color w:val="1F2933"/>
          <w:sz w:val="22"/>
        </w:rPr>
        <w:t>Компания отвечает за результат в пределах переданных полномочий, утверждённого бюджета и согласованных ограничений. Ответственность означает не гарантированную доходность, а профессиональное управление решениями, полное раскрытие, своевременную эскалацию рисков и измеримость исполнения.</w:t>
      </w:r>
    </w:p>
    <w:p>
      <w:pPr>
        <w:pStyle w:val="Heading1"/>
        <w:keepNext/>
      </w:pPr>
      <w:r>
        <w:t>3. Модель создания стоимости</w:t>
      </w:r>
    </w:p>
    <w:p>
      <w:pPr>
        <w:spacing w:before="0" w:after="120" w:line="264" w:lineRule="auto"/>
        <w:jc w:val="left"/>
      </w:pPr>
      <w:r>
        <w:rPr>
          <w:rFonts w:ascii="Aptos" w:hAnsi="Aptos" w:eastAsia="Aptos"/>
          <w:b w:val="0"/>
          <w:i w:val="0"/>
          <w:color w:val="1F2933"/>
          <w:sz w:val="22"/>
        </w:rPr>
        <w:t>Ignatev Estate работает с одним активом в трёх последовательных фазах. Каждая фаза должна создавать самостоятельную ценность для собственника и усиливать следующую.</w:t>
      </w:r>
    </w:p>
    <w:tbl>
      <w:tblPr>
        <w:tblW w:type="dxa" w:w="9360"/>
        <w:jc w:val="left"/>
        <w:tblLayout w:type="fixed"/>
        <w:tblLook w:firstColumn="1" w:firstRow="1" w:lastColumn="0" w:lastRow="0" w:noHBand="0" w:noVBand="1" w:val="04A0"/>
        <w:tblInd w:w="120" w:type="dxa"/>
        <w:tblBorders>
          <w:top w:val="single" w:sz="6" w:space="0" w:color="D6DCE2"/>
          <w:left w:val="single" w:sz="6" w:space="0" w:color="D6DCE2"/>
          <w:bottom w:val="single" w:sz="6" w:space="0" w:color="D6DCE2"/>
          <w:right w:val="single" w:sz="6" w:space="0" w:color="D6DCE2"/>
          <w:insideH w:val="single" w:sz="6" w:space="0" w:color="D6DCE2"/>
          <w:insideV w:val="single" w:sz="6" w:space="0" w:color="D6DCE2"/>
        </w:tblBorders>
      </w:tblPr>
      <w:tblGrid>
        <w:gridCol w:w="1320"/>
        <w:gridCol w:w="3900"/>
        <w:gridCol w:w="4140"/>
      </w:tblGrid>
      <w:tr>
        <w:trPr>
          <w:tblHeader w:val="true"/>
          <w:cantSplit/>
        </w:trPr>
        <w:tc>
          <w:tcPr>
            <w:tcW w:type="dxa" w:w="1320"/>
            <w:shd w:fill="0B2545"/>
            <w:tcMar>
              <w:top w:w="100" w:type="dxa"/>
              <w:start w:w="130" w:type="dxa"/>
              <w:bottom w:w="100" w:type="dxa"/>
              <w:end w:w="130" w:type="dxa"/>
            </w:tcMar>
            <w:vAlign w:val="center"/>
          </w:tcPr>
          <w:p>
            <w:pPr>
              <w:spacing w:after="0" w:line="240" w:lineRule="auto"/>
            </w:pPr>
            <w:r>
              <w:rPr>
                <w:rFonts w:ascii="Aptos" w:hAnsi="Aptos" w:eastAsia="Aptos"/>
                <w:b/>
                <w:color w:val="FFFFFF"/>
                <w:sz w:val="19"/>
              </w:rPr>
              <w:t>ФАЗА</w:t>
            </w:r>
          </w:p>
        </w:tc>
        <w:tc>
          <w:tcPr>
            <w:tcW w:type="dxa" w:w="3900"/>
            <w:shd w:fill="0B2545"/>
            <w:tcMar>
              <w:top w:w="100" w:type="dxa"/>
              <w:start w:w="130" w:type="dxa"/>
              <w:bottom w:w="100" w:type="dxa"/>
              <w:end w:w="130" w:type="dxa"/>
            </w:tcMar>
            <w:vAlign w:val="center"/>
          </w:tcPr>
          <w:p>
            <w:pPr>
              <w:spacing w:after="0" w:line="240" w:lineRule="auto"/>
            </w:pPr>
            <w:r>
              <w:rPr>
                <w:rFonts w:ascii="Aptos" w:hAnsi="Aptos" w:eastAsia="Aptos"/>
                <w:b/>
                <w:color w:val="FFFFFF"/>
                <w:sz w:val="19"/>
              </w:rPr>
              <w:t>РОЛЬ IGNATEV ESTATE</w:t>
            </w:r>
          </w:p>
        </w:tc>
        <w:tc>
          <w:tcPr>
            <w:tcW w:type="dxa" w:w="4140"/>
            <w:shd w:fill="0B2545"/>
            <w:tcMar>
              <w:top w:w="100" w:type="dxa"/>
              <w:start w:w="130" w:type="dxa"/>
              <w:bottom w:w="100" w:type="dxa"/>
              <w:end w:w="130" w:type="dxa"/>
            </w:tcMar>
            <w:vAlign w:val="center"/>
          </w:tcPr>
          <w:p>
            <w:pPr>
              <w:spacing w:after="0" w:line="240" w:lineRule="auto"/>
            </w:pPr>
            <w:r>
              <w:rPr>
                <w:rFonts w:ascii="Aptos" w:hAnsi="Aptos" w:eastAsia="Aptos"/>
                <w:b/>
                <w:color w:val="FFFFFF"/>
                <w:sz w:val="19"/>
              </w:rPr>
              <w:t>РЕЗУЛЬТАТ ДЛЯ СОБСТВЕННИКА</w:t>
            </w:r>
          </w:p>
        </w:tc>
      </w:tr>
      <w:tr>
        <w:trPr>
          <w:cantSplit/>
        </w:trPr>
        <w:tc>
          <w:tcPr>
            <w:tcW w:type="dxa" w:w="1320"/>
            <w:tcMar>
              <w:top w:w="100" w:type="dxa"/>
              <w:start w:w="130" w:type="dxa"/>
              <w:bottom w:w="100" w:type="dxa"/>
              <w:end w:w="130" w:type="dxa"/>
            </w:tcMar>
            <w:vAlign w:val="center"/>
          </w:tcPr>
          <w:p>
            <w:pPr>
              <w:spacing w:after="0" w:line="252" w:lineRule="auto"/>
            </w:pPr>
            <w:r>
              <w:rPr>
                <w:rFonts w:ascii="Aptos" w:hAnsi="Aptos" w:eastAsia="Aptos"/>
                <w:b/>
                <w:color w:val="0B2545"/>
                <w:sz w:val="19"/>
              </w:rPr>
              <w:t>1. Вход</w:t>
            </w:r>
          </w:p>
        </w:tc>
        <w:tc>
          <w:tcPr>
            <w:tcW w:type="dxa" w:w="3900"/>
            <w:tcMar>
              <w:top w:w="100" w:type="dxa"/>
              <w:start w:w="130" w:type="dxa"/>
              <w:bottom w:w="100" w:type="dxa"/>
              <w:end w:w="130" w:type="dxa"/>
            </w:tcMar>
            <w:vAlign w:val="center"/>
          </w:tcPr>
          <w:p>
            <w:pPr>
              <w:spacing w:after="0" w:line="252" w:lineRule="auto"/>
            </w:pPr>
            <w:r>
              <w:rPr>
                <w:rFonts w:ascii="Aptos" w:hAnsi="Aptos" w:eastAsia="Aptos"/>
                <w:b w:val="0"/>
                <w:color w:val="1F2933"/>
                <w:sz w:val="19"/>
              </w:rPr>
              <w:t>Отбор, ClearView-проверка, переговоры, структурирование и сопровождение приобретения.</w:t>
            </w:r>
          </w:p>
        </w:tc>
        <w:tc>
          <w:tcPr>
            <w:tcW w:type="dxa" w:w="4140"/>
            <w:tcMar>
              <w:top w:w="100" w:type="dxa"/>
              <w:start w:w="130" w:type="dxa"/>
              <w:bottom w:w="100" w:type="dxa"/>
              <w:end w:w="130" w:type="dxa"/>
            </w:tcMar>
            <w:vAlign w:val="center"/>
          </w:tcPr>
          <w:p>
            <w:pPr>
              <w:spacing w:after="0" w:line="252" w:lineRule="auto"/>
            </w:pPr>
            <w:r>
              <w:rPr>
                <w:rFonts w:ascii="Aptos" w:hAnsi="Aptos" w:eastAsia="Aptos"/>
                <w:b w:val="0"/>
                <w:color w:val="1F2933"/>
                <w:sz w:val="19"/>
              </w:rPr>
              <w:t>Актив соответствует цели, риск понятен, условия зафиксированы.</w:t>
            </w:r>
          </w:p>
        </w:tc>
      </w:tr>
      <w:tr>
        <w:trPr>
          <w:cantSplit/>
        </w:trPr>
        <w:tc>
          <w:tcPr>
            <w:tcW w:type="dxa" w:w="1320"/>
            <w:tcMar>
              <w:top w:w="100" w:type="dxa"/>
              <w:start w:w="130" w:type="dxa"/>
              <w:bottom w:w="100" w:type="dxa"/>
              <w:end w:w="130" w:type="dxa"/>
            </w:tcMar>
            <w:vAlign w:val="center"/>
            <w:shd w:fill="FAFBFC"/>
          </w:tcPr>
          <w:p>
            <w:pPr>
              <w:spacing w:after="0" w:line="252" w:lineRule="auto"/>
            </w:pPr>
            <w:r>
              <w:rPr>
                <w:rFonts w:ascii="Aptos" w:hAnsi="Aptos" w:eastAsia="Aptos"/>
                <w:b/>
                <w:color w:val="0B2545"/>
                <w:sz w:val="19"/>
              </w:rPr>
              <w:t>2. Владение</w:t>
            </w:r>
          </w:p>
        </w:tc>
        <w:tc>
          <w:tcPr>
            <w:tcW w:type="dxa" w:w="390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Коммерческое управление, стандарты myUNO, контроль расходов, отчётность и поддержание актива.</w:t>
            </w:r>
          </w:p>
        </w:tc>
        <w:tc>
          <w:tcPr>
            <w:tcW w:type="dxa" w:w="414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Прозрачный денежный поток и подтверждённая история исполнения.</w:t>
            </w:r>
          </w:p>
        </w:tc>
      </w:tr>
      <w:tr>
        <w:trPr>
          <w:cantSplit/>
        </w:trPr>
        <w:tc>
          <w:tcPr>
            <w:tcW w:type="dxa" w:w="1320"/>
            <w:tcMar>
              <w:top w:w="100" w:type="dxa"/>
              <w:start w:w="130" w:type="dxa"/>
              <w:bottom w:w="100" w:type="dxa"/>
              <w:end w:w="130" w:type="dxa"/>
            </w:tcMar>
            <w:vAlign w:val="center"/>
          </w:tcPr>
          <w:p>
            <w:pPr>
              <w:spacing w:after="0" w:line="252" w:lineRule="auto"/>
            </w:pPr>
            <w:r>
              <w:rPr>
                <w:rFonts w:ascii="Aptos" w:hAnsi="Aptos" w:eastAsia="Aptos"/>
                <w:b/>
                <w:color w:val="0B2545"/>
                <w:sz w:val="19"/>
              </w:rPr>
              <w:t>3. Выход</w:t>
            </w:r>
          </w:p>
        </w:tc>
        <w:tc>
          <w:tcPr>
            <w:tcW w:type="dxa" w:w="3900"/>
            <w:tcMar>
              <w:top w:w="100" w:type="dxa"/>
              <w:start w:w="130" w:type="dxa"/>
              <w:bottom w:w="100" w:type="dxa"/>
              <w:end w:w="130" w:type="dxa"/>
            </w:tcMar>
            <w:vAlign w:val="center"/>
          </w:tcPr>
          <w:p>
            <w:pPr>
              <w:spacing w:after="0" w:line="252" w:lineRule="auto"/>
            </w:pPr>
            <w:r>
              <w:rPr>
                <w:rFonts w:ascii="Aptos" w:hAnsi="Aptos" w:eastAsia="Aptos"/>
                <w:b w:val="0"/>
                <w:color w:val="1F2933"/>
                <w:sz w:val="19"/>
              </w:rPr>
              <w:t>Подготовка data room, позиционирование, поиск покупателя и проведение сделки.</w:t>
            </w:r>
          </w:p>
        </w:tc>
        <w:tc>
          <w:tcPr>
            <w:tcW w:type="dxa" w:w="4140"/>
            <w:tcMar>
              <w:top w:w="100" w:type="dxa"/>
              <w:start w:w="130" w:type="dxa"/>
              <w:bottom w:w="100" w:type="dxa"/>
              <w:end w:w="130" w:type="dxa"/>
            </w:tcMar>
            <w:vAlign w:val="center"/>
          </w:tcPr>
          <w:p>
            <w:pPr>
              <w:spacing w:after="0" w:line="252" w:lineRule="auto"/>
            </w:pPr>
            <w:r>
              <w:rPr>
                <w:rFonts w:ascii="Aptos" w:hAnsi="Aptos" w:eastAsia="Aptos"/>
                <w:b w:val="0"/>
                <w:color w:val="1F2933"/>
                <w:sz w:val="19"/>
              </w:rPr>
              <w:t>Более доказуемая стоимость и организованный процесс продажи.</w:t>
            </w:r>
          </w:p>
        </w:tc>
      </w:tr>
    </w:tbl>
    <w:p>
      <w:pPr>
        <w:spacing w:before="0" w:after="40" w:line="264" w:lineRule="auto"/>
        <w:jc w:val="left"/>
      </w:pPr>
    </w:p>
    <w:p>
      <w:pPr>
        <w:spacing w:before="0" w:after="120" w:line="264" w:lineRule="auto"/>
        <w:jc w:val="left"/>
      </w:pPr>
      <w:r>
        <w:rPr>
          <w:rFonts w:ascii="Aptos" w:hAnsi="Aptos" w:eastAsia="Aptos"/>
          <w:b w:val="0"/>
          <w:i/>
          <w:color w:val="5E6B75"/>
          <w:sz w:val="22"/>
        </w:rPr>
        <w:t>Внутренняя экономическая логика компании — получать вознаграждение на входе, во владении и на выходе. Внешняя логика — создавать ценность на каждом этапе и раскрывать собственнику все источники вознаграждения.</w:t>
      </w:r>
    </w:p>
    <w:p>
      <w:pPr>
        <w:pStyle w:val="Heading1"/>
        <w:keepNext/>
      </w:pPr>
      <w:r>
        <w:t>4. Основные направления деятельности</w:t>
      </w:r>
    </w:p>
    <w:p>
      <w:pPr>
        <w:pStyle w:val="Heading2"/>
        <w:keepNext/>
      </w:pPr>
      <w:r>
        <w:t>4.1. Представительство собственника</w:t>
      </w:r>
    </w:p>
    <w:p>
      <w:pPr>
        <w:spacing w:before="0" w:after="120" w:line="264" w:lineRule="auto"/>
        <w:jc w:val="left"/>
      </w:pPr>
      <w:r>
        <w:rPr>
          <w:rFonts w:ascii="Aptos" w:hAnsi="Aptos" w:eastAsia="Aptos"/>
          <w:b w:val="0"/>
          <w:i w:val="0"/>
          <w:color w:val="1F2933"/>
          <w:sz w:val="22"/>
        </w:rPr>
        <w:t>Ignatev Estate действует как локальная owner-side функция: организует проверку, координирует специалистов, контролирует критические решения, ведёт коммуникацию с девелоперами, управляющими организациями и контрагентами и обеспечивает понятную отчётность собственнику.</w:t>
      </w:r>
    </w:p>
    <w:p>
      <w:pPr>
        <w:pStyle w:val="Heading2"/>
        <w:keepNext/>
      </w:pPr>
      <w:r>
        <w:t>4.2. Коммерческое и операционное управление</w:t>
      </w:r>
    </w:p>
    <w:p>
      <w:pPr>
        <w:spacing w:before="0" w:after="120" w:line="264" w:lineRule="auto"/>
        <w:jc w:val="left"/>
      </w:pPr>
      <w:r>
        <w:rPr>
          <w:rFonts w:ascii="Aptos" w:hAnsi="Aptos" w:eastAsia="Aptos"/>
          <w:b w:val="0"/>
          <w:i w:val="0"/>
          <w:color w:val="1F2933"/>
          <w:sz w:val="22"/>
        </w:rPr>
        <w:t>Компания принимает достаточный объём полномочий для управления ценообразованием, каналами, бронированиями, операционными расходами, поставщиками, персоналом и качеством гостевого или резидентского опыта. Мандат может охватывать несколько юнитов, единый арендный пул, весь жилой или вилловый комплекс либо гостиницу или резорт целиком. Зарезервированные собственником решения — бюджет, CAPEX, страхование, финансирование, продажа и иные материальные вопросы — определяются договором.</w:t>
      </w:r>
    </w:p>
    <w:p>
      <w:pPr>
        <w:pStyle w:val="Heading2"/>
        <w:keepNext/>
      </w:pPr>
      <w:r>
        <w:t>4.3. Сделки</w:t>
      </w:r>
    </w:p>
    <w:p>
      <w:pPr>
        <w:spacing w:before="0" w:after="120" w:line="264" w:lineRule="auto"/>
        <w:jc w:val="left"/>
      </w:pPr>
      <w:r>
        <w:rPr>
          <w:rFonts w:ascii="Aptos" w:hAnsi="Aptos" w:eastAsia="Aptos"/>
          <w:b w:val="0"/>
          <w:i w:val="0"/>
          <w:color w:val="1F2933"/>
          <w:sz w:val="22"/>
        </w:rPr>
        <w:t>Ignatev Estate сопровождает приобретение и продажу активов. Для доходных приобретений компания рекомендует только те объекты, которые готова профессионально проверить и впоследствии управлять ими либо осуществлять согласованный контроль. Продажа управляемого актива строится на подтверждённой операционной истории, а не только на обещании будущей доходности.</w:t>
      </w:r>
    </w:p>
    <w:p>
      <w:pPr>
        <w:pStyle w:val="Heading2"/>
        <w:keepNext/>
      </w:pPr>
      <w:r>
        <w:t>4.4. Advisory и специальные проекты</w:t>
      </w:r>
    </w:p>
    <w:p>
      <w:pPr>
        <w:spacing w:before="0" w:after="120" w:line="264" w:lineRule="auto"/>
        <w:jc w:val="left"/>
      </w:pPr>
      <w:r>
        <w:rPr>
          <w:rFonts w:ascii="Aptos" w:hAnsi="Aptos" w:eastAsia="Aptos"/>
          <w:b w:val="0"/>
          <w:i w:val="0"/>
          <w:color w:val="1F2933"/>
          <w:sz w:val="22"/>
        </w:rPr>
        <w:t>Компания может выполнять pre-opening advisory для девелоперов и собственников, надзор за CAPEX и ремонтом, операционный аудит, подготовку актива к управлению, проверку документов и координацию споров. Такие задания принимаются, если они усиливают основной owner lifecycle и не превращают компанию в универсального подрядчика.</w:t>
      </w:r>
    </w:p>
    <w:p>
      <w:pPr>
        <w:pStyle w:val="Heading2"/>
        <w:keepNext/>
      </w:pPr>
      <w:r>
        <w:t>4.5. Дистрибуция и партнёрский инвентарь</w:t>
      </w:r>
    </w:p>
    <w:p>
      <w:pPr>
        <w:spacing w:before="0" w:after="120" w:line="264" w:lineRule="auto"/>
        <w:jc w:val="left"/>
      </w:pPr>
      <w:r>
        <w:rPr>
          <w:rFonts w:ascii="Aptos" w:hAnsi="Aptos" w:eastAsia="Aptos"/>
          <w:b w:val="0"/>
          <w:i w:val="0"/>
          <w:color w:val="1F2933"/>
          <w:sz w:val="22"/>
        </w:rPr>
        <w:t>Если управляемый портфель не закрывает подтверждённый запрос гостя, Ignatev Estate может подобрать объект проверенного партнёра, получить referral или booking commission и сохранить отношения с клиентом. Партнёрский объект не представляется как управляемый myUNO; фактический оператор, ответственность сторон и экономика сделки раскрываются заранее.</w:t>
      </w:r>
    </w:p>
    <w:p>
      <w:pPr>
        <w:pStyle w:val="Heading1"/>
        <w:keepNext/>
      </w:pPr>
      <w:r>
        <w:t>5. Клиенты и участники модели</w:t>
      </w:r>
    </w:p>
    <w:tbl>
      <w:tblPr>
        <w:tblW w:type="dxa" w:w="9360"/>
        <w:jc w:val="left"/>
        <w:tblLayout w:type="fixed"/>
        <w:tblLook w:firstColumn="1" w:firstRow="1" w:lastColumn="0" w:lastRow="0" w:noHBand="0" w:noVBand="1" w:val="04A0"/>
        <w:tblInd w:w="120" w:type="dxa"/>
        <w:tblBorders>
          <w:top w:val="single" w:sz="6" w:space="0" w:color="D6DCE2"/>
          <w:left w:val="single" w:sz="6" w:space="0" w:color="D6DCE2"/>
          <w:bottom w:val="single" w:sz="6" w:space="0" w:color="D6DCE2"/>
          <w:right w:val="single" w:sz="6" w:space="0" w:color="D6DCE2"/>
          <w:insideH w:val="single" w:sz="6" w:space="0" w:color="D6DCE2"/>
          <w:insideV w:val="single" w:sz="6" w:space="0" w:color="D6DCE2"/>
        </w:tblBorders>
      </w:tblPr>
      <w:tblGrid>
        <w:gridCol w:w="1800"/>
        <w:gridCol w:w="2700"/>
        <w:gridCol w:w="4860"/>
      </w:tblGrid>
      <w:tr>
        <w:trPr>
          <w:tblHeader w:val="true"/>
          <w:cantSplit/>
        </w:trPr>
        <w:tc>
          <w:tcPr>
            <w:tcW w:type="dxa" w:w="1800"/>
            <w:shd w:fill="0B2545"/>
            <w:tcMar>
              <w:top w:w="100" w:type="dxa"/>
              <w:start w:w="130" w:type="dxa"/>
              <w:bottom w:w="100" w:type="dxa"/>
              <w:end w:w="130" w:type="dxa"/>
            </w:tcMar>
            <w:vAlign w:val="center"/>
          </w:tcPr>
          <w:p>
            <w:pPr>
              <w:spacing w:after="0" w:line="240" w:lineRule="auto"/>
            </w:pPr>
            <w:r>
              <w:rPr>
                <w:rFonts w:ascii="Aptos" w:hAnsi="Aptos" w:eastAsia="Aptos"/>
                <w:b/>
                <w:color w:val="FFFFFF"/>
                <w:sz w:val="19"/>
              </w:rPr>
              <w:t>УЧАСТНИК</w:t>
            </w:r>
          </w:p>
        </w:tc>
        <w:tc>
          <w:tcPr>
            <w:tcW w:type="dxa" w:w="2700"/>
            <w:shd w:fill="0B2545"/>
            <w:tcMar>
              <w:top w:w="100" w:type="dxa"/>
              <w:start w:w="130" w:type="dxa"/>
              <w:bottom w:w="100" w:type="dxa"/>
              <w:end w:w="130" w:type="dxa"/>
            </w:tcMar>
            <w:vAlign w:val="center"/>
          </w:tcPr>
          <w:p>
            <w:pPr>
              <w:spacing w:after="0" w:line="240" w:lineRule="auto"/>
            </w:pPr>
            <w:r>
              <w:rPr>
                <w:rFonts w:ascii="Aptos" w:hAnsi="Aptos" w:eastAsia="Aptos"/>
                <w:b/>
                <w:color w:val="FFFFFF"/>
                <w:sz w:val="19"/>
              </w:rPr>
              <w:t>РОЛЬ В МОДЕЛИ</w:t>
            </w:r>
          </w:p>
        </w:tc>
        <w:tc>
          <w:tcPr>
            <w:tcW w:type="dxa" w:w="4860"/>
            <w:shd w:fill="0B2545"/>
            <w:tcMar>
              <w:top w:w="100" w:type="dxa"/>
              <w:start w:w="130" w:type="dxa"/>
              <w:bottom w:w="100" w:type="dxa"/>
              <w:end w:w="130" w:type="dxa"/>
            </w:tcMar>
            <w:vAlign w:val="center"/>
          </w:tcPr>
          <w:p>
            <w:pPr>
              <w:spacing w:after="0" w:line="240" w:lineRule="auto"/>
            </w:pPr>
            <w:r>
              <w:rPr>
                <w:rFonts w:ascii="Aptos" w:hAnsi="Aptos" w:eastAsia="Aptos"/>
                <w:b/>
                <w:color w:val="FFFFFF"/>
                <w:sz w:val="19"/>
              </w:rPr>
              <w:t>ЦЕННОСТЬ IGNATEV ESTATE</w:t>
            </w:r>
          </w:p>
        </w:tc>
      </w:tr>
      <w:tr>
        <w:trPr>
          <w:cantSplit/>
        </w:trPr>
        <w:tc>
          <w:tcPr>
            <w:tcW w:type="dxa" w:w="1800"/>
            <w:tcMar>
              <w:top w:w="100" w:type="dxa"/>
              <w:start w:w="130" w:type="dxa"/>
              <w:bottom w:w="100" w:type="dxa"/>
              <w:end w:w="130" w:type="dxa"/>
            </w:tcMar>
            <w:vAlign w:val="center"/>
          </w:tcPr>
          <w:p>
            <w:pPr>
              <w:spacing w:after="0" w:line="252" w:lineRule="auto"/>
            </w:pPr>
            <w:r>
              <w:rPr>
                <w:rFonts w:ascii="Aptos" w:hAnsi="Aptos" w:eastAsia="Aptos"/>
                <w:b/>
                <w:color w:val="0B2545"/>
                <w:sz w:val="19"/>
              </w:rPr>
              <w:t>Собственник</w:t>
            </w:r>
          </w:p>
        </w:tc>
        <w:tc>
          <w:tcPr>
            <w:tcW w:type="dxa" w:w="2700"/>
            <w:tcMar>
              <w:top w:w="100" w:type="dxa"/>
              <w:start w:w="130" w:type="dxa"/>
              <w:bottom w:w="100" w:type="dxa"/>
              <w:end w:w="130" w:type="dxa"/>
            </w:tcMar>
            <w:vAlign w:val="center"/>
          </w:tcPr>
          <w:p>
            <w:pPr>
              <w:spacing w:after="0" w:line="252" w:lineRule="auto"/>
            </w:pPr>
            <w:r>
              <w:rPr>
                <w:rFonts w:ascii="Aptos" w:hAnsi="Aptos" w:eastAsia="Aptos"/>
                <w:b w:val="0"/>
                <w:color w:val="1F2933"/>
                <w:sz w:val="19"/>
              </w:rPr>
              <w:t>Основной клиент и принципал.</w:t>
            </w:r>
          </w:p>
        </w:tc>
        <w:tc>
          <w:tcPr>
            <w:tcW w:type="dxa" w:w="4860"/>
            <w:tcMar>
              <w:top w:w="100" w:type="dxa"/>
              <w:start w:w="130" w:type="dxa"/>
              <w:bottom w:w="100" w:type="dxa"/>
              <w:end w:w="130" w:type="dxa"/>
            </w:tcMar>
            <w:vAlign w:val="center"/>
          </w:tcPr>
          <w:p>
            <w:pPr>
              <w:spacing w:after="0" w:line="252" w:lineRule="auto"/>
            </w:pPr>
            <w:r>
              <w:rPr>
                <w:rFonts w:ascii="Aptos" w:hAnsi="Aptos" w:eastAsia="Aptos"/>
                <w:b w:val="0"/>
                <w:color w:val="1F2933"/>
                <w:sz w:val="19"/>
              </w:rPr>
              <w:t>Контроль, результат, отчётность, защита интересов и подготовленный выход.</w:t>
            </w:r>
          </w:p>
        </w:tc>
      </w:tr>
      <w:tr>
        <w:trPr>
          <w:cantSplit/>
        </w:trPr>
        <w:tc>
          <w:tcPr>
            <w:tcW w:type="dxa" w:w="1800"/>
            <w:tcMar>
              <w:top w:w="100" w:type="dxa"/>
              <w:start w:w="130" w:type="dxa"/>
              <w:bottom w:w="100" w:type="dxa"/>
              <w:end w:w="130" w:type="dxa"/>
            </w:tcMar>
            <w:vAlign w:val="center"/>
            <w:shd w:fill="FAFBFC"/>
          </w:tcPr>
          <w:p>
            <w:pPr>
              <w:spacing w:after="0" w:line="252" w:lineRule="auto"/>
            </w:pPr>
            <w:r>
              <w:rPr>
                <w:rFonts w:ascii="Aptos" w:hAnsi="Aptos" w:eastAsia="Aptos"/>
                <w:b/>
                <w:color w:val="0B2545"/>
                <w:sz w:val="19"/>
              </w:rPr>
              <w:t>Гость / резидент</w:t>
            </w:r>
          </w:p>
        </w:tc>
        <w:tc>
          <w:tcPr>
            <w:tcW w:type="dxa" w:w="270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Вторичный клиент компании и конечный клиент операционного продукта.</w:t>
            </w:r>
          </w:p>
        </w:tc>
        <w:tc>
          <w:tcPr>
            <w:tcW w:type="dxa" w:w="486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Понятное предложение, надёжное обслуживание, прямой контакт и деликатный путь к будущему владению.</w:t>
            </w:r>
          </w:p>
        </w:tc>
      </w:tr>
      <w:tr>
        <w:trPr>
          <w:cantSplit/>
        </w:trPr>
        <w:tc>
          <w:tcPr>
            <w:tcW w:type="dxa" w:w="1800"/>
            <w:tcMar>
              <w:top w:w="100" w:type="dxa"/>
              <w:start w:w="130" w:type="dxa"/>
              <w:bottom w:w="100" w:type="dxa"/>
              <w:end w:w="130" w:type="dxa"/>
            </w:tcMar>
            <w:vAlign w:val="center"/>
          </w:tcPr>
          <w:p>
            <w:pPr>
              <w:spacing w:after="0" w:line="252" w:lineRule="auto"/>
            </w:pPr>
            <w:r>
              <w:rPr>
                <w:rFonts w:ascii="Aptos" w:hAnsi="Aptos" w:eastAsia="Aptos"/>
                <w:b/>
                <w:color w:val="0B2545"/>
                <w:sz w:val="19"/>
              </w:rPr>
              <w:t>Покупатель</w:t>
            </w:r>
          </w:p>
        </w:tc>
        <w:tc>
          <w:tcPr>
            <w:tcW w:type="dxa" w:w="2700"/>
            <w:tcMar>
              <w:top w:w="100" w:type="dxa"/>
              <w:start w:w="130" w:type="dxa"/>
              <w:bottom w:w="100" w:type="dxa"/>
              <w:end w:w="130" w:type="dxa"/>
            </w:tcMar>
            <w:vAlign w:val="center"/>
          </w:tcPr>
          <w:p>
            <w:pPr>
              <w:spacing w:after="0" w:line="252" w:lineRule="auto"/>
            </w:pPr>
            <w:r>
              <w:rPr>
                <w:rFonts w:ascii="Aptos" w:hAnsi="Aptos" w:eastAsia="Aptos"/>
                <w:b w:val="0"/>
                <w:color w:val="1F2933"/>
                <w:sz w:val="19"/>
              </w:rPr>
              <w:t>Будущий собственник или контрагент сделки.</w:t>
            </w:r>
          </w:p>
        </w:tc>
        <w:tc>
          <w:tcPr>
            <w:tcW w:type="dxa" w:w="4860"/>
            <w:tcMar>
              <w:top w:w="100" w:type="dxa"/>
              <w:start w:w="130" w:type="dxa"/>
              <w:bottom w:w="100" w:type="dxa"/>
              <w:end w:w="130" w:type="dxa"/>
            </w:tcMar>
            <w:vAlign w:val="center"/>
          </w:tcPr>
          <w:p>
            <w:pPr>
              <w:spacing w:after="0" w:line="252" w:lineRule="auto"/>
            </w:pPr>
            <w:r>
              <w:rPr>
                <w:rFonts w:ascii="Aptos" w:hAnsi="Aptos" w:eastAsia="Aptos"/>
                <w:b w:val="0"/>
                <w:color w:val="1F2933"/>
                <w:sz w:val="19"/>
              </w:rPr>
              <w:t>Проверенный актив, прозрачная история и организованный процесс приобретения.</w:t>
            </w:r>
          </w:p>
        </w:tc>
      </w:tr>
      <w:tr>
        <w:trPr>
          <w:cantSplit/>
        </w:trPr>
        <w:tc>
          <w:tcPr>
            <w:tcW w:type="dxa" w:w="1800"/>
            <w:tcMar>
              <w:top w:w="100" w:type="dxa"/>
              <w:start w:w="130" w:type="dxa"/>
              <w:bottom w:w="100" w:type="dxa"/>
              <w:end w:w="130" w:type="dxa"/>
            </w:tcMar>
            <w:vAlign w:val="center"/>
            <w:shd w:fill="FAFBFC"/>
          </w:tcPr>
          <w:p>
            <w:pPr>
              <w:spacing w:after="0" w:line="252" w:lineRule="auto"/>
            </w:pPr>
            <w:r>
              <w:rPr>
                <w:rFonts w:ascii="Aptos" w:hAnsi="Aptos" w:eastAsia="Aptos"/>
                <w:b/>
                <w:color w:val="0B2545"/>
                <w:sz w:val="19"/>
              </w:rPr>
              <w:t>Девелопер</w:t>
            </w:r>
          </w:p>
        </w:tc>
        <w:tc>
          <w:tcPr>
            <w:tcW w:type="dxa" w:w="270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Клиент pre-opening или контрагент сделки.</w:t>
            </w:r>
          </w:p>
        </w:tc>
        <w:tc>
          <w:tcPr>
            <w:tcW w:type="dxa" w:w="486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Управляемый продукт, обратная связь рынка и повышение доказуемости предложения.</w:t>
            </w:r>
          </w:p>
        </w:tc>
      </w:tr>
      <w:tr>
        <w:trPr>
          <w:cantSplit/>
        </w:trPr>
        <w:tc>
          <w:tcPr>
            <w:tcW w:type="dxa" w:w="1800"/>
            <w:tcMar>
              <w:top w:w="100" w:type="dxa"/>
              <w:start w:w="130" w:type="dxa"/>
              <w:bottom w:w="100" w:type="dxa"/>
              <w:end w:w="130" w:type="dxa"/>
            </w:tcMar>
            <w:vAlign w:val="center"/>
          </w:tcPr>
          <w:p>
            <w:pPr>
              <w:spacing w:after="0" w:line="252" w:lineRule="auto"/>
            </w:pPr>
            <w:r>
              <w:rPr>
                <w:rFonts w:ascii="Aptos" w:hAnsi="Aptos" w:eastAsia="Aptos"/>
                <w:b/>
                <w:color w:val="0B2545"/>
                <w:sz w:val="19"/>
              </w:rPr>
              <w:t>Juristic person / управляющий орган</w:t>
            </w:r>
          </w:p>
        </w:tc>
        <w:tc>
          <w:tcPr>
            <w:tcW w:type="dxa" w:w="2700"/>
            <w:tcMar>
              <w:top w:w="100" w:type="dxa"/>
              <w:start w:w="130" w:type="dxa"/>
              <w:bottom w:w="100" w:type="dxa"/>
              <w:end w:w="130" w:type="dxa"/>
            </w:tcMar>
            <w:vAlign w:val="center"/>
          </w:tcPr>
          <w:p>
            <w:pPr>
              <w:spacing w:after="0" w:line="252" w:lineRule="auto"/>
            </w:pPr>
            <w:r>
              <w:rPr>
                <w:rFonts w:ascii="Aptos" w:hAnsi="Aptos" w:eastAsia="Aptos"/>
                <w:b w:val="0"/>
                <w:color w:val="1F2933"/>
                <w:sz w:val="19"/>
              </w:rPr>
              <w:t>Обязательный контрагент в здании или комплексе.</w:t>
            </w:r>
          </w:p>
        </w:tc>
        <w:tc>
          <w:tcPr>
            <w:tcW w:type="dxa" w:w="4860"/>
            <w:tcMar>
              <w:top w:w="100" w:type="dxa"/>
              <w:start w:w="130" w:type="dxa"/>
              <w:bottom w:w="100" w:type="dxa"/>
              <w:end w:w="130" w:type="dxa"/>
            </w:tcMar>
            <w:vAlign w:val="center"/>
          </w:tcPr>
          <w:p>
            <w:pPr>
              <w:spacing w:after="0" w:line="252" w:lineRule="auto"/>
            </w:pPr>
            <w:r>
              <w:rPr>
                <w:rFonts w:ascii="Aptos" w:hAnsi="Aptos" w:eastAsia="Aptos"/>
                <w:b w:val="0"/>
                <w:color w:val="1F2933"/>
                <w:sz w:val="19"/>
              </w:rPr>
              <w:t>Соблюдение правил объекта, координация резидентов и ответственная операционная практика.</w:t>
            </w:r>
          </w:p>
        </w:tc>
      </w:tr>
      <w:tr>
        <w:trPr>
          <w:cantSplit/>
        </w:trPr>
        <w:tc>
          <w:tcPr>
            <w:tcW w:type="dxa" w:w="1800"/>
            <w:tcMar>
              <w:top w:w="100" w:type="dxa"/>
              <w:start w:w="130" w:type="dxa"/>
              <w:bottom w:w="100" w:type="dxa"/>
              <w:end w:w="130" w:type="dxa"/>
            </w:tcMar>
            <w:vAlign w:val="center"/>
            <w:shd w:fill="FAFBFC"/>
          </w:tcPr>
          <w:p>
            <w:pPr>
              <w:spacing w:after="0" w:line="252" w:lineRule="auto"/>
            </w:pPr>
            <w:r>
              <w:rPr>
                <w:rFonts w:ascii="Aptos" w:hAnsi="Aptos" w:eastAsia="Aptos"/>
                <w:b/>
                <w:color w:val="0B2545"/>
                <w:sz w:val="19"/>
              </w:rPr>
              <w:t>Агент / партнёр</w:t>
            </w:r>
          </w:p>
        </w:tc>
        <w:tc>
          <w:tcPr>
            <w:tcW w:type="dxa" w:w="270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Канал спроса, предложения или локального исполнения.</w:t>
            </w:r>
          </w:p>
        </w:tc>
        <w:tc>
          <w:tcPr>
            <w:tcW w:type="dxa" w:w="486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Достоверный инвентарь, квалифицированный спрос, понятные правила, SLA и прозрачные расчёты.</w:t>
            </w:r>
          </w:p>
        </w:tc>
      </w:tr>
    </w:tbl>
    <w:p>
      <w:pPr>
        <w:spacing w:before="0" w:after="40" w:line="264" w:lineRule="auto"/>
        <w:jc w:val="left"/>
      </w:pPr>
    </w:p>
    <w:p>
      <w:pPr>
        <w:pStyle w:val="Heading2"/>
        <w:keepNext/>
      </w:pPr>
      <w:r>
        <w:t>Приоритетные собственники</w:t>
      </w:r>
    </w:p>
    <w:p>
      <w:pPr>
        <w:pStyle w:val="ListBullet"/>
        <w:spacing w:after="80" w:line="264" w:lineRule="auto"/>
      </w:pPr>
      <w:r>
        <w:rPr>
          <w:rFonts w:ascii="Aptos" w:hAnsi="Aptos" w:eastAsia="Aptos"/>
          <w:color w:val="1F2933"/>
          <w:sz w:val="22"/>
        </w:rPr>
        <w:t>Собственники гостиниц, резортов и комплексов вилл ориентировочно на 20–80 ключей, включая объекты с собственным брендом, которым требуется операционный turnaround или полноценный оператор.</w:t>
      </w:r>
    </w:p>
    <w:p>
      <w:pPr>
        <w:pStyle w:val="ListBullet"/>
        <w:spacing w:after="80" w:line="264" w:lineRule="auto"/>
      </w:pPr>
      <w:r>
        <w:rPr>
          <w:rFonts w:ascii="Aptos" w:hAnsi="Aptos" w:eastAsia="Aptos"/>
          <w:color w:val="1F2933"/>
          <w:sz w:val="22"/>
        </w:rPr>
        <w:t>Собственники, группы собственников и девелоперы, передающие в управление несколько, значительную часть или все инвестиционные юниты одного здания либо комплекса.</w:t>
      </w:r>
    </w:p>
    <w:p>
      <w:pPr>
        <w:pStyle w:val="ListBullet"/>
        <w:spacing w:after="80" w:line="264" w:lineRule="auto"/>
      </w:pPr>
      <w:r>
        <w:rPr>
          <w:rFonts w:ascii="Aptos" w:hAnsi="Aptos" w:eastAsia="Aptos"/>
          <w:color w:val="1F2933"/>
          <w:sz w:val="22"/>
        </w:rPr>
        <w:t>Девелоперы и владельцы проектов, которым до открытия необходим профессиональный оператор и подтверждаемая модель управления.</w:t>
      </w:r>
    </w:p>
    <w:p>
      <w:r>
        <w:br w:type="page"/>
      </w:r>
    </w:p>
    <w:p>
      <w:pPr>
        <w:pStyle w:val="Heading1"/>
        <w:keepNext/>
      </w:pPr>
      <w:r>
        <w:t>6. Единая клиентская модель и централизация данных</w:t>
      </w:r>
    </w:p>
    <w:p>
      <w:pPr>
        <w:pStyle w:val="Heading2"/>
        <w:keepNext/>
      </w:pPr>
      <w:r>
        <w:t>6.1. Иерархия клиентов</w:t>
      </w:r>
    </w:p>
    <w:p>
      <w:pPr>
        <w:spacing w:before="0" w:after="120" w:line="264" w:lineRule="auto"/>
        <w:jc w:val="left"/>
      </w:pPr>
      <w:r>
        <w:rPr>
          <w:rFonts w:ascii="Aptos" w:hAnsi="Aptos" w:eastAsia="Aptos"/>
          <w:b w:val="0"/>
          <w:i w:val="0"/>
          <w:color w:val="1F2933"/>
          <w:sz w:val="22"/>
        </w:rPr>
        <w:t>Основной клиент Ignatev Estate — собственник недвижимости. Компания получает мандат от собственника, управляет его активом и измеряет результат с позиции его экономического интереса.</w:t>
      </w:r>
    </w:p>
    <w:p>
      <w:pPr>
        <w:spacing w:before="0" w:after="120" w:line="264" w:lineRule="auto"/>
        <w:jc w:val="left"/>
      </w:pPr>
      <w:r>
        <w:rPr>
          <w:rFonts w:ascii="Aptos" w:hAnsi="Aptos" w:eastAsia="Aptos"/>
          <w:b w:val="0"/>
          <w:i w:val="0"/>
          <w:color w:val="1F2933"/>
          <w:sz w:val="22"/>
        </w:rPr>
        <w:t>Гость или резидент — вторичный клиент компании и конечный клиент продукта myUNO. Он создаёт выручку актива, формирует репутацию оператора и может со временем стать прямым клиентом Ignatev Estate: покупателем, собственником, инвестором или рекомендателем.</w:t>
      </w:r>
    </w:p>
    <w:tbl>
      <w:tblPr>
        <w:tblW w:type="dxa" w:w="9360"/>
        <w:jc w:val="left"/>
        <w:tblLook w:firstColumn="1" w:firstRow="1" w:lastColumn="0" w:lastRow="0" w:noHBand="0" w:noVBand="1" w:val="04A0"/>
        <w:tblInd w:w="120" w:type="dxa"/>
        <w:tblBorders>
          <w:top w:val="single" w:sz="4" w:space="0" w:color="E8EEF5"/>
          <w:left w:val="single" w:sz="4" w:space="0" w:color="E8EEF5"/>
          <w:bottom w:val="single" w:sz="4" w:space="0" w:color="E8EEF5"/>
          <w:right w:val="single" w:sz="4" w:space="0" w:color="E8EEF5"/>
          <w:insideH w:val="single" w:sz="4" w:space="0" w:color="E8EEF5"/>
          <w:insideV w:val="single" w:sz="4" w:space="0" w:color="E8EEF5"/>
        </w:tblBorders>
      </w:tblPr>
      <w:tblGrid>
        <w:gridCol w:w="9360"/>
      </w:tblGrid>
      <w:tr>
        <w:tc>
          <w:tcPr>
            <w:tcW w:type="dxa" w:w="9360"/>
            <w:shd w:fill="E8EEF5"/>
            <w:tcMar>
              <w:top w:w="150" w:type="dxa"/>
              <w:start w:w="180" w:type="dxa"/>
              <w:bottom w:w="150" w:type="dxa"/>
              <w:end w:w="180" w:type="dxa"/>
            </w:tcMar>
          </w:tcPr>
          <w:p>
            <w:pPr>
              <w:spacing w:after="0" w:line="269" w:lineRule="auto"/>
            </w:pPr>
            <w:r>
              <w:rPr>
                <w:rFonts w:ascii="Aptos" w:hAnsi="Aptos" w:eastAsia="Aptos"/>
                <w:b/>
                <w:color w:val="0B2545"/>
                <w:sz w:val="21"/>
              </w:rPr>
              <w:t xml:space="preserve">Ключевой принцип. </w:t>
            </w:r>
            <w:r>
              <w:rPr>
                <w:rFonts w:ascii="Aptos" w:hAnsi="Aptos" w:eastAsia="Aptos"/>
                <w:color w:val="1F2933"/>
                <w:sz w:val="21"/>
              </w:rPr>
              <w:t>Статус вторичного клиента не означает более низкий стандарт обслуживания. Напротив, качество гостевого опыта является главным источником доверия, прямого спроса и будущих отношений с собственниками.</w:t>
            </w:r>
          </w:p>
        </w:tc>
      </w:tr>
    </w:tbl>
    <w:p>
      <w:pPr>
        <w:spacing w:before="0" w:after="40" w:line="264" w:lineRule="auto"/>
        <w:jc w:val="left"/>
      </w:pPr>
    </w:p>
    <w:p>
      <w:pPr>
        <w:pStyle w:val="Heading2"/>
        <w:keepNext/>
      </w:pPr>
      <w:r>
        <w:t>6.2. Единая запись клиента</w:t>
      </w:r>
    </w:p>
    <w:p>
      <w:pPr>
        <w:spacing w:before="0" w:after="120" w:line="264" w:lineRule="auto"/>
        <w:jc w:val="left"/>
      </w:pPr>
      <w:r>
        <w:rPr>
          <w:rFonts w:ascii="Aptos" w:hAnsi="Aptos" w:eastAsia="Aptos"/>
          <w:b w:val="0"/>
          <w:i w:val="0"/>
          <w:color w:val="1F2933"/>
          <w:sz w:val="22"/>
        </w:rPr>
        <w:t>Компания ведёт не отдельные базы «гостей», «покупателей» и «собственников», а единую запись стороны — человека, семьи или юридического лица — с одним постоянным идентификатором и несколькими ролями. Роль меняется во времени; идентичность клиента сохраняется.</w:t>
      </w:r>
    </w:p>
    <w:p>
      <w:pPr>
        <w:spacing w:before="0" w:after="120" w:line="264" w:lineRule="auto"/>
        <w:jc w:val="left"/>
      </w:pPr>
      <w:r>
        <w:rPr>
          <w:rFonts w:ascii="Aptos" w:hAnsi="Aptos" w:eastAsia="Aptos"/>
          <w:b w:val="0"/>
          <w:i w:val="0"/>
          <w:color w:val="1F2933"/>
          <w:sz w:val="22"/>
        </w:rPr>
        <w:t>Один и тот же человек может одновременно быть гостем myUNO, владельцем одного объекта, потенциальным покупателем второго, участником семейного решения и источником рекомендации. Система должна видеть эти связи без дублирования и без потери истории.</w:t>
      </w:r>
    </w:p>
    <w:tbl>
      <w:tblPr>
        <w:tblW w:type="dxa" w:w="9360"/>
        <w:jc w:val="left"/>
        <w:tblLayout w:type="fixed"/>
        <w:tblLook w:firstColumn="1" w:firstRow="1" w:lastColumn="0" w:lastRow="0" w:noHBand="0" w:noVBand="1" w:val="04A0"/>
        <w:tblInd w:w="120" w:type="dxa"/>
        <w:tblBorders>
          <w:top w:val="single" w:sz="6" w:space="0" w:color="D6DCE2"/>
          <w:left w:val="single" w:sz="6" w:space="0" w:color="D6DCE2"/>
          <w:bottom w:val="single" w:sz="6" w:space="0" w:color="D6DCE2"/>
          <w:right w:val="single" w:sz="6" w:space="0" w:color="D6DCE2"/>
          <w:insideH w:val="single" w:sz="6" w:space="0" w:color="D6DCE2"/>
          <w:insideV w:val="single" w:sz="6" w:space="0" w:color="D6DCE2"/>
        </w:tblBorders>
      </w:tblPr>
      <w:tblGrid>
        <w:gridCol w:w="1740"/>
        <w:gridCol w:w="4380"/>
        <w:gridCol w:w="3240"/>
      </w:tblGrid>
      <w:tr>
        <w:trPr>
          <w:tblHeader w:val="true"/>
          <w:cantSplit/>
        </w:trPr>
        <w:tc>
          <w:tcPr>
            <w:tcW w:type="dxa" w:w="1740"/>
            <w:shd w:fill="0B2545"/>
            <w:tcMar>
              <w:top w:w="100" w:type="dxa"/>
              <w:start w:w="130" w:type="dxa"/>
              <w:bottom w:w="100" w:type="dxa"/>
              <w:end w:w="130" w:type="dxa"/>
            </w:tcMar>
            <w:vAlign w:val="center"/>
          </w:tcPr>
          <w:p>
            <w:pPr>
              <w:spacing w:after="0" w:line="240" w:lineRule="auto"/>
            </w:pPr>
            <w:r>
              <w:rPr>
                <w:rFonts w:ascii="Aptos" w:hAnsi="Aptos" w:eastAsia="Aptos"/>
                <w:b/>
                <w:color w:val="FFFFFF"/>
                <w:sz w:val="19"/>
              </w:rPr>
              <w:t>БЛОК ДАННЫХ</w:t>
            </w:r>
          </w:p>
        </w:tc>
        <w:tc>
          <w:tcPr>
            <w:tcW w:type="dxa" w:w="4380"/>
            <w:shd w:fill="0B2545"/>
            <w:tcMar>
              <w:top w:w="100" w:type="dxa"/>
              <w:start w:w="130" w:type="dxa"/>
              <w:bottom w:w="100" w:type="dxa"/>
              <w:end w:w="130" w:type="dxa"/>
            </w:tcMar>
            <w:vAlign w:val="center"/>
          </w:tcPr>
          <w:p>
            <w:pPr>
              <w:spacing w:after="0" w:line="240" w:lineRule="auto"/>
            </w:pPr>
            <w:r>
              <w:rPr>
                <w:rFonts w:ascii="Aptos" w:hAnsi="Aptos" w:eastAsia="Aptos"/>
                <w:b/>
                <w:color w:val="FFFFFF"/>
                <w:sz w:val="19"/>
              </w:rPr>
              <w:t>ЧТО ФИКСИРУЕТСЯ</w:t>
            </w:r>
          </w:p>
        </w:tc>
        <w:tc>
          <w:tcPr>
            <w:tcW w:type="dxa" w:w="3240"/>
            <w:shd w:fill="0B2545"/>
            <w:tcMar>
              <w:top w:w="100" w:type="dxa"/>
              <w:start w:w="130" w:type="dxa"/>
              <w:bottom w:w="100" w:type="dxa"/>
              <w:end w:w="130" w:type="dxa"/>
            </w:tcMar>
            <w:vAlign w:val="center"/>
          </w:tcPr>
          <w:p>
            <w:pPr>
              <w:spacing w:after="0" w:line="240" w:lineRule="auto"/>
            </w:pPr>
            <w:r>
              <w:rPr>
                <w:rFonts w:ascii="Aptos" w:hAnsi="Aptos" w:eastAsia="Aptos"/>
                <w:b/>
                <w:color w:val="FFFFFF"/>
                <w:sz w:val="19"/>
              </w:rPr>
              <w:t>ЗАЧЕМ</w:t>
            </w:r>
          </w:p>
        </w:tc>
      </w:tr>
      <w:tr>
        <w:trPr>
          <w:cantSplit/>
        </w:trPr>
        <w:tc>
          <w:tcPr>
            <w:tcW w:type="dxa" w:w="1740"/>
            <w:tcMar>
              <w:top w:w="100" w:type="dxa"/>
              <w:start w:w="130" w:type="dxa"/>
              <w:bottom w:w="100" w:type="dxa"/>
              <w:end w:w="130" w:type="dxa"/>
            </w:tcMar>
            <w:vAlign w:val="center"/>
          </w:tcPr>
          <w:p>
            <w:pPr>
              <w:spacing w:after="0" w:line="252" w:lineRule="auto"/>
            </w:pPr>
            <w:r>
              <w:rPr>
                <w:rFonts w:ascii="Aptos" w:hAnsi="Aptos" w:eastAsia="Aptos"/>
                <w:b/>
                <w:color w:val="0B2545"/>
                <w:sz w:val="19"/>
              </w:rPr>
              <w:t>Party ID</w:t>
            </w:r>
          </w:p>
        </w:tc>
        <w:tc>
          <w:tcPr>
            <w:tcW w:type="dxa" w:w="4380"/>
            <w:tcMar>
              <w:top w:w="100" w:type="dxa"/>
              <w:start w:w="130" w:type="dxa"/>
              <w:bottom w:w="100" w:type="dxa"/>
              <w:end w:w="130" w:type="dxa"/>
            </w:tcMar>
            <w:vAlign w:val="center"/>
          </w:tcPr>
          <w:p>
            <w:pPr>
              <w:spacing w:after="0" w:line="252" w:lineRule="auto"/>
            </w:pPr>
            <w:r>
              <w:rPr>
                <w:rFonts w:ascii="Aptos" w:hAnsi="Aptos" w:eastAsia="Aptos"/>
                <w:b w:val="0"/>
                <w:color w:val="1F2933"/>
                <w:sz w:val="19"/>
              </w:rPr>
              <w:t>Единый идентификатор человека, семьи или организации; связанные лица и компании.</w:t>
            </w:r>
          </w:p>
        </w:tc>
        <w:tc>
          <w:tcPr>
            <w:tcW w:type="dxa" w:w="3240"/>
            <w:tcMar>
              <w:top w:w="100" w:type="dxa"/>
              <w:start w:w="130" w:type="dxa"/>
              <w:bottom w:w="100" w:type="dxa"/>
              <w:end w:w="130" w:type="dxa"/>
            </w:tcMar>
            <w:vAlign w:val="center"/>
          </w:tcPr>
          <w:p>
            <w:pPr>
              <w:spacing w:after="0" w:line="252" w:lineRule="auto"/>
            </w:pPr>
            <w:r>
              <w:rPr>
                <w:rFonts w:ascii="Aptos" w:hAnsi="Aptos" w:eastAsia="Aptos"/>
                <w:b w:val="0"/>
                <w:color w:val="1F2933"/>
                <w:sz w:val="19"/>
              </w:rPr>
              <w:t>Исключить дубли и сохранить непрерывную историю.</w:t>
            </w:r>
          </w:p>
        </w:tc>
      </w:tr>
      <w:tr>
        <w:trPr>
          <w:cantSplit/>
        </w:trPr>
        <w:tc>
          <w:tcPr>
            <w:tcW w:type="dxa" w:w="1740"/>
            <w:tcMar>
              <w:top w:w="100" w:type="dxa"/>
              <w:start w:w="130" w:type="dxa"/>
              <w:bottom w:w="100" w:type="dxa"/>
              <w:end w:w="130" w:type="dxa"/>
            </w:tcMar>
            <w:vAlign w:val="center"/>
            <w:shd w:fill="FAFBFC"/>
          </w:tcPr>
          <w:p>
            <w:pPr>
              <w:spacing w:after="0" w:line="252" w:lineRule="auto"/>
            </w:pPr>
            <w:r>
              <w:rPr>
                <w:rFonts w:ascii="Aptos" w:hAnsi="Aptos" w:eastAsia="Aptos"/>
                <w:b/>
                <w:color w:val="0B2545"/>
                <w:sz w:val="19"/>
              </w:rPr>
              <w:t>Роли</w:t>
            </w:r>
          </w:p>
        </w:tc>
        <w:tc>
          <w:tcPr>
            <w:tcW w:type="dxa" w:w="438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Гость, резидент, покупатель, собственник, продавец, девелопер, агент, партнёр; даты начала и окончания роли.</w:t>
            </w:r>
          </w:p>
        </w:tc>
        <w:tc>
          <w:tcPr>
            <w:tcW w:type="dxa" w:w="324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Управлять переходами и не помещать клиента в одну статичную категорию.</w:t>
            </w:r>
          </w:p>
        </w:tc>
      </w:tr>
      <w:tr>
        <w:trPr>
          <w:cantSplit/>
        </w:trPr>
        <w:tc>
          <w:tcPr>
            <w:tcW w:type="dxa" w:w="1740"/>
            <w:tcMar>
              <w:top w:w="100" w:type="dxa"/>
              <w:start w:w="130" w:type="dxa"/>
              <w:bottom w:w="100" w:type="dxa"/>
              <w:end w:w="130" w:type="dxa"/>
            </w:tcMar>
            <w:vAlign w:val="center"/>
          </w:tcPr>
          <w:p>
            <w:pPr>
              <w:spacing w:after="0" w:line="252" w:lineRule="auto"/>
            </w:pPr>
            <w:r>
              <w:rPr>
                <w:rFonts w:ascii="Aptos" w:hAnsi="Aptos" w:eastAsia="Aptos"/>
                <w:b/>
                <w:color w:val="0B2545"/>
                <w:sz w:val="19"/>
              </w:rPr>
              <w:t>Контакты и согласия</w:t>
            </w:r>
          </w:p>
        </w:tc>
        <w:tc>
          <w:tcPr>
            <w:tcW w:type="dxa" w:w="4380"/>
            <w:tcMar>
              <w:top w:w="100" w:type="dxa"/>
              <w:start w:w="130" w:type="dxa"/>
              <w:bottom w:w="100" w:type="dxa"/>
              <w:end w:w="130" w:type="dxa"/>
            </w:tcMar>
            <w:vAlign w:val="center"/>
          </w:tcPr>
          <w:p>
            <w:pPr>
              <w:spacing w:after="0" w:line="252" w:lineRule="auto"/>
            </w:pPr>
            <w:r>
              <w:rPr>
                <w:rFonts w:ascii="Aptos" w:hAnsi="Aptos" w:eastAsia="Aptos"/>
                <w:b w:val="0"/>
                <w:color w:val="1F2933"/>
                <w:sz w:val="19"/>
              </w:rPr>
              <w:t>Каналы связи, язык, часовой пояс, источник, маркетинговые разрешения, ограничения и дата подтверждения.</w:t>
            </w:r>
          </w:p>
        </w:tc>
        <w:tc>
          <w:tcPr>
            <w:tcW w:type="dxa" w:w="3240"/>
            <w:tcMar>
              <w:top w:w="100" w:type="dxa"/>
              <w:start w:w="130" w:type="dxa"/>
              <w:bottom w:w="100" w:type="dxa"/>
              <w:end w:w="130" w:type="dxa"/>
            </w:tcMar>
            <w:vAlign w:val="center"/>
          </w:tcPr>
          <w:p>
            <w:pPr>
              <w:spacing w:after="0" w:line="252" w:lineRule="auto"/>
            </w:pPr>
            <w:r>
              <w:rPr>
                <w:rFonts w:ascii="Aptos" w:hAnsi="Aptos" w:eastAsia="Aptos"/>
                <w:b w:val="0"/>
                <w:color w:val="1F2933"/>
                <w:sz w:val="19"/>
              </w:rPr>
              <w:t>Связываться законно, уместно и в предпочтительном канале.</w:t>
            </w:r>
          </w:p>
        </w:tc>
      </w:tr>
      <w:tr>
        <w:trPr>
          <w:cantSplit/>
        </w:trPr>
        <w:tc>
          <w:tcPr>
            <w:tcW w:type="dxa" w:w="1740"/>
            <w:tcMar>
              <w:top w:w="100" w:type="dxa"/>
              <w:start w:w="130" w:type="dxa"/>
              <w:bottom w:w="100" w:type="dxa"/>
              <w:end w:w="130" w:type="dxa"/>
            </w:tcMar>
            <w:vAlign w:val="center"/>
            <w:shd w:fill="FAFBFC"/>
          </w:tcPr>
          <w:p>
            <w:pPr>
              <w:spacing w:after="0" w:line="252" w:lineRule="auto"/>
            </w:pPr>
            <w:r>
              <w:rPr>
                <w:rFonts w:ascii="Aptos" w:hAnsi="Aptos" w:eastAsia="Aptos"/>
                <w:b/>
                <w:color w:val="0B2545"/>
                <w:sz w:val="19"/>
              </w:rPr>
              <w:t>Активы и интересы</w:t>
            </w:r>
          </w:p>
        </w:tc>
        <w:tc>
          <w:tcPr>
            <w:tcW w:type="dxa" w:w="438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Связанные объекты, бронирования, мандаты, сделки, бюджет, цели, горизонт, личное использование и требования.</w:t>
            </w:r>
          </w:p>
        </w:tc>
        <w:tc>
          <w:tcPr>
            <w:tcW w:type="dxa" w:w="324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Понимать текущую ценность и следующий релевантный шаг.</w:t>
            </w:r>
          </w:p>
        </w:tc>
      </w:tr>
      <w:tr>
        <w:trPr>
          <w:cantSplit/>
        </w:trPr>
        <w:tc>
          <w:tcPr>
            <w:tcW w:type="dxa" w:w="1740"/>
            <w:tcMar>
              <w:top w:w="100" w:type="dxa"/>
              <w:start w:w="130" w:type="dxa"/>
              <w:bottom w:w="100" w:type="dxa"/>
              <w:end w:w="130" w:type="dxa"/>
            </w:tcMar>
            <w:vAlign w:val="center"/>
          </w:tcPr>
          <w:p>
            <w:pPr>
              <w:spacing w:after="0" w:line="252" w:lineRule="auto"/>
            </w:pPr>
            <w:r>
              <w:rPr>
                <w:rFonts w:ascii="Aptos" w:hAnsi="Aptos" w:eastAsia="Aptos"/>
                <w:b/>
                <w:color w:val="0B2545"/>
                <w:sz w:val="19"/>
              </w:rPr>
              <w:t>История отношений</w:t>
            </w:r>
          </w:p>
        </w:tc>
        <w:tc>
          <w:tcPr>
            <w:tcW w:type="dxa" w:w="4380"/>
            <w:tcMar>
              <w:top w:w="100" w:type="dxa"/>
              <w:start w:w="130" w:type="dxa"/>
              <w:bottom w:w="100" w:type="dxa"/>
              <w:end w:w="130" w:type="dxa"/>
            </w:tcMar>
            <w:vAlign w:val="center"/>
          </w:tcPr>
          <w:p>
            <w:pPr>
              <w:spacing w:after="0" w:line="252" w:lineRule="auto"/>
            </w:pPr>
            <w:r>
              <w:rPr>
                <w:rFonts w:ascii="Aptos" w:hAnsi="Aptos" w:eastAsia="Aptos"/>
                <w:b w:val="0"/>
                <w:color w:val="1F2933"/>
                <w:sz w:val="19"/>
              </w:rPr>
              <w:t>Встречи, обращения, просмотры, предложения, решения, обещания, жалобы и результат каждого контакта.</w:t>
            </w:r>
          </w:p>
        </w:tc>
        <w:tc>
          <w:tcPr>
            <w:tcW w:type="dxa" w:w="3240"/>
            <w:tcMar>
              <w:top w:w="100" w:type="dxa"/>
              <w:start w:w="130" w:type="dxa"/>
              <w:bottom w:w="100" w:type="dxa"/>
              <w:end w:w="130" w:type="dxa"/>
            </w:tcMar>
            <w:vAlign w:val="center"/>
          </w:tcPr>
          <w:p>
            <w:pPr>
              <w:spacing w:after="0" w:line="252" w:lineRule="auto"/>
            </w:pPr>
            <w:r>
              <w:rPr>
                <w:rFonts w:ascii="Aptos" w:hAnsi="Aptos" w:eastAsia="Aptos"/>
                <w:b w:val="0"/>
                <w:color w:val="1F2933"/>
                <w:sz w:val="19"/>
              </w:rPr>
              <w:t>Не заставлять клиента повторять контекст и не терять договорённости.</w:t>
            </w:r>
          </w:p>
        </w:tc>
      </w:tr>
      <w:tr>
        <w:trPr>
          <w:cantSplit/>
        </w:trPr>
        <w:tc>
          <w:tcPr>
            <w:tcW w:type="dxa" w:w="1740"/>
            <w:tcMar>
              <w:top w:w="100" w:type="dxa"/>
              <w:start w:w="130" w:type="dxa"/>
              <w:bottom w:w="100" w:type="dxa"/>
              <w:end w:w="130" w:type="dxa"/>
            </w:tcMar>
            <w:vAlign w:val="center"/>
            <w:shd w:fill="FAFBFC"/>
          </w:tcPr>
          <w:p>
            <w:pPr>
              <w:spacing w:after="0" w:line="252" w:lineRule="auto"/>
            </w:pPr>
            <w:r>
              <w:rPr>
                <w:rFonts w:ascii="Aptos" w:hAnsi="Aptos" w:eastAsia="Aptos"/>
                <w:b/>
                <w:color w:val="0B2545"/>
                <w:sz w:val="19"/>
              </w:rPr>
              <w:t>Происхождение</w:t>
            </w:r>
          </w:p>
        </w:tc>
        <w:tc>
          <w:tcPr>
            <w:tcW w:type="dxa" w:w="438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Канал, агент, реферер, кампания, объект и первая точка контакта.</w:t>
            </w:r>
          </w:p>
        </w:tc>
        <w:tc>
          <w:tcPr>
            <w:tcW w:type="dxa" w:w="324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Сохранять атрибуцию, партнёрские права и экономику привлечения.</w:t>
            </w:r>
          </w:p>
        </w:tc>
      </w:tr>
      <w:tr>
        <w:trPr>
          <w:cantSplit/>
        </w:trPr>
        <w:tc>
          <w:tcPr>
            <w:tcW w:type="dxa" w:w="1740"/>
            <w:tcMar>
              <w:top w:w="100" w:type="dxa"/>
              <w:start w:w="130" w:type="dxa"/>
              <w:bottom w:w="100" w:type="dxa"/>
              <w:end w:w="130" w:type="dxa"/>
            </w:tcMar>
            <w:vAlign w:val="center"/>
          </w:tcPr>
          <w:p>
            <w:pPr>
              <w:spacing w:after="0" w:line="252" w:lineRule="auto"/>
            </w:pPr>
            <w:r>
              <w:rPr>
                <w:rFonts w:ascii="Aptos" w:hAnsi="Aptos" w:eastAsia="Aptos"/>
                <w:b/>
                <w:color w:val="0B2545"/>
                <w:sz w:val="19"/>
              </w:rPr>
              <w:t>Статус и следующий шаг</w:t>
            </w:r>
          </w:p>
        </w:tc>
        <w:tc>
          <w:tcPr>
            <w:tcW w:type="dxa" w:w="4380"/>
            <w:tcMar>
              <w:top w:w="100" w:type="dxa"/>
              <w:start w:w="130" w:type="dxa"/>
              <w:bottom w:w="100" w:type="dxa"/>
              <w:end w:w="130" w:type="dxa"/>
            </w:tcMar>
            <w:vAlign w:val="center"/>
          </w:tcPr>
          <w:p>
            <w:pPr>
              <w:spacing w:after="0" w:line="252" w:lineRule="auto"/>
            </w:pPr>
            <w:r>
              <w:rPr>
                <w:rFonts w:ascii="Aptos" w:hAnsi="Aptos" w:eastAsia="Aptos"/>
                <w:b w:val="0"/>
                <w:color w:val="1F2933"/>
                <w:sz w:val="19"/>
              </w:rPr>
              <w:t>Текущая стадия lifecycle, владелец отношений, задача, срок, уровень намерения и причина паузы.</w:t>
            </w:r>
          </w:p>
        </w:tc>
        <w:tc>
          <w:tcPr>
            <w:tcW w:type="dxa" w:w="3240"/>
            <w:tcMar>
              <w:top w:w="100" w:type="dxa"/>
              <w:start w:w="130" w:type="dxa"/>
              <w:bottom w:w="100" w:type="dxa"/>
              <w:end w:w="130" w:type="dxa"/>
            </w:tcMar>
            <w:vAlign w:val="center"/>
          </w:tcPr>
          <w:p>
            <w:pPr>
              <w:spacing w:after="0" w:line="252" w:lineRule="auto"/>
            </w:pPr>
            <w:r>
              <w:rPr>
                <w:rFonts w:ascii="Aptos" w:hAnsi="Aptos" w:eastAsia="Aptos"/>
                <w:b w:val="0"/>
                <w:color w:val="1F2933"/>
                <w:sz w:val="19"/>
              </w:rPr>
              <w:t>Обеспечить управляемую воронку и персональную ответственность.</w:t>
            </w:r>
          </w:p>
        </w:tc>
      </w:tr>
    </w:tbl>
    <w:p>
      <w:pPr>
        <w:spacing w:before="0" w:after="40" w:line="264" w:lineRule="auto"/>
        <w:jc w:val="left"/>
      </w:pPr>
    </w:p>
    <w:p>
      <w:pPr>
        <w:pStyle w:val="Heading2"/>
        <w:keepNext/>
      </w:pPr>
      <w:r>
        <w:t>6.3. Архитектура данных</w:t>
      </w:r>
    </w:p>
    <w:p>
      <w:pPr>
        <w:spacing w:before="0" w:after="120" w:line="264" w:lineRule="auto"/>
        <w:jc w:val="left"/>
      </w:pPr>
      <w:r>
        <w:rPr>
          <w:rFonts w:ascii="Aptos" w:hAnsi="Aptos" w:eastAsia="Aptos"/>
          <w:b w:val="0"/>
          <w:i w:val="0"/>
          <w:color w:val="1F2933"/>
          <w:sz w:val="22"/>
        </w:rPr>
        <w:t>Единая клиентская запись хранится в корпоративной системе учёта отношений и является system of record. PMS, модуль бронирования, бухгалтерия, сервис-деск, сайт, коммуникационные каналы и ClearView передают в неё события и используют общий Party ID.</w:t>
      </w:r>
    </w:p>
    <w:tbl>
      <w:tblPr>
        <w:tblW w:type="dxa" w:w="9360"/>
        <w:jc w:val="left"/>
        <w:tblLayout w:type="fixed"/>
        <w:tblLook w:firstColumn="1" w:firstRow="1" w:lastColumn="0" w:lastRow="0" w:noHBand="0" w:noVBand="1" w:val="04A0"/>
        <w:tblInd w:w="120" w:type="dxa"/>
        <w:tblBorders>
          <w:top w:val="single" w:sz="6" w:space="0" w:color="D6DCE2"/>
          <w:left w:val="single" w:sz="6" w:space="0" w:color="D6DCE2"/>
          <w:bottom w:val="single" w:sz="6" w:space="0" w:color="D6DCE2"/>
          <w:right w:val="single" w:sz="6" w:space="0" w:color="D6DCE2"/>
          <w:insideH w:val="single" w:sz="6" w:space="0" w:color="D6DCE2"/>
          <w:insideV w:val="single" w:sz="6" w:space="0" w:color="D6DCE2"/>
        </w:tblBorders>
      </w:tblPr>
      <w:tblGrid>
        <w:gridCol w:w="1920"/>
        <w:gridCol w:w="3600"/>
        <w:gridCol w:w="3840"/>
      </w:tblGrid>
      <w:tr>
        <w:trPr>
          <w:tblHeader w:val="true"/>
          <w:cantSplit/>
        </w:trPr>
        <w:tc>
          <w:tcPr>
            <w:tcW w:type="dxa" w:w="1920"/>
            <w:shd w:fill="0B2545"/>
            <w:tcMar>
              <w:top w:w="100" w:type="dxa"/>
              <w:start w:w="130" w:type="dxa"/>
              <w:bottom w:w="100" w:type="dxa"/>
              <w:end w:w="130" w:type="dxa"/>
            </w:tcMar>
            <w:vAlign w:val="center"/>
          </w:tcPr>
          <w:p>
            <w:pPr>
              <w:spacing w:after="0" w:line="240" w:lineRule="auto"/>
            </w:pPr>
            <w:r>
              <w:rPr>
                <w:rFonts w:ascii="Aptos" w:hAnsi="Aptos" w:eastAsia="Aptos"/>
                <w:b/>
                <w:color w:val="FFFFFF"/>
                <w:sz w:val="19"/>
              </w:rPr>
              <w:t>КОНТУР</w:t>
            </w:r>
          </w:p>
        </w:tc>
        <w:tc>
          <w:tcPr>
            <w:tcW w:type="dxa" w:w="3600"/>
            <w:shd w:fill="0B2545"/>
            <w:tcMar>
              <w:top w:w="100" w:type="dxa"/>
              <w:start w:w="130" w:type="dxa"/>
              <w:bottom w:w="100" w:type="dxa"/>
              <w:end w:w="130" w:type="dxa"/>
            </w:tcMar>
            <w:vAlign w:val="center"/>
          </w:tcPr>
          <w:p>
            <w:pPr>
              <w:spacing w:after="0" w:line="240" w:lineRule="auto"/>
            </w:pPr>
            <w:r>
              <w:rPr>
                <w:rFonts w:ascii="Aptos" w:hAnsi="Aptos" w:eastAsia="Aptos"/>
                <w:b/>
                <w:color w:val="FFFFFF"/>
                <w:sz w:val="19"/>
              </w:rPr>
              <w:t>ОСНОВНАЯ ФУНКЦИЯ</w:t>
            </w:r>
          </w:p>
        </w:tc>
        <w:tc>
          <w:tcPr>
            <w:tcW w:type="dxa" w:w="3840"/>
            <w:shd w:fill="0B2545"/>
            <w:tcMar>
              <w:top w:w="100" w:type="dxa"/>
              <w:start w:w="130" w:type="dxa"/>
              <w:bottom w:w="100" w:type="dxa"/>
              <w:end w:w="130" w:type="dxa"/>
            </w:tcMar>
            <w:vAlign w:val="center"/>
          </w:tcPr>
          <w:p>
            <w:pPr>
              <w:spacing w:after="0" w:line="240" w:lineRule="auto"/>
            </w:pPr>
            <w:r>
              <w:rPr>
                <w:rFonts w:ascii="Aptos" w:hAnsi="Aptos" w:eastAsia="Aptos"/>
                <w:b/>
                <w:color w:val="FFFFFF"/>
                <w:sz w:val="19"/>
              </w:rPr>
              <w:t>КАКИЕ ДАННЫЕ СОЗДАЁТ</w:t>
            </w:r>
          </w:p>
        </w:tc>
      </w:tr>
      <w:tr>
        <w:trPr>
          <w:cantSplit/>
        </w:trPr>
        <w:tc>
          <w:tcPr>
            <w:tcW w:type="dxa" w:w="1920"/>
            <w:tcMar>
              <w:top w:w="100" w:type="dxa"/>
              <w:start w:w="130" w:type="dxa"/>
              <w:bottom w:w="100" w:type="dxa"/>
              <w:end w:w="130" w:type="dxa"/>
            </w:tcMar>
            <w:vAlign w:val="center"/>
          </w:tcPr>
          <w:p>
            <w:pPr>
              <w:spacing w:after="0" w:line="252" w:lineRule="auto"/>
            </w:pPr>
            <w:r>
              <w:rPr>
                <w:rFonts w:ascii="Aptos" w:hAnsi="Aptos" w:eastAsia="Aptos"/>
                <w:b/>
                <w:color w:val="0B2545"/>
                <w:sz w:val="19"/>
              </w:rPr>
              <w:t>Ignatev Estate</w:t>
            </w:r>
          </w:p>
        </w:tc>
        <w:tc>
          <w:tcPr>
            <w:tcW w:type="dxa" w:w="3600"/>
            <w:tcMar>
              <w:top w:w="100" w:type="dxa"/>
              <w:start w:w="130" w:type="dxa"/>
              <w:bottom w:w="100" w:type="dxa"/>
              <w:end w:w="130" w:type="dxa"/>
            </w:tcMar>
            <w:vAlign w:val="center"/>
          </w:tcPr>
          <w:p>
            <w:pPr>
              <w:spacing w:after="0" w:line="252" w:lineRule="auto"/>
            </w:pPr>
            <w:r>
              <w:rPr>
                <w:rFonts w:ascii="Aptos" w:hAnsi="Aptos" w:eastAsia="Aptos"/>
                <w:b w:val="0"/>
                <w:color w:val="1F2933"/>
                <w:sz w:val="19"/>
              </w:rPr>
              <w:t>Отношения с собственником, покупателем, продавцом и партнёром.</w:t>
            </w:r>
          </w:p>
        </w:tc>
        <w:tc>
          <w:tcPr>
            <w:tcW w:type="dxa" w:w="3840"/>
            <w:tcMar>
              <w:top w:w="100" w:type="dxa"/>
              <w:start w:w="130" w:type="dxa"/>
              <w:bottom w:w="100" w:type="dxa"/>
              <w:end w:w="130" w:type="dxa"/>
            </w:tcMar>
            <w:vAlign w:val="center"/>
          </w:tcPr>
          <w:p>
            <w:pPr>
              <w:spacing w:after="0" w:line="252" w:lineRule="auto"/>
            </w:pPr>
            <w:r>
              <w:rPr>
                <w:rFonts w:ascii="Aptos" w:hAnsi="Aptos" w:eastAsia="Aptos"/>
                <w:b w:val="0"/>
                <w:color w:val="1F2933"/>
                <w:sz w:val="19"/>
              </w:rPr>
              <w:t>Мандаты, сделки, инвестиционный профиль, решения, задачи и атрибуция.</w:t>
            </w:r>
          </w:p>
        </w:tc>
      </w:tr>
      <w:tr>
        <w:trPr>
          <w:cantSplit/>
        </w:trPr>
        <w:tc>
          <w:tcPr>
            <w:tcW w:type="dxa" w:w="1920"/>
            <w:tcMar>
              <w:top w:w="100" w:type="dxa"/>
              <w:start w:w="130" w:type="dxa"/>
              <w:bottom w:w="100" w:type="dxa"/>
              <w:end w:w="130" w:type="dxa"/>
            </w:tcMar>
            <w:vAlign w:val="center"/>
            <w:shd w:fill="FAFBFC"/>
          </w:tcPr>
          <w:p>
            <w:pPr>
              <w:spacing w:after="0" w:line="252" w:lineRule="auto"/>
            </w:pPr>
            <w:r>
              <w:rPr>
                <w:rFonts w:ascii="Aptos" w:hAnsi="Aptos" w:eastAsia="Aptos"/>
                <w:b/>
                <w:color w:val="0B2545"/>
                <w:sz w:val="19"/>
              </w:rPr>
              <w:t>myUNO</w:t>
            </w:r>
          </w:p>
        </w:tc>
        <w:tc>
          <w:tcPr>
            <w:tcW w:type="dxa" w:w="360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Гостевой и резидентский опыт, бронирования и обслуживание.</w:t>
            </w:r>
          </w:p>
        </w:tc>
        <w:tc>
          <w:tcPr>
            <w:tcW w:type="dxa" w:w="384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Проживания, предпочтения, сервисные обращения, повторный спрос и качество.</w:t>
            </w:r>
          </w:p>
        </w:tc>
      </w:tr>
      <w:tr>
        <w:trPr>
          <w:cantSplit/>
        </w:trPr>
        <w:tc>
          <w:tcPr>
            <w:tcW w:type="dxa" w:w="1920"/>
            <w:tcMar>
              <w:top w:w="100" w:type="dxa"/>
              <w:start w:w="130" w:type="dxa"/>
              <w:bottom w:w="100" w:type="dxa"/>
              <w:end w:w="130" w:type="dxa"/>
            </w:tcMar>
            <w:vAlign w:val="center"/>
          </w:tcPr>
          <w:p>
            <w:pPr>
              <w:spacing w:after="0" w:line="252" w:lineRule="auto"/>
            </w:pPr>
            <w:r>
              <w:rPr>
                <w:rFonts w:ascii="Aptos" w:hAnsi="Aptos" w:eastAsia="Aptos"/>
                <w:b/>
                <w:color w:val="0B2545"/>
                <w:sz w:val="19"/>
              </w:rPr>
              <w:t>ClearView</w:t>
            </w:r>
          </w:p>
        </w:tc>
        <w:tc>
          <w:tcPr>
            <w:tcW w:type="dxa" w:w="3600"/>
            <w:tcMar>
              <w:top w:w="100" w:type="dxa"/>
              <w:start w:w="130" w:type="dxa"/>
              <w:bottom w:w="100" w:type="dxa"/>
              <w:end w:w="130" w:type="dxa"/>
            </w:tcMar>
            <w:vAlign w:val="center"/>
          </w:tcPr>
          <w:p>
            <w:pPr>
              <w:spacing w:after="0" w:line="252" w:lineRule="auto"/>
            </w:pPr>
            <w:r>
              <w:rPr>
                <w:rFonts w:ascii="Aptos" w:hAnsi="Aptos" w:eastAsia="Aptos"/>
                <w:b w:val="0"/>
                <w:color w:val="1F2933"/>
                <w:sz w:val="19"/>
              </w:rPr>
              <w:t>Underwriting активов и доказательная база.</w:t>
            </w:r>
          </w:p>
        </w:tc>
        <w:tc>
          <w:tcPr>
            <w:tcW w:type="dxa" w:w="3840"/>
            <w:tcMar>
              <w:top w:w="100" w:type="dxa"/>
              <w:start w:w="130" w:type="dxa"/>
              <w:bottom w:w="100" w:type="dxa"/>
              <w:end w:w="130" w:type="dxa"/>
            </w:tcMar>
            <w:vAlign w:val="center"/>
          </w:tcPr>
          <w:p>
            <w:pPr>
              <w:spacing w:after="0" w:line="252" w:lineRule="auto"/>
            </w:pPr>
            <w:r>
              <w:rPr>
                <w:rFonts w:ascii="Aptos" w:hAnsi="Aptos" w:eastAsia="Aptos"/>
                <w:b w:val="0"/>
                <w:color w:val="1F2933"/>
                <w:sz w:val="19"/>
              </w:rPr>
              <w:t>Проверки, риски, источники, статусы и даты обновления информации об объекте.</w:t>
            </w:r>
          </w:p>
        </w:tc>
      </w:tr>
      <w:tr>
        <w:trPr>
          <w:cantSplit/>
        </w:trPr>
        <w:tc>
          <w:tcPr>
            <w:tcW w:type="dxa" w:w="1920"/>
            <w:tcMar>
              <w:top w:w="100" w:type="dxa"/>
              <w:start w:w="130" w:type="dxa"/>
              <w:bottom w:w="100" w:type="dxa"/>
              <w:end w:w="130" w:type="dxa"/>
            </w:tcMar>
            <w:vAlign w:val="center"/>
            <w:shd w:fill="FAFBFC"/>
          </w:tcPr>
          <w:p>
            <w:pPr>
              <w:spacing w:after="0" w:line="252" w:lineRule="auto"/>
            </w:pPr>
            <w:r>
              <w:rPr>
                <w:rFonts w:ascii="Aptos" w:hAnsi="Aptos" w:eastAsia="Aptos"/>
                <w:b/>
                <w:color w:val="0B2545"/>
                <w:sz w:val="19"/>
              </w:rPr>
              <w:t>Финансовый контур</w:t>
            </w:r>
          </w:p>
        </w:tc>
        <w:tc>
          <w:tcPr>
            <w:tcW w:type="dxa" w:w="360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Расчёты актива, собственника, каналов и партнёров.</w:t>
            </w:r>
          </w:p>
        </w:tc>
        <w:tc>
          <w:tcPr>
            <w:tcW w:type="dxa" w:w="384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Начисления, выплаты, комиссии, расходы и подтверждающие документы.</w:t>
            </w:r>
          </w:p>
        </w:tc>
      </w:tr>
    </w:tbl>
    <w:p>
      <w:pPr>
        <w:spacing w:before="0" w:after="40" w:line="264" w:lineRule="auto"/>
        <w:jc w:val="left"/>
      </w:pPr>
    </w:p>
    <w:p>
      <w:pPr>
        <w:spacing w:before="0" w:after="120" w:line="264" w:lineRule="auto"/>
        <w:jc w:val="left"/>
      </w:pPr>
      <w:r>
        <w:rPr>
          <w:rFonts w:ascii="Aptos" w:hAnsi="Aptos" w:eastAsia="Aptos"/>
          <w:b w:val="0"/>
          <w:i/>
          <w:color w:val="5E6B75"/>
          <w:sz w:val="22"/>
        </w:rPr>
        <w:t>Централизация не означает неограниченный доступ. Команда видит только данные, необходимые для её роли; существенные изменения журналируются; экспорт, удаление, сроки хранения и использование для маркетинга регулируются политикой данных и применимыми требованиями Thai PDPA.</w:t>
      </w:r>
    </w:p>
    <w:p>
      <w:pPr>
        <w:pStyle w:val="Heading2"/>
        <w:keepNext/>
      </w:pPr>
      <w:r>
        <w:t>6.4. Клиентский lifecycle</w:t>
      </w:r>
    </w:p>
    <w:p>
      <w:pPr>
        <w:spacing w:before="0" w:after="120" w:line="264" w:lineRule="auto"/>
        <w:jc w:val="left"/>
      </w:pPr>
      <w:r>
        <w:rPr>
          <w:rFonts w:ascii="Aptos" w:hAnsi="Aptos" w:eastAsia="Aptos"/>
          <w:b w:val="0"/>
          <w:i w:val="0"/>
          <w:color w:val="1F2933"/>
          <w:sz w:val="22"/>
        </w:rPr>
        <w:t>Компания управляет клиентом как долгосрочными отношениями, а не как отдельным лидом или бронированием. Основная цепочка выглядит следующим образом:</w:t>
      </w:r>
    </w:p>
    <w:tbl>
      <w:tblPr>
        <w:tblW w:type="dxa" w:w="9360"/>
        <w:jc w:val="left"/>
        <w:tblLayout w:type="fixed"/>
        <w:tblLook w:firstColumn="1" w:firstRow="1" w:lastColumn="0" w:lastRow="0" w:noHBand="0" w:noVBand="1" w:val="04A0"/>
        <w:tblInd w:w="120" w:type="dxa"/>
        <w:tblBorders>
          <w:top w:val="single" w:sz="6" w:space="0" w:color="D6DCE2"/>
          <w:left w:val="single" w:sz="6" w:space="0" w:color="D6DCE2"/>
          <w:bottom w:val="single" w:sz="6" w:space="0" w:color="D6DCE2"/>
          <w:right w:val="single" w:sz="6" w:space="0" w:color="D6DCE2"/>
          <w:insideH w:val="single" w:sz="6" w:space="0" w:color="D6DCE2"/>
          <w:insideV w:val="single" w:sz="6" w:space="0" w:color="D6DCE2"/>
        </w:tblBorders>
      </w:tblPr>
      <w:tblGrid>
        <w:gridCol w:w="1920"/>
        <w:gridCol w:w="4200"/>
        <w:gridCol w:w="3240"/>
      </w:tblGrid>
      <w:tr>
        <w:trPr>
          <w:tblHeader w:val="true"/>
          <w:cantSplit/>
        </w:trPr>
        <w:tc>
          <w:tcPr>
            <w:tcW w:type="dxa" w:w="1920"/>
            <w:shd w:fill="0B2545"/>
            <w:tcMar>
              <w:top w:w="100" w:type="dxa"/>
              <w:start w:w="130" w:type="dxa"/>
              <w:bottom w:w="100" w:type="dxa"/>
              <w:end w:w="130" w:type="dxa"/>
            </w:tcMar>
            <w:vAlign w:val="center"/>
          </w:tcPr>
          <w:p>
            <w:pPr>
              <w:spacing w:after="0" w:line="240" w:lineRule="auto"/>
            </w:pPr>
            <w:r>
              <w:rPr>
                <w:rFonts w:ascii="Aptos" w:hAnsi="Aptos" w:eastAsia="Aptos"/>
                <w:b/>
                <w:color w:val="FFFFFF"/>
                <w:sz w:val="19"/>
              </w:rPr>
              <w:t>СТАДИЯ</w:t>
            </w:r>
          </w:p>
        </w:tc>
        <w:tc>
          <w:tcPr>
            <w:tcW w:type="dxa" w:w="4200"/>
            <w:shd w:fill="0B2545"/>
            <w:tcMar>
              <w:top w:w="100" w:type="dxa"/>
              <w:start w:w="130" w:type="dxa"/>
              <w:bottom w:w="100" w:type="dxa"/>
              <w:end w:w="130" w:type="dxa"/>
            </w:tcMar>
            <w:vAlign w:val="center"/>
          </w:tcPr>
          <w:p>
            <w:pPr>
              <w:spacing w:after="0" w:line="240" w:lineRule="auto"/>
            </w:pPr>
            <w:r>
              <w:rPr>
                <w:rFonts w:ascii="Aptos" w:hAnsi="Aptos" w:eastAsia="Aptos"/>
                <w:b/>
                <w:color w:val="FFFFFF"/>
                <w:sz w:val="19"/>
              </w:rPr>
              <w:t>ЦЕЛЬ КОМПАНИИ</w:t>
            </w:r>
          </w:p>
        </w:tc>
        <w:tc>
          <w:tcPr>
            <w:tcW w:type="dxa" w:w="3240"/>
            <w:shd w:fill="0B2545"/>
            <w:tcMar>
              <w:top w:w="100" w:type="dxa"/>
              <w:start w:w="130" w:type="dxa"/>
              <w:bottom w:w="100" w:type="dxa"/>
              <w:end w:w="130" w:type="dxa"/>
            </w:tcMar>
            <w:vAlign w:val="center"/>
          </w:tcPr>
          <w:p>
            <w:pPr>
              <w:spacing w:after="0" w:line="240" w:lineRule="auto"/>
            </w:pPr>
            <w:r>
              <w:rPr>
                <w:rFonts w:ascii="Aptos" w:hAnsi="Aptos" w:eastAsia="Aptos"/>
                <w:b/>
                <w:color w:val="FFFFFF"/>
                <w:sz w:val="19"/>
              </w:rPr>
              <w:t>КРИТЕРИЙ ПЕРЕХОДА</w:t>
            </w:r>
          </w:p>
        </w:tc>
      </w:tr>
      <w:tr>
        <w:trPr>
          <w:cantSplit/>
        </w:trPr>
        <w:tc>
          <w:tcPr>
            <w:tcW w:type="dxa" w:w="1920"/>
            <w:tcMar>
              <w:top w:w="100" w:type="dxa"/>
              <w:start w:w="130" w:type="dxa"/>
              <w:bottom w:w="100" w:type="dxa"/>
              <w:end w:w="130" w:type="dxa"/>
            </w:tcMar>
            <w:vAlign w:val="center"/>
          </w:tcPr>
          <w:p>
            <w:pPr>
              <w:spacing w:after="0" w:line="252" w:lineRule="auto"/>
            </w:pPr>
            <w:r>
              <w:rPr>
                <w:rFonts w:ascii="Aptos" w:hAnsi="Aptos" w:eastAsia="Aptos"/>
                <w:b/>
                <w:color w:val="0B2545"/>
                <w:sz w:val="19"/>
              </w:rPr>
              <w:t>Контакт</w:t>
            </w:r>
          </w:p>
        </w:tc>
        <w:tc>
          <w:tcPr>
            <w:tcW w:type="dxa" w:w="4200"/>
            <w:tcMar>
              <w:top w:w="100" w:type="dxa"/>
              <w:start w:w="130" w:type="dxa"/>
              <w:bottom w:w="100" w:type="dxa"/>
              <w:end w:w="130" w:type="dxa"/>
            </w:tcMar>
            <w:vAlign w:val="center"/>
          </w:tcPr>
          <w:p>
            <w:pPr>
              <w:spacing w:after="0" w:line="252" w:lineRule="auto"/>
            </w:pPr>
            <w:r>
              <w:rPr>
                <w:rFonts w:ascii="Aptos" w:hAnsi="Aptos" w:eastAsia="Aptos"/>
                <w:b w:val="0"/>
                <w:color w:val="1F2933"/>
                <w:sz w:val="19"/>
              </w:rPr>
              <w:t>Идентифицировать человека, источник и разрешённый канал связи.</w:t>
            </w:r>
          </w:p>
        </w:tc>
        <w:tc>
          <w:tcPr>
            <w:tcW w:type="dxa" w:w="3240"/>
            <w:tcMar>
              <w:top w:w="100" w:type="dxa"/>
              <w:start w:w="130" w:type="dxa"/>
              <w:bottom w:w="100" w:type="dxa"/>
              <w:end w:w="130" w:type="dxa"/>
            </w:tcMar>
            <w:vAlign w:val="center"/>
          </w:tcPr>
          <w:p>
            <w:pPr>
              <w:spacing w:after="0" w:line="252" w:lineRule="auto"/>
            </w:pPr>
            <w:r>
              <w:rPr>
                <w:rFonts w:ascii="Aptos" w:hAnsi="Aptos" w:eastAsia="Aptos"/>
                <w:b w:val="0"/>
                <w:color w:val="1F2933"/>
                <w:sz w:val="19"/>
              </w:rPr>
              <w:t>Создан Party ID и зафиксирована цель обращения.</w:t>
            </w:r>
          </w:p>
        </w:tc>
      </w:tr>
      <w:tr>
        <w:trPr>
          <w:cantSplit/>
        </w:trPr>
        <w:tc>
          <w:tcPr>
            <w:tcW w:type="dxa" w:w="1920"/>
            <w:tcMar>
              <w:top w:w="100" w:type="dxa"/>
              <w:start w:w="130" w:type="dxa"/>
              <w:bottom w:w="100" w:type="dxa"/>
              <w:end w:w="130" w:type="dxa"/>
            </w:tcMar>
            <w:vAlign w:val="center"/>
            <w:shd w:fill="FAFBFC"/>
          </w:tcPr>
          <w:p>
            <w:pPr>
              <w:spacing w:after="0" w:line="252" w:lineRule="auto"/>
            </w:pPr>
            <w:r>
              <w:rPr>
                <w:rFonts w:ascii="Aptos" w:hAnsi="Aptos" w:eastAsia="Aptos"/>
                <w:b/>
                <w:color w:val="0B2545"/>
                <w:sz w:val="19"/>
              </w:rPr>
              <w:t>Гость / резидент</w:t>
            </w:r>
          </w:p>
        </w:tc>
        <w:tc>
          <w:tcPr>
            <w:tcW w:type="dxa" w:w="420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Дать безупречный опыт и создать прямые отношения.</w:t>
            </w:r>
          </w:p>
        </w:tc>
        <w:tc>
          <w:tcPr>
            <w:tcW w:type="dxa" w:w="324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Проживание завершено; сервисные вопросы закрыты; получена обратная связь.</w:t>
            </w:r>
          </w:p>
        </w:tc>
      </w:tr>
      <w:tr>
        <w:trPr>
          <w:cantSplit/>
        </w:trPr>
        <w:tc>
          <w:tcPr>
            <w:tcW w:type="dxa" w:w="1920"/>
            <w:tcMar>
              <w:top w:w="100" w:type="dxa"/>
              <w:start w:w="130" w:type="dxa"/>
              <w:bottom w:w="100" w:type="dxa"/>
              <w:end w:w="130" w:type="dxa"/>
            </w:tcMar>
            <w:vAlign w:val="center"/>
          </w:tcPr>
          <w:p>
            <w:pPr>
              <w:spacing w:after="0" w:line="252" w:lineRule="auto"/>
            </w:pPr>
            <w:r>
              <w:rPr>
                <w:rFonts w:ascii="Aptos" w:hAnsi="Aptos" w:eastAsia="Aptos"/>
                <w:b/>
                <w:color w:val="0B2545"/>
                <w:sz w:val="19"/>
              </w:rPr>
              <w:t>Повторный клиент</w:t>
            </w:r>
          </w:p>
        </w:tc>
        <w:tc>
          <w:tcPr>
            <w:tcW w:type="dxa" w:w="4200"/>
            <w:tcMar>
              <w:top w:w="100" w:type="dxa"/>
              <w:start w:w="130" w:type="dxa"/>
              <w:bottom w:w="100" w:type="dxa"/>
              <w:end w:w="130" w:type="dxa"/>
            </w:tcMar>
            <w:vAlign w:val="center"/>
          </w:tcPr>
          <w:p>
            <w:pPr>
              <w:spacing w:after="0" w:line="252" w:lineRule="auto"/>
            </w:pPr>
            <w:r>
              <w:rPr>
                <w:rFonts w:ascii="Aptos" w:hAnsi="Aptos" w:eastAsia="Aptos"/>
                <w:b w:val="0"/>
                <w:color w:val="1F2933"/>
                <w:sz w:val="19"/>
              </w:rPr>
              <w:t>Снизить зависимость от посредников и увеличить lifetime value.</w:t>
            </w:r>
          </w:p>
        </w:tc>
        <w:tc>
          <w:tcPr>
            <w:tcW w:type="dxa" w:w="3240"/>
            <w:tcMar>
              <w:top w:w="100" w:type="dxa"/>
              <w:start w:w="130" w:type="dxa"/>
              <w:bottom w:w="100" w:type="dxa"/>
              <w:end w:w="130" w:type="dxa"/>
            </w:tcMar>
            <w:vAlign w:val="center"/>
          </w:tcPr>
          <w:p>
            <w:pPr>
              <w:spacing w:after="0" w:line="252" w:lineRule="auto"/>
            </w:pPr>
            <w:r>
              <w:rPr>
                <w:rFonts w:ascii="Aptos" w:hAnsi="Aptos" w:eastAsia="Aptos"/>
                <w:b w:val="0"/>
                <w:color w:val="1F2933"/>
                <w:sz w:val="19"/>
              </w:rPr>
              <w:t>Повторное обращение или прямое бронирование.</w:t>
            </w:r>
          </w:p>
        </w:tc>
      </w:tr>
      <w:tr>
        <w:trPr>
          <w:cantSplit/>
        </w:trPr>
        <w:tc>
          <w:tcPr>
            <w:tcW w:type="dxa" w:w="1920"/>
            <w:tcMar>
              <w:top w:w="100" w:type="dxa"/>
              <w:start w:w="130" w:type="dxa"/>
              <w:bottom w:w="100" w:type="dxa"/>
              <w:end w:w="130" w:type="dxa"/>
            </w:tcMar>
            <w:vAlign w:val="center"/>
            <w:shd w:fill="FAFBFC"/>
          </w:tcPr>
          <w:p>
            <w:pPr>
              <w:spacing w:after="0" w:line="252" w:lineRule="auto"/>
            </w:pPr>
            <w:r>
              <w:rPr>
                <w:rFonts w:ascii="Aptos" w:hAnsi="Aptos" w:eastAsia="Aptos"/>
                <w:b/>
                <w:color w:val="0B2545"/>
                <w:sz w:val="19"/>
              </w:rPr>
              <w:t>Инвестиционный интерес</w:t>
            </w:r>
          </w:p>
        </w:tc>
        <w:tc>
          <w:tcPr>
            <w:tcW w:type="dxa" w:w="420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Понять, существует ли реальное намерение владеть активом.</w:t>
            </w:r>
          </w:p>
        </w:tc>
        <w:tc>
          <w:tcPr>
            <w:tcW w:type="dxa" w:w="324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Клиент сам проявил интерес либо согласился на релевантный разговор.</w:t>
            </w:r>
          </w:p>
        </w:tc>
      </w:tr>
      <w:tr>
        <w:trPr>
          <w:cantSplit/>
        </w:trPr>
        <w:tc>
          <w:tcPr>
            <w:tcW w:type="dxa" w:w="1920"/>
            <w:tcMar>
              <w:top w:w="100" w:type="dxa"/>
              <w:start w:w="130" w:type="dxa"/>
              <w:bottom w:w="100" w:type="dxa"/>
              <w:end w:w="130" w:type="dxa"/>
            </w:tcMar>
            <w:vAlign w:val="center"/>
          </w:tcPr>
          <w:p>
            <w:pPr>
              <w:spacing w:after="0" w:line="252" w:lineRule="auto"/>
            </w:pPr>
            <w:r>
              <w:rPr>
                <w:rFonts w:ascii="Aptos" w:hAnsi="Aptos" w:eastAsia="Aptos"/>
                <w:b/>
                <w:color w:val="0B2545"/>
                <w:sz w:val="19"/>
              </w:rPr>
              <w:t>Квалифицированный покупатель</w:t>
            </w:r>
          </w:p>
        </w:tc>
        <w:tc>
          <w:tcPr>
            <w:tcW w:type="dxa" w:w="4200"/>
            <w:tcMar>
              <w:top w:w="100" w:type="dxa"/>
              <w:start w:w="130" w:type="dxa"/>
              <w:bottom w:w="100" w:type="dxa"/>
              <w:end w:w="130" w:type="dxa"/>
            </w:tcMar>
            <w:vAlign w:val="center"/>
          </w:tcPr>
          <w:p>
            <w:pPr>
              <w:spacing w:after="0" w:line="252" w:lineRule="auto"/>
            </w:pPr>
            <w:r>
              <w:rPr>
                <w:rFonts w:ascii="Aptos" w:hAnsi="Aptos" w:eastAsia="Aptos"/>
                <w:b w:val="0"/>
                <w:color w:val="1F2933"/>
                <w:sz w:val="19"/>
              </w:rPr>
              <w:t>Зафиксировать бюджет, цель, горизонт, финансирование и критерии выбора.</w:t>
            </w:r>
          </w:p>
        </w:tc>
        <w:tc>
          <w:tcPr>
            <w:tcW w:type="dxa" w:w="3240"/>
            <w:tcMar>
              <w:top w:w="100" w:type="dxa"/>
              <w:start w:w="130" w:type="dxa"/>
              <w:bottom w:w="100" w:type="dxa"/>
              <w:end w:w="130" w:type="dxa"/>
            </w:tcMar>
            <w:vAlign w:val="center"/>
          </w:tcPr>
          <w:p>
            <w:pPr>
              <w:spacing w:after="0" w:line="252" w:lineRule="auto"/>
            </w:pPr>
            <w:r>
              <w:rPr>
                <w:rFonts w:ascii="Aptos" w:hAnsi="Aptos" w:eastAsia="Aptos"/>
                <w:b w:val="0"/>
                <w:color w:val="1F2933"/>
                <w:sz w:val="19"/>
              </w:rPr>
              <w:t>Профиль подтверждён; согласован следующий шаг.</w:t>
            </w:r>
          </w:p>
        </w:tc>
      </w:tr>
      <w:tr>
        <w:trPr>
          <w:cantSplit/>
        </w:trPr>
        <w:tc>
          <w:tcPr>
            <w:tcW w:type="dxa" w:w="1920"/>
            <w:tcMar>
              <w:top w:w="100" w:type="dxa"/>
              <w:start w:w="130" w:type="dxa"/>
              <w:bottom w:w="100" w:type="dxa"/>
              <w:end w:w="130" w:type="dxa"/>
            </w:tcMar>
            <w:vAlign w:val="center"/>
            <w:shd w:fill="FAFBFC"/>
          </w:tcPr>
          <w:p>
            <w:pPr>
              <w:spacing w:after="0" w:line="252" w:lineRule="auto"/>
            </w:pPr>
            <w:r>
              <w:rPr>
                <w:rFonts w:ascii="Aptos" w:hAnsi="Aptos" w:eastAsia="Aptos"/>
                <w:b/>
                <w:color w:val="0B2545"/>
                <w:sz w:val="19"/>
              </w:rPr>
              <w:t>Покупатель</w:t>
            </w:r>
          </w:p>
        </w:tc>
        <w:tc>
          <w:tcPr>
            <w:tcW w:type="dxa" w:w="420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Провести проверенную и прозрачную сделку.</w:t>
            </w:r>
          </w:p>
        </w:tc>
        <w:tc>
          <w:tcPr>
            <w:tcW w:type="dxa" w:w="324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Подписан договор приобретения или иной юридически значимый документ.</w:t>
            </w:r>
          </w:p>
        </w:tc>
      </w:tr>
      <w:tr>
        <w:trPr>
          <w:cantSplit/>
        </w:trPr>
        <w:tc>
          <w:tcPr>
            <w:tcW w:type="dxa" w:w="1920"/>
            <w:tcMar>
              <w:top w:w="100" w:type="dxa"/>
              <w:start w:w="130" w:type="dxa"/>
              <w:bottom w:w="100" w:type="dxa"/>
              <w:end w:w="130" w:type="dxa"/>
            </w:tcMar>
            <w:vAlign w:val="center"/>
          </w:tcPr>
          <w:p>
            <w:pPr>
              <w:spacing w:after="0" w:line="252" w:lineRule="auto"/>
            </w:pPr>
            <w:r>
              <w:rPr>
                <w:rFonts w:ascii="Aptos" w:hAnsi="Aptos" w:eastAsia="Aptos"/>
                <w:b/>
                <w:color w:val="0B2545"/>
                <w:sz w:val="19"/>
              </w:rPr>
              <w:t>Собственник</w:t>
            </w:r>
          </w:p>
        </w:tc>
        <w:tc>
          <w:tcPr>
            <w:tcW w:type="dxa" w:w="4200"/>
            <w:tcMar>
              <w:top w:w="100" w:type="dxa"/>
              <w:start w:w="130" w:type="dxa"/>
              <w:bottom w:w="100" w:type="dxa"/>
              <w:end w:w="130" w:type="dxa"/>
            </w:tcMar>
            <w:vAlign w:val="center"/>
          </w:tcPr>
          <w:p>
            <w:pPr>
              <w:spacing w:after="0" w:line="252" w:lineRule="auto"/>
            </w:pPr>
            <w:r>
              <w:rPr>
                <w:rFonts w:ascii="Aptos" w:hAnsi="Aptos" w:eastAsia="Aptos"/>
                <w:b w:val="0"/>
                <w:color w:val="1F2933"/>
                <w:sz w:val="19"/>
              </w:rPr>
              <w:t>Принять актив в owner-side контур и предложить релевантный мандат.</w:t>
            </w:r>
          </w:p>
        </w:tc>
        <w:tc>
          <w:tcPr>
            <w:tcW w:type="dxa" w:w="3240"/>
            <w:tcMar>
              <w:top w:w="100" w:type="dxa"/>
              <w:start w:w="130" w:type="dxa"/>
              <w:bottom w:w="100" w:type="dxa"/>
              <w:end w:w="130" w:type="dxa"/>
            </w:tcMar>
            <w:vAlign w:val="center"/>
          </w:tcPr>
          <w:p>
            <w:pPr>
              <w:spacing w:after="0" w:line="252" w:lineRule="auto"/>
            </w:pPr>
            <w:r>
              <w:rPr>
                <w:rFonts w:ascii="Aptos" w:hAnsi="Aptos" w:eastAsia="Aptos"/>
                <w:b w:val="0"/>
                <w:color w:val="1F2933"/>
                <w:sz w:val="19"/>
              </w:rPr>
              <w:t>Оформлено право собственности или экономический контроль актива.</w:t>
            </w:r>
          </w:p>
        </w:tc>
      </w:tr>
      <w:tr>
        <w:trPr>
          <w:cantSplit/>
        </w:trPr>
        <w:tc>
          <w:tcPr>
            <w:tcW w:type="dxa" w:w="1920"/>
            <w:tcMar>
              <w:top w:w="100" w:type="dxa"/>
              <w:start w:w="130" w:type="dxa"/>
              <w:bottom w:w="100" w:type="dxa"/>
              <w:end w:w="130" w:type="dxa"/>
            </w:tcMar>
            <w:vAlign w:val="center"/>
            <w:shd w:fill="FAFBFC"/>
          </w:tcPr>
          <w:p>
            <w:pPr>
              <w:spacing w:after="0" w:line="252" w:lineRule="auto"/>
            </w:pPr>
            <w:r>
              <w:rPr>
                <w:rFonts w:ascii="Aptos" w:hAnsi="Aptos" w:eastAsia="Aptos"/>
                <w:b/>
                <w:color w:val="0B2545"/>
                <w:sz w:val="19"/>
              </w:rPr>
              <w:t>Управляемый собственник</w:t>
            </w:r>
          </w:p>
        </w:tc>
        <w:tc>
          <w:tcPr>
            <w:tcW w:type="dxa" w:w="420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Создать подтверждённый результат, следующий актив, выход или рекомендацию.</w:t>
            </w:r>
          </w:p>
        </w:tc>
        <w:tc>
          <w:tcPr>
            <w:tcW w:type="dxa" w:w="324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Подписан мандат; актив введён в управление.</w:t>
            </w:r>
          </w:p>
        </w:tc>
      </w:tr>
    </w:tbl>
    <w:p>
      <w:pPr>
        <w:spacing w:before="0" w:after="40" w:line="264" w:lineRule="auto"/>
        <w:jc w:val="left"/>
      </w:pPr>
    </w:p>
    <w:p>
      <w:pPr>
        <w:pStyle w:val="Heading2"/>
        <w:keepNext/>
      </w:pPr>
      <w:r>
        <w:t>6.5. Управление переходом «гость → собственник»</w:t>
      </w:r>
    </w:p>
    <w:p>
      <w:pPr>
        <w:spacing w:before="0" w:after="120" w:line="264" w:lineRule="auto"/>
        <w:jc w:val="left"/>
      </w:pPr>
      <w:r>
        <w:rPr>
          <w:rFonts w:ascii="Aptos" w:hAnsi="Aptos" w:eastAsia="Aptos"/>
          <w:b w:val="0"/>
          <w:i w:val="0"/>
          <w:color w:val="1F2933"/>
          <w:sz w:val="22"/>
        </w:rPr>
        <w:t>Переход не является автоматической продажей каждому гостю. Он начинается только при наличии контекста и сигнала намерения: повторные поездки, длительное проживание, запрос о рынке или доходности, интерес к конкретной локации, обсуждение переезда, школы, владения или просмотра объекта.</w:t>
      </w:r>
    </w:p>
    <w:p>
      <w:pPr>
        <w:pStyle w:val="ListBullet"/>
        <w:spacing w:after="80" w:line="264" w:lineRule="auto"/>
      </w:pPr>
      <w:r>
        <w:rPr>
          <w:rFonts w:ascii="Aptos" w:hAnsi="Aptos" w:eastAsia="Aptos"/>
          <w:b/>
          <w:color w:val="0B2545"/>
          <w:sz w:val="22"/>
        </w:rPr>
        <w:t>Сначала сервис.</w:t>
      </w:r>
      <w:r>
        <w:rPr>
          <w:rFonts w:ascii="Aptos" w:hAnsi="Aptos" w:eastAsia="Aptos"/>
          <w:color w:val="1F2933"/>
          <w:sz w:val="22"/>
        </w:rPr>
        <w:t xml:space="preserve"> Пока существует нерешённая жалоба, спор, возврат или операционный инцидент, продажа недвижимости клиенту блокируется.</w:t>
      </w:r>
    </w:p>
    <w:p>
      <w:pPr>
        <w:pStyle w:val="ListBullet"/>
        <w:spacing w:after="80" w:line="264" w:lineRule="auto"/>
      </w:pPr>
      <w:r>
        <w:rPr>
          <w:rFonts w:ascii="Aptos" w:hAnsi="Aptos" w:eastAsia="Aptos"/>
          <w:b/>
          <w:color w:val="0B2545"/>
          <w:sz w:val="22"/>
        </w:rPr>
        <w:t>Согласие прежде outreach.</w:t>
      </w:r>
      <w:r>
        <w:rPr>
          <w:rFonts w:ascii="Aptos" w:hAnsi="Aptos" w:eastAsia="Aptos"/>
          <w:color w:val="1F2933"/>
          <w:sz w:val="22"/>
        </w:rPr>
        <w:t xml:space="preserve"> Контакт по инвестиционной теме осуществляется в разрешённом канале и с понятным основанием.</w:t>
      </w:r>
    </w:p>
    <w:p>
      <w:pPr>
        <w:pStyle w:val="ListBullet"/>
        <w:spacing w:after="80" w:line="264" w:lineRule="auto"/>
      </w:pPr>
      <w:r>
        <w:rPr>
          <w:rFonts w:ascii="Aptos" w:hAnsi="Aptos" w:eastAsia="Aptos"/>
          <w:b/>
          <w:color w:val="0B2545"/>
          <w:sz w:val="22"/>
        </w:rPr>
        <w:t>Человеческое решение.</w:t>
      </w:r>
      <w:r>
        <w:rPr>
          <w:rFonts w:ascii="Aptos" w:hAnsi="Aptos" w:eastAsia="Aptos"/>
          <w:color w:val="1F2933"/>
          <w:sz w:val="22"/>
        </w:rPr>
        <w:t xml:space="preserve"> Система предлагает сигнал и следующий шаг; квалификацию и обращение подтверждает ответственный сотрудник.</w:t>
      </w:r>
    </w:p>
    <w:p>
      <w:pPr>
        <w:pStyle w:val="ListBullet"/>
        <w:spacing w:after="80" w:line="264" w:lineRule="auto"/>
      </w:pPr>
      <w:r>
        <w:rPr>
          <w:rFonts w:ascii="Aptos" w:hAnsi="Aptos" w:eastAsia="Aptos"/>
          <w:b/>
          <w:color w:val="0B2545"/>
          <w:sz w:val="22"/>
        </w:rPr>
        <w:t>Один владелец отношений.</w:t>
      </w:r>
      <w:r>
        <w:rPr>
          <w:rFonts w:ascii="Aptos" w:hAnsi="Aptos" w:eastAsia="Aptos"/>
          <w:color w:val="1F2933"/>
          <w:sz w:val="22"/>
        </w:rPr>
        <w:t xml:space="preserve"> В каждый момент определён один ответственный за клиентский контекст, даже если участвуют несколько подразделений.</w:t>
      </w:r>
    </w:p>
    <w:p>
      <w:pPr>
        <w:pStyle w:val="ListBullet"/>
        <w:spacing w:after="80" w:line="264" w:lineRule="auto"/>
      </w:pPr>
      <w:r>
        <w:rPr>
          <w:rFonts w:ascii="Aptos" w:hAnsi="Aptos" w:eastAsia="Aptos"/>
          <w:b/>
          <w:color w:val="0B2545"/>
          <w:sz w:val="22"/>
        </w:rPr>
        <w:t>Атрибуция сохраняется.</w:t>
      </w:r>
      <w:r>
        <w:rPr>
          <w:rFonts w:ascii="Aptos" w:hAnsi="Aptos" w:eastAsia="Aptos"/>
          <w:color w:val="1F2933"/>
          <w:sz w:val="22"/>
        </w:rPr>
        <w:t xml:space="preserve"> Источник клиента, агент, реферер и договорённости о комиссии не исчезают при смене роли клиента.</w:t>
      </w:r>
    </w:p>
    <w:p>
      <w:pPr>
        <w:pStyle w:val="ListBullet"/>
        <w:spacing w:after="80" w:line="264" w:lineRule="auto"/>
      </w:pPr>
      <w:r>
        <w:rPr>
          <w:rFonts w:ascii="Aptos" w:hAnsi="Aptos" w:eastAsia="Aptos"/>
          <w:b/>
          <w:color w:val="0B2545"/>
          <w:sz w:val="22"/>
        </w:rPr>
        <w:t>Релевантность вместо давления.</w:t>
      </w:r>
      <w:r>
        <w:rPr>
          <w:rFonts w:ascii="Aptos" w:hAnsi="Aptos" w:eastAsia="Aptos"/>
          <w:color w:val="1F2933"/>
          <w:sz w:val="22"/>
        </w:rPr>
        <w:t xml:space="preserve"> Клиент получает приглашение к разговору, а не скрытую продажу во время проживания.</w:t>
      </w:r>
    </w:p>
    <w:p>
      <w:pPr>
        <w:pStyle w:val="Heading2"/>
        <w:keepNext/>
      </w:pPr>
      <w:r>
        <w:t>6.6. Показатели клиентского контура</w:t>
      </w:r>
    </w:p>
    <w:p>
      <w:pPr>
        <w:pStyle w:val="ListBullet"/>
        <w:spacing w:after="80" w:line="264" w:lineRule="auto"/>
      </w:pPr>
      <w:r>
        <w:rPr>
          <w:rFonts w:ascii="Aptos" w:hAnsi="Aptos" w:eastAsia="Aptos"/>
          <w:color w:val="1F2933"/>
          <w:sz w:val="22"/>
        </w:rPr>
        <w:t>Доля клиентов с единым Party ID и заполненной атрибуцией.</w:t>
      </w:r>
    </w:p>
    <w:p>
      <w:pPr>
        <w:pStyle w:val="ListBullet"/>
        <w:spacing w:after="80" w:line="264" w:lineRule="auto"/>
      </w:pPr>
      <w:r>
        <w:rPr>
          <w:rFonts w:ascii="Aptos" w:hAnsi="Aptos" w:eastAsia="Aptos"/>
          <w:color w:val="1F2933"/>
          <w:sz w:val="22"/>
        </w:rPr>
        <w:t>Доля активных записей с назначенным владельцем отношений и следующим шагом.</w:t>
      </w:r>
    </w:p>
    <w:p>
      <w:pPr>
        <w:pStyle w:val="ListBullet"/>
        <w:spacing w:after="80" w:line="264" w:lineRule="auto"/>
      </w:pPr>
      <w:r>
        <w:rPr>
          <w:rFonts w:ascii="Aptos" w:hAnsi="Aptos" w:eastAsia="Aptos"/>
          <w:color w:val="1F2933"/>
          <w:sz w:val="22"/>
        </w:rPr>
        <w:t>Доля гостей, разрешивших прямую коммуникацию; повторные и прямые бронирования.</w:t>
      </w:r>
    </w:p>
    <w:p>
      <w:pPr>
        <w:pStyle w:val="ListBullet"/>
        <w:spacing w:after="80" w:line="264" w:lineRule="auto"/>
      </w:pPr>
      <w:r>
        <w:rPr>
          <w:rFonts w:ascii="Aptos" w:hAnsi="Aptos" w:eastAsia="Aptos"/>
          <w:color w:val="1F2933"/>
          <w:sz w:val="22"/>
        </w:rPr>
        <w:t>Количество и доля гостей с подтверждённым инвестиционным интересом.</w:t>
      </w:r>
    </w:p>
    <w:p>
      <w:pPr>
        <w:pStyle w:val="ListBullet"/>
        <w:spacing w:after="80" w:line="264" w:lineRule="auto"/>
      </w:pPr>
      <w:r>
        <w:rPr>
          <w:rFonts w:ascii="Aptos" w:hAnsi="Aptos" w:eastAsia="Aptos"/>
          <w:color w:val="1F2933"/>
          <w:sz w:val="22"/>
        </w:rPr>
        <w:t>Конверсия: гость → квалифицированный покупатель → собственник → управляемый собственник.</w:t>
      </w:r>
    </w:p>
    <w:p>
      <w:pPr>
        <w:pStyle w:val="ListBullet"/>
        <w:spacing w:after="80" w:line="264" w:lineRule="auto"/>
      </w:pPr>
      <w:r>
        <w:rPr>
          <w:rFonts w:ascii="Aptos" w:hAnsi="Aptos" w:eastAsia="Aptos"/>
          <w:color w:val="1F2933"/>
          <w:sz w:val="22"/>
        </w:rPr>
        <w:t>Среднее время перехода между стадиями и revenue / contribution margin по клиентской когорте.</w:t>
      </w:r>
    </w:p>
    <w:p>
      <w:pPr>
        <w:pStyle w:val="ListBullet"/>
        <w:spacing w:after="80" w:line="264" w:lineRule="auto"/>
      </w:pPr>
      <w:r>
        <w:rPr>
          <w:rFonts w:ascii="Aptos" w:hAnsi="Aptos" w:eastAsia="Aptos"/>
          <w:color w:val="1F2933"/>
          <w:sz w:val="22"/>
        </w:rPr>
        <w:t>Доля собственников, пришедших из гостевой базы, рекомендаций и соседних активов.</w:t>
      </w:r>
    </w:p>
    <w:p>
      <w:pPr>
        <w:pStyle w:val="ListBullet"/>
        <w:spacing w:after="80" w:line="264" w:lineRule="auto"/>
      </w:pPr>
      <w:r>
        <w:rPr>
          <w:rFonts w:ascii="Aptos" w:hAnsi="Aptos" w:eastAsia="Aptos"/>
          <w:color w:val="1F2933"/>
          <w:sz w:val="22"/>
        </w:rPr>
        <w:t>Количество нарушений согласий, дублирующих контактов и конфликтов атрибуции; целевое значение — ноль.</w:t>
      </w:r>
    </w:p>
    <w:p>
      <w:pPr>
        <w:pStyle w:val="Heading1"/>
        <w:keepNext/>
      </w:pPr>
      <w:r>
        <w:t>7. Market Outreach и Go-to-Market</w:t>
      </w:r>
    </w:p>
    <w:p>
      <w:pPr>
        <w:pStyle w:val="Heading2"/>
        <w:keepNext/>
      </w:pPr>
      <w:r>
        <w:t>7.1. Go-to-Market thesis</w:t>
      </w:r>
    </w:p>
    <w:tbl>
      <w:tblPr>
        <w:tblW w:type="dxa" w:w="9360"/>
        <w:jc w:val="left"/>
        <w:tblLook w:firstColumn="1" w:firstRow="1" w:lastColumn="0" w:lastRow="0" w:noHBand="0" w:noVBand="1" w:val="04A0"/>
        <w:tblInd w:w="120" w:type="dxa"/>
        <w:tblBorders>
          <w:top w:val="single" w:sz="4" w:space="0" w:color="E8EEF5"/>
          <w:left w:val="single" w:sz="4" w:space="0" w:color="E8EEF5"/>
          <w:bottom w:val="single" w:sz="4" w:space="0" w:color="E8EEF5"/>
          <w:right w:val="single" w:sz="4" w:space="0" w:color="E8EEF5"/>
          <w:insideH w:val="single" w:sz="4" w:space="0" w:color="E8EEF5"/>
          <w:insideV w:val="single" w:sz="4" w:space="0" w:color="E8EEF5"/>
        </w:tblBorders>
      </w:tblPr>
      <w:tblGrid>
        <w:gridCol w:w="9360"/>
      </w:tblGrid>
      <w:tr>
        <w:tc>
          <w:tcPr>
            <w:tcW w:type="dxa" w:w="9360"/>
            <w:shd w:fill="E8EEF5"/>
            <w:tcMar>
              <w:top w:w="150" w:type="dxa"/>
              <w:start w:w="180" w:type="dxa"/>
              <w:bottom w:w="150" w:type="dxa"/>
              <w:end w:w="180" w:type="dxa"/>
            </w:tcMar>
          </w:tcPr>
          <w:p>
            <w:pPr>
              <w:spacing w:after="0" w:line="269" w:lineRule="auto"/>
            </w:pPr>
            <w:r>
              <w:rPr>
                <w:rFonts w:ascii="Aptos" w:hAnsi="Aptos" w:eastAsia="Aptos"/>
                <w:b/>
                <w:color w:val="0B2545"/>
                <w:sz w:val="21"/>
              </w:rPr>
              <w:t xml:space="preserve">Стратегия выхода на рынок. </w:t>
            </w:r>
            <w:r>
              <w:rPr>
                <w:rFonts w:ascii="Aptos" w:hAnsi="Aptos" w:eastAsia="Aptos"/>
                <w:color w:val="1F2933"/>
                <w:sz w:val="21"/>
              </w:rPr>
              <w:t>Ignatev Estate растёт не через максимальное количество лидов и листингов, а через плотный портфель управляемых активов, доказанный результат и системное превращение доверия в долгосрочные отношения с собственниками.</w:t>
            </w:r>
          </w:p>
        </w:tc>
      </w:tr>
    </w:tbl>
    <w:p>
      <w:pPr>
        <w:spacing w:before="0" w:after="40" w:line="264" w:lineRule="auto"/>
        <w:jc w:val="left"/>
      </w:pPr>
    </w:p>
    <w:p>
      <w:pPr>
        <w:spacing w:before="0" w:after="120" w:line="264" w:lineRule="auto"/>
        <w:jc w:val="left"/>
      </w:pPr>
      <w:r>
        <w:rPr>
          <w:rFonts w:ascii="Aptos" w:hAnsi="Aptos" w:eastAsia="Aptos"/>
          <w:b w:val="0"/>
          <w:i w:val="0"/>
          <w:color w:val="1F2933"/>
          <w:sz w:val="22"/>
        </w:rPr>
        <w:t>GTM строится вокруг двух взаимосвязанных рынков. На owner market компания получает мандаты на управление и сделки. На guest market myUNO создаёт прямой спрос, опыт и базу отношений. Клиенты переходят между рынками, а единая система сохраняет контекст и экономику этого перехода.</w:t>
      </w:r>
    </w:p>
    <w:p>
      <w:pPr>
        <w:pStyle w:val="Heading2"/>
        <w:keepNext/>
      </w:pPr>
      <w:r>
        <w:t>7.2. Три маховика роста</w:t>
      </w:r>
    </w:p>
    <w:tbl>
      <w:tblPr>
        <w:tblW w:type="dxa" w:w="9360"/>
        <w:jc w:val="left"/>
        <w:tblLayout w:type="fixed"/>
        <w:tblLook w:firstColumn="1" w:firstRow="1" w:lastColumn="0" w:lastRow="0" w:noHBand="0" w:noVBand="1" w:val="04A0"/>
        <w:tblInd w:w="120" w:type="dxa"/>
        <w:tblBorders>
          <w:top w:val="single" w:sz="6" w:space="0" w:color="D6DCE2"/>
          <w:left w:val="single" w:sz="6" w:space="0" w:color="D6DCE2"/>
          <w:bottom w:val="single" w:sz="6" w:space="0" w:color="D6DCE2"/>
          <w:right w:val="single" w:sz="6" w:space="0" w:color="D6DCE2"/>
          <w:insideH w:val="single" w:sz="6" w:space="0" w:color="D6DCE2"/>
          <w:insideV w:val="single" w:sz="6" w:space="0" w:color="D6DCE2"/>
        </w:tblBorders>
      </w:tblPr>
      <w:tblGrid>
        <w:gridCol w:w="1800"/>
        <w:gridCol w:w="4680"/>
        <w:gridCol w:w="2880"/>
      </w:tblGrid>
      <w:tr>
        <w:trPr>
          <w:tblHeader w:val="true"/>
          <w:cantSplit/>
        </w:trPr>
        <w:tc>
          <w:tcPr>
            <w:tcW w:type="dxa" w:w="1800"/>
            <w:shd w:fill="0B2545"/>
            <w:tcMar>
              <w:top w:w="100" w:type="dxa"/>
              <w:start w:w="130" w:type="dxa"/>
              <w:bottom w:w="100" w:type="dxa"/>
              <w:end w:w="130" w:type="dxa"/>
            </w:tcMar>
            <w:vAlign w:val="center"/>
          </w:tcPr>
          <w:p>
            <w:pPr>
              <w:spacing w:after="0" w:line="240" w:lineRule="auto"/>
            </w:pPr>
            <w:r>
              <w:rPr>
                <w:rFonts w:ascii="Aptos" w:hAnsi="Aptos" w:eastAsia="Aptos"/>
                <w:b/>
                <w:color w:val="FFFFFF"/>
                <w:sz w:val="19"/>
              </w:rPr>
              <w:t>МАХОВИК</w:t>
            </w:r>
          </w:p>
        </w:tc>
        <w:tc>
          <w:tcPr>
            <w:tcW w:type="dxa" w:w="4680"/>
            <w:shd w:fill="0B2545"/>
            <w:tcMar>
              <w:top w:w="100" w:type="dxa"/>
              <w:start w:w="130" w:type="dxa"/>
              <w:bottom w:w="100" w:type="dxa"/>
              <w:end w:w="130" w:type="dxa"/>
            </w:tcMar>
            <w:vAlign w:val="center"/>
          </w:tcPr>
          <w:p>
            <w:pPr>
              <w:spacing w:after="0" w:line="240" w:lineRule="auto"/>
            </w:pPr>
            <w:r>
              <w:rPr>
                <w:rFonts w:ascii="Aptos" w:hAnsi="Aptos" w:eastAsia="Aptos"/>
                <w:b/>
                <w:color w:val="FFFFFF"/>
                <w:sz w:val="19"/>
              </w:rPr>
              <w:t>МЕХАНИКА</w:t>
            </w:r>
          </w:p>
        </w:tc>
        <w:tc>
          <w:tcPr>
            <w:tcW w:type="dxa" w:w="2880"/>
            <w:shd w:fill="0B2545"/>
            <w:tcMar>
              <w:top w:w="100" w:type="dxa"/>
              <w:start w:w="130" w:type="dxa"/>
              <w:bottom w:w="100" w:type="dxa"/>
              <w:end w:w="130" w:type="dxa"/>
            </w:tcMar>
            <w:vAlign w:val="center"/>
          </w:tcPr>
          <w:p>
            <w:pPr>
              <w:spacing w:after="0" w:line="240" w:lineRule="auto"/>
            </w:pPr>
            <w:r>
              <w:rPr>
                <w:rFonts w:ascii="Aptos" w:hAnsi="Aptos" w:eastAsia="Aptos"/>
                <w:b/>
                <w:color w:val="FFFFFF"/>
                <w:sz w:val="19"/>
              </w:rPr>
              <w:t>ЭКОНОМИЧЕСКИЙ РЕЗУЛЬТАТ</w:t>
            </w:r>
          </w:p>
        </w:tc>
      </w:tr>
      <w:tr>
        <w:trPr>
          <w:cantSplit/>
        </w:trPr>
        <w:tc>
          <w:tcPr>
            <w:tcW w:type="dxa" w:w="1800"/>
            <w:tcMar>
              <w:top w:w="100" w:type="dxa"/>
              <w:start w:w="130" w:type="dxa"/>
              <w:bottom w:w="100" w:type="dxa"/>
              <w:end w:w="130" w:type="dxa"/>
            </w:tcMar>
            <w:vAlign w:val="center"/>
          </w:tcPr>
          <w:p>
            <w:pPr>
              <w:spacing w:after="0" w:line="252" w:lineRule="auto"/>
            </w:pPr>
            <w:r>
              <w:rPr>
                <w:rFonts w:ascii="Aptos" w:hAnsi="Aptos" w:eastAsia="Aptos"/>
                <w:b/>
                <w:color w:val="0B2545"/>
                <w:sz w:val="19"/>
              </w:rPr>
              <w:t>Owner proof loop</w:t>
            </w:r>
          </w:p>
        </w:tc>
        <w:tc>
          <w:tcPr>
            <w:tcW w:type="dxa" w:w="4680"/>
            <w:tcMar>
              <w:top w:w="100" w:type="dxa"/>
              <w:start w:w="130" w:type="dxa"/>
              <w:bottom w:w="100" w:type="dxa"/>
              <w:end w:w="130" w:type="dxa"/>
            </w:tcMar>
            <w:vAlign w:val="center"/>
          </w:tcPr>
          <w:p>
            <w:pPr>
              <w:spacing w:after="0" w:line="252" w:lineRule="auto"/>
            </w:pPr>
            <w:r>
              <w:rPr>
                <w:rFonts w:ascii="Aptos" w:hAnsi="Aptos" w:eastAsia="Aptos"/>
                <w:b w:val="0"/>
                <w:color w:val="1F2933"/>
                <w:sz w:val="19"/>
              </w:rPr>
              <w:t>Мандат → улучшение и прозрачность → кейс → рекомендации и соседние собственники → новые мандаты.</w:t>
            </w:r>
          </w:p>
        </w:tc>
        <w:tc>
          <w:tcPr>
            <w:tcW w:type="dxa" w:w="2880"/>
            <w:tcMar>
              <w:top w:w="100" w:type="dxa"/>
              <w:start w:w="130" w:type="dxa"/>
              <w:bottom w:w="100" w:type="dxa"/>
              <w:end w:w="130" w:type="dxa"/>
            </w:tcMar>
            <w:vAlign w:val="center"/>
          </w:tcPr>
          <w:p>
            <w:pPr>
              <w:spacing w:after="0" w:line="252" w:lineRule="auto"/>
            </w:pPr>
            <w:r>
              <w:rPr>
                <w:rFonts w:ascii="Aptos" w:hAnsi="Aptos" w:eastAsia="Aptos"/>
                <w:b w:val="0"/>
                <w:color w:val="1F2933"/>
                <w:sz w:val="19"/>
              </w:rPr>
              <w:t>Recurring management income, плотность и transaction pipeline.</w:t>
            </w:r>
          </w:p>
        </w:tc>
      </w:tr>
      <w:tr>
        <w:trPr>
          <w:cantSplit/>
        </w:trPr>
        <w:tc>
          <w:tcPr>
            <w:tcW w:type="dxa" w:w="1800"/>
            <w:tcMar>
              <w:top w:w="100" w:type="dxa"/>
              <w:start w:w="130" w:type="dxa"/>
              <w:bottom w:w="100" w:type="dxa"/>
              <w:end w:w="130" w:type="dxa"/>
            </w:tcMar>
            <w:vAlign w:val="center"/>
            <w:shd w:fill="FAFBFC"/>
          </w:tcPr>
          <w:p>
            <w:pPr>
              <w:spacing w:after="0" w:line="252" w:lineRule="auto"/>
            </w:pPr>
            <w:r>
              <w:rPr>
                <w:rFonts w:ascii="Aptos" w:hAnsi="Aptos" w:eastAsia="Aptos"/>
                <w:b/>
                <w:color w:val="0B2545"/>
                <w:sz w:val="19"/>
              </w:rPr>
              <w:t>Guest-to-owner loop</w:t>
            </w:r>
          </w:p>
        </w:tc>
        <w:tc>
          <w:tcPr>
            <w:tcW w:type="dxa" w:w="468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Прямое проживание → доверие → повторный контакт → инвестиционный интерес → покупка → управление.</w:t>
            </w:r>
          </w:p>
        </w:tc>
        <w:tc>
          <w:tcPr>
            <w:tcW w:type="dxa" w:w="288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Прямая аренда, комиссия сделки и новый актив под мандатом.</w:t>
            </w:r>
          </w:p>
        </w:tc>
      </w:tr>
      <w:tr>
        <w:trPr>
          <w:cantSplit/>
        </w:trPr>
        <w:tc>
          <w:tcPr>
            <w:tcW w:type="dxa" w:w="1800"/>
            <w:tcMar>
              <w:top w:w="100" w:type="dxa"/>
              <w:start w:w="130" w:type="dxa"/>
              <w:bottom w:w="100" w:type="dxa"/>
              <w:end w:w="130" w:type="dxa"/>
            </w:tcMar>
            <w:vAlign w:val="center"/>
          </w:tcPr>
          <w:p>
            <w:pPr>
              <w:spacing w:after="0" w:line="252" w:lineRule="auto"/>
            </w:pPr>
            <w:r>
              <w:rPr>
                <w:rFonts w:ascii="Aptos" w:hAnsi="Aptos" w:eastAsia="Aptos"/>
                <w:b/>
                <w:color w:val="0B2545"/>
                <w:sz w:val="19"/>
              </w:rPr>
              <w:t>Developer loop</w:t>
            </w:r>
          </w:p>
        </w:tc>
        <w:tc>
          <w:tcPr>
            <w:tcW w:type="dxa" w:w="4680"/>
            <w:tcMar>
              <w:top w:w="100" w:type="dxa"/>
              <w:start w:w="130" w:type="dxa"/>
              <w:bottom w:w="100" w:type="dxa"/>
              <w:end w:w="130" w:type="dxa"/>
            </w:tcMar>
            <w:vAlign w:val="center"/>
          </w:tcPr>
          <w:p>
            <w:pPr>
              <w:spacing w:after="0" w:line="252" w:lineRule="auto"/>
            </w:pPr>
            <w:r>
              <w:rPr>
                <w:rFonts w:ascii="Aptos" w:hAnsi="Aptos" w:eastAsia="Aptos"/>
                <w:b w:val="0"/>
                <w:color w:val="1F2933"/>
                <w:sz w:val="19"/>
              </w:rPr>
              <w:t>Pre-opening mandate → управляемый продукт → поддержка продаж → переданные юниты → кластер управления.</w:t>
            </w:r>
          </w:p>
        </w:tc>
        <w:tc>
          <w:tcPr>
            <w:tcW w:type="dxa" w:w="2880"/>
            <w:tcMar>
              <w:top w:w="100" w:type="dxa"/>
              <w:start w:w="130" w:type="dxa"/>
              <w:bottom w:w="100" w:type="dxa"/>
              <w:end w:w="130" w:type="dxa"/>
            </w:tcMar>
            <w:vAlign w:val="center"/>
          </w:tcPr>
          <w:p>
            <w:pPr>
              <w:spacing w:after="0" w:line="252" w:lineRule="auto"/>
            </w:pPr>
            <w:r>
              <w:rPr>
                <w:rFonts w:ascii="Aptos" w:hAnsi="Aptos" w:eastAsia="Aptos"/>
                <w:b w:val="0"/>
                <w:color w:val="1F2933"/>
                <w:sz w:val="19"/>
              </w:rPr>
              <w:t>Проектный гонорар, распределённый портфель и будущие сделки.</w:t>
            </w:r>
          </w:p>
        </w:tc>
      </w:tr>
    </w:tbl>
    <w:p>
      <w:pPr>
        <w:spacing w:before="0" w:after="40" w:line="264" w:lineRule="auto"/>
        <w:jc w:val="left"/>
      </w:pPr>
    </w:p>
    <w:p>
      <w:pPr>
        <w:pStyle w:val="Heading2"/>
        <w:keepNext/>
      </w:pPr>
      <w:r>
        <w:t>7.3. Приоритетные рыночные сегменты</w:t>
      </w:r>
    </w:p>
    <w:tbl>
      <w:tblPr>
        <w:tblW w:type="dxa" w:w="9360"/>
        <w:jc w:val="left"/>
        <w:tblLayout w:type="fixed"/>
        <w:tblLook w:firstColumn="1" w:firstRow="1" w:lastColumn="0" w:lastRow="0" w:noHBand="0" w:noVBand="1" w:val="04A0"/>
        <w:tblInd w:w="120" w:type="dxa"/>
        <w:tblBorders>
          <w:top w:val="single" w:sz="6" w:space="0" w:color="D6DCE2"/>
          <w:left w:val="single" w:sz="6" w:space="0" w:color="D6DCE2"/>
          <w:bottom w:val="single" w:sz="6" w:space="0" w:color="D6DCE2"/>
          <w:right w:val="single" w:sz="6" w:space="0" w:color="D6DCE2"/>
          <w:insideH w:val="single" w:sz="6" w:space="0" w:color="D6DCE2"/>
          <w:insideV w:val="single" w:sz="6" w:space="0" w:color="D6DCE2"/>
        </w:tblBorders>
      </w:tblPr>
      <w:tblGrid>
        <w:gridCol w:w="1980"/>
        <w:gridCol w:w="3960"/>
        <w:gridCol w:w="3420"/>
      </w:tblGrid>
      <w:tr>
        <w:trPr>
          <w:tblHeader w:val="true"/>
          <w:cantSplit/>
        </w:trPr>
        <w:tc>
          <w:tcPr>
            <w:tcW w:type="dxa" w:w="1980"/>
            <w:shd w:fill="0B2545"/>
            <w:tcMar>
              <w:top w:w="100" w:type="dxa"/>
              <w:start w:w="130" w:type="dxa"/>
              <w:bottom w:w="100" w:type="dxa"/>
              <w:end w:w="130" w:type="dxa"/>
            </w:tcMar>
            <w:vAlign w:val="center"/>
          </w:tcPr>
          <w:p>
            <w:pPr>
              <w:spacing w:after="0" w:line="240" w:lineRule="auto"/>
            </w:pPr>
            <w:r>
              <w:rPr>
                <w:rFonts w:ascii="Aptos" w:hAnsi="Aptos" w:eastAsia="Aptos"/>
                <w:b/>
                <w:color w:val="FFFFFF"/>
                <w:sz w:val="19"/>
              </w:rPr>
              <w:t>СЕГМЕНТ</w:t>
            </w:r>
          </w:p>
        </w:tc>
        <w:tc>
          <w:tcPr>
            <w:tcW w:type="dxa" w:w="3960"/>
            <w:shd w:fill="0B2545"/>
            <w:tcMar>
              <w:top w:w="100" w:type="dxa"/>
              <w:start w:w="130" w:type="dxa"/>
              <w:bottom w:w="100" w:type="dxa"/>
              <w:end w:w="130" w:type="dxa"/>
            </w:tcMar>
            <w:vAlign w:val="center"/>
          </w:tcPr>
          <w:p>
            <w:pPr>
              <w:spacing w:after="0" w:line="240" w:lineRule="auto"/>
            </w:pPr>
            <w:r>
              <w:rPr>
                <w:rFonts w:ascii="Aptos" w:hAnsi="Aptos" w:eastAsia="Aptos"/>
                <w:b/>
                <w:color w:val="FFFFFF"/>
                <w:sz w:val="19"/>
              </w:rPr>
              <w:t>ТРИГГЕР / ПРОБЛЕМА</w:t>
            </w:r>
          </w:p>
        </w:tc>
        <w:tc>
          <w:tcPr>
            <w:tcW w:type="dxa" w:w="3420"/>
            <w:shd w:fill="0B2545"/>
            <w:tcMar>
              <w:top w:w="100" w:type="dxa"/>
              <w:start w:w="130" w:type="dxa"/>
              <w:bottom w:w="100" w:type="dxa"/>
              <w:end w:w="130" w:type="dxa"/>
            </w:tcMar>
            <w:vAlign w:val="center"/>
          </w:tcPr>
          <w:p>
            <w:pPr>
              <w:spacing w:after="0" w:line="240" w:lineRule="auto"/>
            </w:pPr>
            <w:r>
              <w:rPr>
                <w:rFonts w:ascii="Aptos" w:hAnsi="Aptos" w:eastAsia="Aptos"/>
                <w:b/>
                <w:color w:val="FFFFFF"/>
                <w:sz w:val="19"/>
              </w:rPr>
              <w:t>ПЕРВИЧНОЕ ПРЕДЛОЖЕНИЕ</w:t>
            </w:r>
          </w:p>
        </w:tc>
      </w:tr>
      <w:tr>
        <w:trPr>
          <w:cantSplit/>
        </w:trPr>
        <w:tc>
          <w:tcPr>
            <w:tcW w:type="dxa" w:w="1980"/>
            <w:tcMar>
              <w:top w:w="100" w:type="dxa"/>
              <w:start w:w="130" w:type="dxa"/>
              <w:bottom w:w="100" w:type="dxa"/>
              <w:end w:w="130" w:type="dxa"/>
            </w:tcMar>
            <w:vAlign w:val="center"/>
          </w:tcPr>
          <w:p>
            <w:pPr>
              <w:spacing w:after="0" w:line="252" w:lineRule="auto"/>
            </w:pPr>
            <w:r>
              <w:rPr>
                <w:rFonts w:ascii="Aptos" w:hAnsi="Aptos" w:eastAsia="Aptos"/>
                <w:b/>
                <w:color w:val="0B2545"/>
                <w:sz w:val="19"/>
              </w:rPr>
              <w:t>Собственник актива на 20–80 ключей</w:t>
            </w:r>
          </w:p>
        </w:tc>
        <w:tc>
          <w:tcPr>
            <w:tcW w:type="dxa" w:w="3960"/>
            <w:tcMar>
              <w:top w:w="100" w:type="dxa"/>
              <w:start w:w="130" w:type="dxa"/>
              <w:bottom w:w="100" w:type="dxa"/>
              <w:end w:w="130" w:type="dxa"/>
            </w:tcMar>
            <w:vAlign w:val="center"/>
          </w:tcPr>
          <w:p>
            <w:pPr>
              <w:spacing w:after="0" w:line="252" w:lineRule="auto"/>
            </w:pPr>
            <w:r>
              <w:rPr>
                <w:rFonts w:ascii="Aptos" w:hAnsi="Aptos" w:eastAsia="Aptos"/>
                <w:b w:val="0"/>
                <w:color w:val="1F2933"/>
                <w:sz w:val="19"/>
              </w:rPr>
              <w:t>Актив недорабатывает; владелец устал; отсутствует достоверная операционная картина.</w:t>
            </w:r>
          </w:p>
        </w:tc>
        <w:tc>
          <w:tcPr>
            <w:tcW w:type="dxa" w:w="3420"/>
            <w:tcMar>
              <w:top w:w="100" w:type="dxa"/>
              <w:start w:w="130" w:type="dxa"/>
              <w:bottom w:w="100" w:type="dxa"/>
              <w:end w:w="130" w:type="dxa"/>
            </w:tcMar>
            <w:vAlign w:val="center"/>
          </w:tcPr>
          <w:p>
            <w:pPr>
              <w:spacing w:after="0" w:line="252" w:lineRule="auto"/>
            </w:pPr>
            <w:r>
              <w:rPr>
                <w:rFonts w:ascii="Aptos" w:hAnsi="Aptos" w:eastAsia="Aptos"/>
                <w:b w:val="0"/>
                <w:color w:val="1F2933"/>
                <w:sz w:val="19"/>
              </w:rPr>
              <w:t>Диагностика актива и проект коммерческого мандата.</w:t>
            </w:r>
          </w:p>
        </w:tc>
      </w:tr>
      <w:tr>
        <w:trPr>
          <w:cantSplit/>
        </w:trPr>
        <w:tc>
          <w:tcPr>
            <w:tcW w:type="dxa" w:w="1980"/>
            <w:tcMar>
              <w:top w:w="100" w:type="dxa"/>
              <w:start w:w="130" w:type="dxa"/>
              <w:bottom w:w="100" w:type="dxa"/>
              <w:end w:w="130" w:type="dxa"/>
            </w:tcMar>
            <w:vAlign w:val="center"/>
            <w:shd w:fill="FAFBFC"/>
          </w:tcPr>
          <w:p>
            <w:pPr>
              <w:spacing w:after="0" w:line="252" w:lineRule="auto"/>
            </w:pPr>
            <w:r>
              <w:rPr>
                <w:rFonts w:ascii="Aptos" w:hAnsi="Aptos" w:eastAsia="Aptos"/>
                <w:b/>
                <w:color w:val="0B2545"/>
                <w:sz w:val="19"/>
              </w:rPr>
              <w:t>Собственники юнитов в целевом здании</w:t>
            </w:r>
          </w:p>
        </w:tc>
        <w:tc>
          <w:tcPr>
            <w:tcW w:type="dxa" w:w="396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Разная загрузка, слабая отчётность, нет прямого канала и доказуемой истории.</w:t>
            </w:r>
          </w:p>
        </w:tc>
        <w:tc>
          <w:tcPr>
            <w:tcW w:type="dxa" w:w="342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Кластерное управление и сравнительный owner report.</w:t>
            </w:r>
          </w:p>
        </w:tc>
      </w:tr>
      <w:tr>
        <w:trPr>
          <w:cantSplit/>
        </w:trPr>
        <w:tc>
          <w:tcPr>
            <w:tcW w:type="dxa" w:w="1980"/>
            <w:tcMar>
              <w:top w:w="100" w:type="dxa"/>
              <w:start w:w="130" w:type="dxa"/>
              <w:bottom w:w="100" w:type="dxa"/>
              <w:end w:w="130" w:type="dxa"/>
            </w:tcMar>
            <w:vAlign w:val="center"/>
          </w:tcPr>
          <w:p>
            <w:pPr>
              <w:spacing w:after="0" w:line="252" w:lineRule="auto"/>
            </w:pPr>
            <w:r>
              <w:rPr>
                <w:rFonts w:ascii="Aptos" w:hAnsi="Aptos" w:eastAsia="Aptos"/>
                <w:b/>
                <w:color w:val="0B2545"/>
                <w:sz w:val="19"/>
              </w:rPr>
              <w:t>Девелопер до открытия</w:t>
            </w:r>
          </w:p>
        </w:tc>
        <w:tc>
          <w:tcPr>
            <w:tcW w:type="dxa" w:w="3960"/>
            <w:tcMar>
              <w:top w:w="100" w:type="dxa"/>
              <w:start w:w="130" w:type="dxa"/>
              <w:bottom w:w="100" w:type="dxa"/>
              <w:end w:w="130" w:type="dxa"/>
            </w:tcMar>
            <w:vAlign w:val="center"/>
          </w:tcPr>
          <w:p>
            <w:pPr>
              <w:spacing w:after="0" w:line="252" w:lineRule="auto"/>
            </w:pPr>
            <w:r>
              <w:rPr>
                <w:rFonts w:ascii="Aptos" w:hAnsi="Aptos" w:eastAsia="Aptos"/>
                <w:b w:val="0"/>
                <w:color w:val="1F2933"/>
                <w:sz w:val="19"/>
              </w:rPr>
              <w:t>Продажи требуют операционной модели, а будущая эксплуатация ещё не спроектирована.</w:t>
            </w:r>
          </w:p>
        </w:tc>
        <w:tc>
          <w:tcPr>
            <w:tcW w:type="dxa" w:w="3420"/>
            <w:tcMar>
              <w:top w:w="100" w:type="dxa"/>
              <w:start w:w="130" w:type="dxa"/>
              <w:bottom w:w="100" w:type="dxa"/>
              <w:end w:w="130" w:type="dxa"/>
            </w:tcMar>
            <w:vAlign w:val="center"/>
          </w:tcPr>
          <w:p>
            <w:pPr>
              <w:spacing w:after="0" w:line="252" w:lineRule="auto"/>
            </w:pPr>
            <w:r>
              <w:rPr>
                <w:rFonts w:ascii="Aptos" w:hAnsi="Aptos" w:eastAsia="Aptos"/>
                <w:b w:val="0"/>
                <w:color w:val="1F2933"/>
                <w:sz w:val="19"/>
              </w:rPr>
              <w:t>Pre-opening review и договор управления до сдачи.</w:t>
            </w:r>
          </w:p>
        </w:tc>
      </w:tr>
      <w:tr>
        <w:trPr>
          <w:cantSplit/>
        </w:trPr>
        <w:tc>
          <w:tcPr>
            <w:tcW w:type="dxa" w:w="1980"/>
            <w:tcMar>
              <w:top w:w="100" w:type="dxa"/>
              <w:start w:w="130" w:type="dxa"/>
              <w:bottom w:w="100" w:type="dxa"/>
              <w:end w:w="130" w:type="dxa"/>
            </w:tcMar>
            <w:vAlign w:val="center"/>
            <w:shd w:fill="FAFBFC"/>
          </w:tcPr>
          <w:p>
            <w:pPr>
              <w:spacing w:after="0" w:line="252" w:lineRule="auto"/>
            </w:pPr>
            <w:r>
              <w:rPr>
                <w:rFonts w:ascii="Aptos" w:hAnsi="Aptos" w:eastAsia="Aptos"/>
                <w:b/>
                <w:color w:val="0B2545"/>
                <w:sz w:val="19"/>
              </w:rPr>
              <w:t>Инвестиционный покупатель</w:t>
            </w:r>
          </w:p>
        </w:tc>
        <w:tc>
          <w:tcPr>
            <w:tcW w:type="dxa" w:w="396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Не доверяет прогнозам, не понимает будущие расходы и ликвидность.</w:t>
            </w:r>
          </w:p>
        </w:tc>
        <w:tc>
          <w:tcPr>
            <w:tcW w:type="dxa" w:w="342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ClearView underwriting, приобретение и заранее определённый путь управления.</w:t>
            </w:r>
          </w:p>
        </w:tc>
      </w:tr>
      <w:tr>
        <w:trPr>
          <w:cantSplit/>
        </w:trPr>
        <w:tc>
          <w:tcPr>
            <w:tcW w:type="dxa" w:w="1980"/>
            <w:tcMar>
              <w:top w:w="100" w:type="dxa"/>
              <w:start w:w="130" w:type="dxa"/>
              <w:bottom w:w="100" w:type="dxa"/>
              <w:end w:w="130" w:type="dxa"/>
            </w:tcMar>
            <w:vAlign w:val="center"/>
          </w:tcPr>
          <w:p>
            <w:pPr>
              <w:spacing w:after="0" w:line="252" w:lineRule="auto"/>
            </w:pPr>
            <w:r>
              <w:rPr>
                <w:rFonts w:ascii="Aptos" w:hAnsi="Aptos" w:eastAsia="Aptos"/>
                <w:b/>
                <w:color w:val="0B2545"/>
                <w:sz w:val="19"/>
              </w:rPr>
              <w:t>Повторный гость / резидент</w:t>
            </w:r>
          </w:p>
        </w:tc>
        <w:tc>
          <w:tcPr>
            <w:tcW w:type="dxa" w:w="3960"/>
            <w:tcMar>
              <w:top w:w="100" w:type="dxa"/>
              <w:start w:w="130" w:type="dxa"/>
              <w:bottom w:w="100" w:type="dxa"/>
              <w:end w:w="130" w:type="dxa"/>
            </w:tcMar>
            <w:vAlign w:val="center"/>
          </w:tcPr>
          <w:p>
            <w:pPr>
              <w:spacing w:after="0" w:line="252" w:lineRule="auto"/>
            </w:pPr>
            <w:r>
              <w:rPr>
                <w:rFonts w:ascii="Aptos" w:hAnsi="Aptos" w:eastAsia="Aptos"/>
                <w:b w:val="0"/>
                <w:color w:val="1F2933"/>
                <w:sz w:val="19"/>
              </w:rPr>
              <w:t>Хочет возвращаться, переехать, сохранить капитал или получать доход на Пхукете.</w:t>
            </w:r>
          </w:p>
        </w:tc>
        <w:tc>
          <w:tcPr>
            <w:tcW w:type="dxa" w:w="3420"/>
            <w:tcMar>
              <w:top w:w="100" w:type="dxa"/>
              <w:start w:w="130" w:type="dxa"/>
              <w:bottom w:w="100" w:type="dxa"/>
              <w:end w:w="130" w:type="dxa"/>
            </w:tcMar>
            <w:vAlign w:val="center"/>
          </w:tcPr>
          <w:p>
            <w:pPr>
              <w:spacing w:after="0" w:line="252" w:lineRule="auto"/>
            </w:pPr>
            <w:r>
              <w:rPr>
                <w:rFonts w:ascii="Aptos" w:hAnsi="Aptos" w:eastAsia="Aptos"/>
                <w:b w:val="0"/>
                <w:color w:val="1F2933"/>
                <w:sz w:val="19"/>
              </w:rPr>
              <w:t>Добровольный market briefing и квалифицированный property review.</w:t>
            </w:r>
          </w:p>
        </w:tc>
      </w:tr>
      <w:tr>
        <w:trPr>
          <w:cantSplit/>
        </w:trPr>
        <w:tc>
          <w:tcPr>
            <w:tcW w:type="dxa" w:w="1980"/>
            <w:tcMar>
              <w:top w:w="100" w:type="dxa"/>
              <w:start w:w="130" w:type="dxa"/>
              <w:bottom w:w="100" w:type="dxa"/>
              <w:end w:w="130" w:type="dxa"/>
            </w:tcMar>
            <w:vAlign w:val="center"/>
            <w:shd w:fill="FAFBFC"/>
          </w:tcPr>
          <w:p>
            <w:pPr>
              <w:spacing w:after="0" w:line="252" w:lineRule="auto"/>
            </w:pPr>
            <w:r>
              <w:rPr>
                <w:rFonts w:ascii="Aptos" w:hAnsi="Aptos" w:eastAsia="Aptos"/>
                <w:b/>
                <w:color w:val="0B2545"/>
                <w:sz w:val="19"/>
              </w:rPr>
              <w:t>Профессиональный реферер</w:t>
            </w:r>
          </w:p>
        </w:tc>
        <w:tc>
          <w:tcPr>
            <w:tcW w:type="dxa" w:w="396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Рискует своей репутацией, передавая клиента локальному исполнителю.</w:t>
            </w:r>
          </w:p>
        </w:tc>
        <w:tc>
          <w:tcPr>
            <w:tcW w:type="dxa" w:w="342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Прозрачный процесс, атрибуция, отчётность и end-to-end сопровождение.</w:t>
            </w:r>
          </w:p>
        </w:tc>
      </w:tr>
    </w:tbl>
    <w:p>
      <w:pPr>
        <w:spacing w:before="0" w:after="40" w:line="264" w:lineRule="auto"/>
        <w:jc w:val="left"/>
      </w:pPr>
    </w:p>
    <w:p>
      <w:pPr>
        <w:pStyle w:val="Heading2"/>
        <w:keepNext/>
      </w:pPr>
      <w:r>
        <w:t>7.4. Приоритет каналов</w:t>
      </w:r>
    </w:p>
    <w:p>
      <w:pPr>
        <w:spacing w:before="0" w:after="120" w:line="264" w:lineRule="auto"/>
        <w:jc w:val="left"/>
      </w:pPr>
      <w:r>
        <w:rPr>
          <w:rFonts w:ascii="Aptos" w:hAnsi="Aptos" w:eastAsia="Aptos"/>
          <w:b w:val="0"/>
          <w:i w:val="0"/>
          <w:color w:val="1F2933"/>
          <w:sz w:val="22"/>
        </w:rPr>
        <w:t>Каналы развиваются последовательно — от максимального доверия и низкой стоимости привлечения к масштабируемому платному спросу.</w:t>
      </w:r>
    </w:p>
    <w:p>
      <w:pPr>
        <w:pStyle w:val="ListNumber"/>
        <w:spacing w:after="100" w:line="264" w:lineRule="auto"/>
      </w:pPr>
      <w:r>
        <w:rPr>
          <w:rFonts w:ascii="Aptos" w:hAnsi="Aptos" w:eastAsia="Aptos"/>
          <w:b/>
          <w:color w:val="0B2545"/>
          <w:sz w:val="22"/>
        </w:rPr>
        <w:t>Существующие собственники и прошлые клиенты.</w:t>
      </w:r>
      <w:r>
        <w:rPr>
          <w:rFonts w:ascii="Aptos" w:hAnsi="Aptos" w:eastAsia="Aptos"/>
          <w:color w:val="1F2933"/>
          <w:sz w:val="22"/>
        </w:rPr>
        <w:t xml:space="preserve"> Повторные сделки, дополнительные активы, управление и рекомендации.</w:t>
      </w:r>
    </w:p>
    <w:p>
      <w:pPr>
        <w:pStyle w:val="ListNumber"/>
        <w:spacing w:after="100" w:line="264" w:lineRule="auto"/>
      </w:pPr>
      <w:r>
        <w:rPr>
          <w:rFonts w:ascii="Aptos" w:hAnsi="Aptos" w:eastAsia="Aptos"/>
          <w:b/>
          <w:color w:val="0B2545"/>
          <w:sz w:val="22"/>
        </w:rPr>
        <w:t>Соседние собственники в целевом здании или коридоре.</w:t>
      </w:r>
      <w:r>
        <w:rPr>
          <w:rFonts w:ascii="Aptos" w:hAnsi="Aptos" w:eastAsia="Aptos"/>
          <w:color w:val="1F2933"/>
          <w:sz w:val="22"/>
        </w:rPr>
        <w:t xml:space="preserve"> Доказательство через видимую разницу в отчётности, загрузке и исполнении.</w:t>
      </w:r>
    </w:p>
    <w:p>
      <w:pPr>
        <w:pStyle w:val="ListNumber"/>
        <w:spacing w:after="100" w:line="264" w:lineRule="auto"/>
      </w:pPr>
      <w:r>
        <w:rPr>
          <w:rFonts w:ascii="Aptos" w:hAnsi="Aptos" w:eastAsia="Aptos"/>
          <w:b/>
          <w:color w:val="0B2545"/>
          <w:sz w:val="22"/>
        </w:rPr>
        <w:t>Гостевая и резидентская база myUNO.</w:t>
      </w:r>
      <w:r>
        <w:rPr>
          <w:rFonts w:ascii="Aptos" w:hAnsi="Aptos" w:eastAsia="Aptos"/>
          <w:color w:val="1F2933"/>
          <w:sz w:val="22"/>
        </w:rPr>
        <w:t xml:space="preserve"> Прямые бронирования, повторные проживания и согласованный переход к property conversation.</w:t>
      </w:r>
    </w:p>
    <w:p>
      <w:pPr>
        <w:pStyle w:val="ListNumber"/>
        <w:spacing w:after="100" w:line="264" w:lineRule="auto"/>
      </w:pPr>
      <w:r>
        <w:rPr>
          <w:rFonts w:ascii="Aptos" w:hAnsi="Aptos" w:eastAsia="Aptos"/>
          <w:b/>
          <w:color w:val="0B2545"/>
          <w:sz w:val="22"/>
        </w:rPr>
        <w:t>Профессиональная referral network.</w:t>
      </w:r>
      <w:r>
        <w:rPr>
          <w:rFonts w:ascii="Aptos" w:hAnsi="Aptos" w:eastAsia="Aptos"/>
          <w:color w:val="1F2933"/>
          <w:sz w:val="22"/>
        </w:rPr>
        <w:t xml:space="preserve"> Юристы, налоговые специалисты, family offices, девелоперы, корпоративные и международные партнёры.</w:t>
      </w:r>
    </w:p>
    <w:p>
      <w:pPr>
        <w:pStyle w:val="ListNumber"/>
        <w:spacing w:after="100" w:line="264" w:lineRule="auto"/>
      </w:pPr>
      <w:r>
        <w:rPr>
          <w:rFonts w:ascii="Aptos" w:hAnsi="Aptos" w:eastAsia="Aptos"/>
          <w:b/>
          <w:color w:val="0B2545"/>
          <w:sz w:val="22"/>
        </w:rPr>
        <w:t>Точечный outbound к владельцам недорабатывающих активов.</w:t>
      </w:r>
      <w:r>
        <w:rPr>
          <w:rFonts w:ascii="Aptos" w:hAnsi="Aptos" w:eastAsia="Aptos"/>
          <w:color w:val="1F2933"/>
          <w:sz w:val="22"/>
        </w:rPr>
        <w:t xml:space="preserve"> Персонализированное обращение на основании фактов, а не массовая рассылка.</w:t>
      </w:r>
    </w:p>
    <w:p>
      <w:pPr>
        <w:pStyle w:val="ListNumber"/>
        <w:spacing w:after="100" w:line="264" w:lineRule="auto"/>
      </w:pPr>
      <w:r>
        <w:rPr>
          <w:rFonts w:ascii="Aptos" w:hAnsi="Aptos" w:eastAsia="Aptos"/>
          <w:b/>
          <w:color w:val="0B2545"/>
          <w:sz w:val="22"/>
        </w:rPr>
        <w:t>Evidence-led content и закрытые мероприятия.</w:t>
      </w:r>
      <w:r>
        <w:rPr>
          <w:rFonts w:ascii="Aptos" w:hAnsi="Aptos" w:eastAsia="Aptos"/>
          <w:color w:val="1F2933"/>
          <w:sz w:val="22"/>
        </w:rPr>
        <w:t xml:space="preserve"> Кейсы, owner reports, ClearView insights, market briefings и встречи с ограниченной аудиторией.</w:t>
      </w:r>
    </w:p>
    <w:p>
      <w:pPr>
        <w:pStyle w:val="ListNumber"/>
        <w:spacing w:after="100" w:line="264" w:lineRule="auto"/>
      </w:pPr>
      <w:r>
        <w:rPr>
          <w:rFonts w:ascii="Aptos" w:hAnsi="Aptos" w:eastAsia="Aptos"/>
          <w:b/>
          <w:color w:val="0B2545"/>
          <w:sz w:val="22"/>
        </w:rPr>
        <w:t>Платное привлечение.</w:t>
      </w:r>
      <w:r>
        <w:rPr>
          <w:rFonts w:ascii="Aptos" w:hAnsi="Aptos" w:eastAsia="Aptos"/>
          <w:color w:val="1F2933"/>
          <w:sz w:val="22"/>
        </w:rPr>
        <w:t xml:space="preserve"> Используется после подтверждения оффера, конверсии и срока окупаемости по органическим каналам.</w:t>
      </w:r>
    </w:p>
    <w:p>
      <w:pPr>
        <w:pStyle w:val="Heading2"/>
        <w:keepNext/>
      </w:pPr>
      <w:r>
        <w:t>7.5. Основные воронки</w:t>
      </w:r>
    </w:p>
    <w:p>
      <w:pPr>
        <w:pStyle w:val="Heading3"/>
        <w:keepNext/>
      </w:pPr>
      <w:r>
        <w:t>Owner acquisition</w:t>
      </w:r>
    </w:p>
    <w:p>
      <w:pPr>
        <w:spacing w:before="0" w:after="120" w:line="264" w:lineRule="auto"/>
        <w:jc w:val="left"/>
      </w:pPr>
      <w:r>
        <w:rPr>
          <w:rFonts w:ascii="Aptos" w:hAnsi="Aptos" w:eastAsia="Aptos"/>
          <w:b w:val="0"/>
          <w:i w:val="0"/>
          <w:color w:val="1F2933"/>
          <w:sz w:val="22"/>
        </w:rPr>
        <w:t>Целевой аккаунт → подтверждённый контакт → 30-минутный разбор актива → запрос данных → диагностика → предложение мандата → переговоры → договор → onboarding → стабилизация → кейс / рекомендация / выход.</w:t>
      </w:r>
    </w:p>
    <w:p>
      <w:pPr>
        <w:pStyle w:val="Heading3"/>
        <w:keepNext/>
      </w:pPr>
      <w:r>
        <w:t>Guest-to-owner</w:t>
      </w:r>
    </w:p>
    <w:p>
      <w:pPr>
        <w:spacing w:before="0" w:after="120" w:line="264" w:lineRule="auto"/>
        <w:jc w:val="left"/>
      </w:pPr>
      <w:r>
        <w:rPr>
          <w:rFonts w:ascii="Aptos" w:hAnsi="Aptos" w:eastAsia="Aptos"/>
          <w:b w:val="0"/>
          <w:i w:val="0"/>
          <w:color w:val="1F2933"/>
          <w:sz w:val="22"/>
        </w:rPr>
        <w:t>Запрос → прямое или агентское бронирование → проживание → закрытие сервиса и обратная связь → повторное обращение / подтверждённый интерес → короткий market briefing → квалификация → shortlist / просмотр → сделка → собственник → мандат управления.</w:t>
      </w:r>
    </w:p>
    <w:p>
      <w:pPr>
        <w:pStyle w:val="Heading3"/>
        <w:keepNext/>
      </w:pPr>
      <w:r>
        <w:t>Developer</w:t>
      </w:r>
    </w:p>
    <w:p>
      <w:pPr>
        <w:spacing w:before="0" w:after="120" w:line="264" w:lineRule="auto"/>
        <w:jc w:val="left"/>
      </w:pPr>
      <w:r>
        <w:rPr>
          <w:rFonts w:ascii="Aptos" w:hAnsi="Aptos" w:eastAsia="Aptos"/>
          <w:b w:val="0"/>
          <w:i w:val="0"/>
          <w:color w:val="1F2933"/>
          <w:sz w:val="22"/>
        </w:rPr>
        <w:t>Идентификация проекта → встреча с decision maker → pre-opening gap assessment → модель эксплуатации → коммерческое предложение → договор до сдачи → подготовка команды и систем → открытие → передача покупателей в управляемый контур.</w:t>
      </w:r>
    </w:p>
    <w:p>
      <w:pPr>
        <w:pStyle w:val="Heading2"/>
        <w:keepNext/>
      </w:pPr>
      <w:r>
        <w:t>7.6. Офферы и точки входа</w:t>
      </w:r>
    </w:p>
    <w:tbl>
      <w:tblPr>
        <w:tblW w:type="dxa" w:w="9360"/>
        <w:jc w:val="left"/>
        <w:tblLayout w:type="fixed"/>
        <w:tblLook w:firstColumn="1" w:firstRow="1" w:lastColumn="0" w:lastRow="0" w:noHBand="0" w:noVBand="1" w:val="04A0"/>
        <w:tblInd w:w="120" w:type="dxa"/>
        <w:tblBorders>
          <w:top w:val="single" w:sz="6" w:space="0" w:color="D6DCE2"/>
          <w:left w:val="single" w:sz="6" w:space="0" w:color="D6DCE2"/>
          <w:bottom w:val="single" w:sz="6" w:space="0" w:color="D6DCE2"/>
          <w:right w:val="single" w:sz="6" w:space="0" w:color="D6DCE2"/>
          <w:insideH w:val="single" w:sz="6" w:space="0" w:color="D6DCE2"/>
          <w:insideV w:val="single" w:sz="6" w:space="0" w:color="D6DCE2"/>
        </w:tblBorders>
      </w:tblPr>
      <w:tblGrid>
        <w:gridCol w:w="1800"/>
        <w:gridCol w:w="3540"/>
        <w:gridCol w:w="4020"/>
      </w:tblGrid>
      <w:tr>
        <w:trPr>
          <w:tblHeader w:val="true"/>
          <w:cantSplit/>
        </w:trPr>
        <w:tc>
          <w:tcPr>
            <w:tcW w:type="dxa" w:w="1800"/>
            <w:shd w:fill="0B2545"/>
            <w:tcMar>
              <w:top w:w="100" w:type="dxa"/>
              <w:start w:w="130" w:type="dxa"/>
              <w:bottom w:w="100" w:type="dxa"/>
              <w:end w:w="130" w:type="dxa"/>
            </w:tcMar>
            <w:vAlign w:val="center"/>
          </w:tcPr>
          <w:p>
            <w:pPr>
              <w:spacing w:after="0" w:line="240" w:lineRule="auto"/>
            </w:pPr>
            <w:r>
              <w:rPr>
                <w:rFonts w:ascii="Aptos" w:hAnsi="Aptos" w:eastAsia="Aptos"/>
                <w:b/>
                <w:color w:val="FFFFFF"/>
                <w:sz w:val="19"/>
              </w:rPr>
              <w:t>АУДИТОРИЯ</w:t>
            </w:r>
          </w:p>
        </w:tc>
        <w:tc>
          <w:tcPr>
            <w:tcW w:type="dxa" w:w="3540"/>
            <w:shd w:fill="0B2545"/>
            <w:tcMar>
              <w:top w:w="100" w:type="dxa"/>
              <w:start w:w="130" w:type="dxa"/>
              <w:bottom w:w="100" w:type="dxa"/>
              <w:end w:w="130" w:type="dxa"/>
            </w:tcMar>
            <w:vAlign w:val="center"/>
          </w:tcPr>
          <w:p>
            <w:pPr>
              <w:spacing w:after="0" w:line="240" w:lineRule="auto"/>
            </w:pPr>
            <w:r>
              <w:rPr>
                <w:rFonts w:ascii="Aptos" w:hAnsi="Aptos" w:eastAsia="Aptos"/>
                <w:b/>
                <w:color w:val="FFFFFF"/>
                <w:sz w:val="19"/>
              </w:rPr>
              <w:t>ЕДИНАЯ ТОЧКА ВХОДА</w:t>
            </w:r>
          </w:p>
        </w:tc>
        <w:tc>
          <w:tcPr>
            <w:tcW w:type="dxa" w:w="4020"/>
            <w:shd w:fill="0B2545"/>
            <w:tcMar>
              <w:top w:w="100" w:type="dxa"/>
              <w:start w:w="130" w:type="dxa"/>
              <w:bottom w:w="100" w:type="dxa"/>
              <w:end w:w="130" w:type="dxa"/>
            </w:tcMar>
            <w:vAlign w:val="center"/>
          </w:tcPr>
          <w:p>
            <w:pPr>
              <w:spacing w:after="0" w:line="240" w:lineRule="auto"/>
            </w:pPr>
            <w:r>
              <w:rPr>
                <w:rFonts w:ascii="Aptos" w:hAnsi="Aptos" w:eastAsia="Aptos"/>
                <w:b/>
                <w:color w:val="FFFFFF"/>
                <w:sz w:val="19"/>
              </w:rPr>
              <w:t>СЛЕДУЮЩИЙ ШАГ</w:t>
            </w:r>
          </w:p>
        </w:tc>
      </w:tr>
      <w:tr>
        <w:trPr>
          <w:cantSplit/>
        </w:trPr>
        <w:tc>
          <w:tcPr>
            <w:tcW w:type="dxa" w:w="1800"/>
            <w:tcMar>
              <w:top w:w="100" w:type="dxa"/>
              <w:start w:w="130" w:type="dxa"/>
              <w:bottom w:w="100" w:type="dxa"/>
              <w:end w:w="130" w:type="dxa"/>
            </w:tcMar>
            <w:vAlign w:val="center"/>
          </w:tcPr>
          <w:p>
            <w:pPr>
              <w:spacing w:after="0" w:line="252" w:lineRule="auto"/>
            </w:pPr>
            <w:r>
              <w:rPr>
                <w:rFonts w:ascii="Aptos" w:hAnsi="Aptos" w:eastAsia="Aptos"/>
                <w:b/>
                <w:color w:val="0B2545"/>
                <w:sz w:val="19"/>
              </w:rPr>
              <w:t>Собственник</w:t>
            </w:r>
          </w:p>
        </w:tc>
        <w:tc>
          <w:tcPr>
            <w:tcW w:type="dxa" w:w="3540"/>
            <w:tcMar>
              <w:top w:w="100" w:type="dxa"/>
              <w:start w:w="130" w:type="dxa"/>
              <w:bottom w:w="100" w:type="dxa"/>
              <w:end w:w="130" w:type="dxa"/>
            </w:tcMar>
            <w:vAlign w:val="center"/>
          </w:tcPr>
          <w:p>
            <w:pPr>
              <w:spacing w:after="0" w:line="252" w:lineRule="auto"/>
            </w:pPr>
            <w:r>
              <w:rPr>
                <w:rFonts w:ascii="Aptos" w:hAnsi="Aptos" w:eastAsia="Aptos"/>
                <w:b w:val="0"/>
                <w:color w:val="1F2933"/>
                <w:sz w:val="19"/>
              </w:rPr>
              <w:t>30-минутный разбор актива.</w:t>
            </w:r>
          </w:p>
        </w:tc>
        <w:tc>
          <w:tcPr>
            <w:tcW w:type="dxa" w:w="4020"/>
            <w:tcMar>
              <w:top w:w="100" w:type="dxa"/>
              <w:start w:w="130" w:type="dxa"/>
              <w:bottom w:w="100" w:type="dxa"/>
              <w:end w:w="130" w:type="dxa"/>
            </w:tcMar>
            <w:vAlign w:val="center"/>
          </w:tcPr>
          <w:p>
            <w:pPr>
              <w:spacing w:after="0" w:line="252" w:lineRule="auto"/>
            </w:pPr>
            <w:r>
              <w:rPr>
                <w:rFonts w:ascii="Aptos" w:hAnsi="Aptos" w:eastAsia="Aptos"/>
                <w:b w:val="0"/>
                <w:color w:val="1F2933"/>
                <w:sz w:val="19"/>
              </w:rPr>
              <w:t>Согласие на ограниченный набор данных и диагностику.</w:t>
            </w:r>
          </w:p>
        </w:tc>
      </w:tr>
      <w:tr>
        <w:trPr>
          <w:cantSplit/>
        </w:trPr>
        <w:tc>
          <w:tcPr>
            <w:tcW w:type="dxa" w:w="1800"/>
            <w:tcMar>
              <w:top w:w="100" w:type="dxa"/>
              <w:start w:w="130" w:type="dxa"/>
              <w:bottom w:w="100" w:type="dxa"/>
              <w:end w:w="130" w:type="dxa"/>
            </w:tcMar>
            <w:vAlign w:val="center"/>
            <w:shd w:fill="FAFBFC"/>
          </w:tcPr>
          <w:p>
            <w:pPr>
              <w:spacing w:after="0" w:line="252" w:lineRule="auto"/>
            </w:pPr>
            <w:r>
              <w:rPr>
                <w:rFonts w:ascii="Aptos" w:hAnsi="Aptos" w:eastAsia="Aptos"/>
                <w:b/>
                <w:color w:val="0B2545"/>
                <w:sz w:val="19"/>
              </w:rPr>
              <w:t>Гость / резидент</w:t>
            </w:r>
          </w:p>
        </w:tc>
        <w:tc>
          <w:tcPr>
            <w:tcW w:type="dxa" w:w="354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Прямое бронирование и контакт с оператором.</w:t>
            </w:r>
          </w:p>
        </w:tc>
        <w:tc>
          <w:tcPr>
            <w:tcW w:type="dxa" w:w="402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После подтверждённого интереса — market briefing без обязательств.</w:t>
            </w:r>
          </w:p>
        </w:tc>
      </w:tr>
      <w:tr>
        <w:trPr>
          <w:cantSplit/>
        </w:trPr>
        <w:tc>
          <w:tcPr>
            <w:tcW w:type="dxa" w:w="1800"/>
            <w:tcMar>
              <w:top w:w="100" w:type="dxa"/>
              <w:start w:w="130" w:type="dxa"/>
              <w:bottom w:w="100" w:type="dxa"/>
              <w:end w:w="130" w:type="dxa"/>
            </w:tcMar>
            <w:vAlign w:val="center"/>
          </w:tcPr>
          <w:p>
            <w:pPr>
              <w:spacing w:after="0" w:line="252" w:lineRule="auto"/>
            </w:pPr>
            <w:r>
              <w:rPr>
                <w:rFonts w:ascii="Aptos" w:hAnsi="Aptos" w:eastAsia="Aptos"/>
                <w:b/>
                <w:color w:val="0B2545"/>
                <w:sz w:val="19"/>
              </w:rPr>
              <w:t>Покупатель</w:t>
            </w:r>
          </w:p>
        </w:tc>
        <w:tc>
          <w:tcPr>
            <w:tcW w:type="dxa" w:w="3540"/>
            <w:tcMar>
              <w:top w:w="100" w:type="dxa"/>
              <w:start w:w="130" w:type="dxa"/>
              <w:bottom w:w="100" w:type="dxa"/>
              <w:end w:w="130" w:type="dxa"/>
            </w:tcMar>
            <w:vAlign w:val="center"/>
          </w:tcPr>
          <w:p>
            <w:pPr>
              <w:spacing w:after="0" w:line="252" w:lineRule="auto"/>
            </w:pPr>
            <w:r>
              <w:rPr>
                <w:rFonts w:ascii="Aptos" w:hAnsi="Aptos" w:eastAsia="Aptos"/>
                <w:b w:val="0"/>
                <w:color w:val="1F2933"/>
                <w:sz w:val="19"/>
              </w:rPr>
              <w:t>Разбор цели и критериев владения.</w:t>
            </w:r>
          </w:p>
        </w:tc>
        <w:tc>
          <w:tcPr>
            <w:tcW w:type="dxa" w:w="4020"/>
            <w:tcMar>
              <w:top w:w="100" w:type="dxa"/>
              <w:start w:w="130" w:type="dxa"/>
              <w:bottom w:w="100" w:type="dxa"/>
              <w:end w:w="130" w:type="dxa"/>
            </w:tcMar>
            <w:vAlign w:val="center"/>
          </w:tcPr>
          <w:p>
            <w:pPr>
              <w:spacing w:after="0" w:line="252" w:lineRule="auto"/>
            </w:pPr>
            <w:r>
              <w:rPr>
                <w:rFonts w:ascii="Aptos" w:hAnsi="Aptos" w:eastAsia="Aptos"/>
                <w:b w:val="0"/>
                <w:color w:val="1F2933"/>
                <w:sz w:val="19"/>
              </w:rPr>
              <w:t>Квалифицированный shortlist только из проверяемых активов.</w:t>
            </w:r>
          </w:p>
        </w:tc>
      </w:tr>
      <w:tr>
        <w:trPr>
          <w:cantSplit/>
        </w:trPr>
        <w:tc>
          <w:tcPr>
            <w:tcW w:type="dxa" w:w="1800"/>
            <w:tcMar>
              <w:top w:w="100" w:type="dxa"/>
              <w:start w:w="130" w:type="dxa"/>
              <w:bottom w:w="100" w:type="dxa"/>
              <w:end w:w="130" w:type="dxa"/>
            </w:tcMar>
            <w:vAlign w:val="center"/>
            <w:shd w:fill="FAFBFC"/>
          </w:tcPr>
          <w:p>
            <w:pPr>
              <w:spacing w:after="0" w:line="252" w:lineRule="auto"/>
            </w:pPr>
            <w:r>
              <w:rPr>
                <w:rFonts w:ascii="Aptos" w:hAnsi="Aptos" w:eastAsia="Aptos"/>
                <w:b/>
                <w:color w:val="0B2545"/>
                <w:sz w:val="19"/>
              </w:rPr>
              <w:t>Девелопер</w:t>
            </w:r>
          </w:p>
        </w:tc>
        <w:tc>
          <w:tcPr>
            <w:tcW w:type="dxa" w:w="354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Pre-opening operating review.</w:t>
            </w:r>
          </w:p>
        </w:tc>
        <w:tc>
          <w:tcPr>
            <w:tcW w:type="dxa" w:w="402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Gap assessment и проект операционного мандата.</w:t>
            </w:r>
          </w:p>
        </w:tc>
      </w:tr>
      <w:tr>
        <w:trPr>
          <w:cantSplit/>
        </w:trPr>
        <w:tc>
          <w:tcPr>
            <w:tcW w:type="dxa" w:w="1800"/>
            <w:tcMar>
              <w:top w:w="100" w:type="dxa"/>
              <w:start w:w="130" w:type="dxa"/>
              <w:bottom w:w="100" w:type="dxa"/>
              <w:end w:w="130" w:type="dxa"/>
            </w:tcMar>
            <w:vAlign w:val="center"/>
          </w:tcPr>
          <w:p>
            <w:pPr>
              <w:spacing w:after="0" w:line="252" w:lineRule="auto"/>
            </w:pPr>
            <w:r>
              <w:rPr>
                <w:rFonts w:ascii="Aptos" w:hAnsi="Aptos" w:eastAsia="Aptos"/>
                <w:b/>
                <w:color w:val="0B2545"/>
                <w:sz w:val="19"/>
              </w:rPr>
              <w:t>Партнёр / реферер</w:t>
            </w:r>
          </w:p>
        </w:tc>
        <w:tc>
          <w:tcPr>
            <w:tcW w:type="dxa" w:w="3540"/>
            <w:tcMar>
              <w:top w:w="100" w:type="dxa"/>
              <w:start w:w="130" w:type="dxa"/>
              <w:bottom w:w="100" w:type="dxa"/>
              <w:end w:w="130" w:type="dxa"/>
            </w:tcMar>
            <w:vAlign w:val="center"/>
          </w:tcPr>
          <w:p>
            <w:pPr>
              <w:spacing w:after="0" w:line="252" w:lineRule="auto"/>
            </w:pPr>
            <w:r>
              <w:rPr>
                <w:rFonts w:ascii="Aptos" w:hAnsi="Aptos" w:eastAsia="Aptos"/>
                <w:b w:val="0"/>
                <w:color w:val="1F2933"/>
                <w:sz w:val="19"/>
              </w:rPr>
              <w:t>Совместная квалификация клиента или актива.</w:t>
            </w:r>
          </w:p>
        </w:tc>
        <w:tc>
          <w:tcPr>
            <w:tcW w:type="dxa" w:w="4020"/>
            <w:tcMar>
              <w:top w:w="100" w:type="dxa"/>
              <w:start w:w="130" w:type="dxa"/>
              <w:bottom w:w="100" w:type="dxa"/>
              <w:end w:w="130" w:type="dxa"/>
            </w:tcMar>
            <w:vAlign w:val="center"/>
          </w:tcPr>
          <w:p>
            <w:pPr>
              <w:spacing w:after="0" w:line="252" w:lineRule="auto"/>
            </w:pPr>
            <w:r>
              <w:rPr>
                <w:rFonts w:ascii="Aptos" w:hAnsi="Aptos" w:eastAsia="Aptos"/>
                <w:b w:val="0"/>
                <w:color w:val="1F2933"/>
                <w:sz w:val="19"/>
              </w:rPr>
              <w:t>Зафиксированная атрибуция, роли и коммерческие условия.</w:t>
            </w:r>
          </w:p>
        </w:tc>
      </w:tr>
    </w:tbl>
    <w:p>
      <w:pPr>
        <w:spacing w:before="0" w:after="40" w:line="264" w:lineRule="auto"/>
        <w:jc w:val="left"/>
      </w:pPr>
    </w:p>
    <w:p>
      <w:pPr>
        <w:pStyle w:val="Heading2"/>
        <w:keepNext/>
      </w:pPr>
      <w:r>
        <w:t>7.7. Outreach discipline</w:t>
      </w:r>
    </w:p>
    <w:p>
      <w:pPr>
        <w:pStyle w:val="ListBullet"/>
        <w:spacing w:after="80" w:line="264" w:lineRule="auto"/>
      </w:pPr>
      <w:r>
        <w:rPr>
          <w:rFonts w:ascii="Aptos" w:hAnsi="Aptos" w:eastAsia="Aptos"/>
          <w:b/>
          <w:color w:val="0B2545"/>
          <w:sz w:val="22"/>
        </w:rPr>
        <w:t>Account-based, а не массовый.</w:t>
      </w:r>
      <w:r>
        <w:rPr>
          <w:rFonts w:ascii="Aptos" w:hAnsi="Aptos" w:eastAsia="Aptos"/>
          <w:color w:val="1F2933"/>
          <w:sz w:val="22"/>
        </w:rPr>
        <w:t xml:space="preserve"> Для собственников и девелоперов формируется ограниченный target list с причиной контакта и гипотезой ценности.</w:t>
      </w:r>
    </w:p>
    <w:p>
      <w:pPr>
        <w:pStyle w:val="ListBullet"/>
        <w:spacing w:after="80" w:line="264" w:lineRule="auto"/>
      </w:pPr>
      <w:r>
        <w:rPr>
          <w:rFonts w:ascii="Aptos" w:hAnsi="Aptos" w:eastAsia="Aptos"/>
          <w:b/>
          <w:color w:val="0B2545"/>
          <w:sz w:val="22"/>
        </w:rPr>
        <w:t>Событие прежде сообщения.</w:t>
      </w:r>
      <w:r>
        <w:rPr>
          <w:rFonts w:ascii="Aptos" w:hAnsi="Aptos" w:eastAsia="Aptos"/>
          <w:color w:val="1F2933"/>
          <w:sz w:val="22"/>
        </w:rPr>
        <w:t xml:space="preserve"> Outreach опирается на триггер: изменение управления, сдача проекта, слабая загрузка, повторное проживание, запрос рынка или рекомендация.</w:t>
      </w:r>
    </w:p>
    <w:p>
      <w:pPr>
        <w:pStyle w:val="ListBullet"/>
        <w:spacing w:after="80" w:line="264" w:lineRule="auto"/>
      </w:pPr>
      <w:r>
        <w:rPr>
          <w:rFonts w:ascii="Aptos" w:hAnsi="Aptos" w:eastAsia="Aptos"/>
          <w:b/>
          <w:color w:val="0B2545"/>
          <w:sz w:val="22"/>
        </w:rPr>
        <w:t>Один CTA.</w:t>
      </w:r>
      <w:r>
        <w:rPr>
          <w:rFonts w:ascii="Aptos" w:hAnsi="Aptos" w:eastAsia="Aptos"/>
          <w:color w:val="1F2933"/>
          <w:sz w:val="22"/>
        </w:rPr>
        <w:t xml:space="preserve"> Для собственника — разбор актива; для гостя — прямое бронирование или добровольный market briefing; для девелопера — pre-opening review.</w:t>
      </w:r>
    </w:p>
    <w:p>
      <w:pPr>
        <w:pStyle w:val="ListBullet"/>
        <w:spacing w:after="80" w:line="264" w:lineRule="auto"/>
      </w:pPr>
      <w:r>
        <w:rPr>
          <w:rFonts w:ascii="Aptos" w:hAnsi="Aptos" w:eastAsia="Aptos"/>
          <w:b/>
          <w:color w:val="0B2545"/>
          <w:sz w:val="22"/>
        </w:rPr>
        <w:t>Контекст прежде автоматизации.</w:t>
      </w:r>
      <w:r>
        <w:rPr>
          <w:rFonts w:ascii="Aptos" w:hAnsi="Aptos" w:eastAsia="Aptos"/>
          <w:color w:val="1F2933"/>
          <w:sz w:val="22"/>
        </w:rPr>
        <w:t xml:space="preserve"> Автоматизация подготавливает задачу и сообщение, но существенное обращение к собственнику или квалифицированному гостю проходит человеческую проверку.</w:t>
      </w:r>
    </w:p>
    <w:p>
      <w:pPr>
        <w:pStyle w:val="ListBullet"/>
        <w:spacing w:after="80" w:line="264" w:lineRule="auto"/>
      </w:pPr>
      <w:r>
        <w:rPr>
          <w:rFonts w:ascii="Aptos" w:hAnsi="Aptos" w:eastAsia="Aptos"/>
          <w:b/>
          <w:color w:val="0B2545"/>
          <w:sz w:val="22"/>
        </w:rPr>
        <w:t>Частота ограничена.</w:t>
      </w:r>
      <w:r>
        <w:rPr>
          <w:rFonts w:ascii="Aptos" w:hAnsi="Aptos" w:eastAsia="Aptos"/>
          <w:color w:val="1F2933"/>
          <w:sz w:val="22"/>
        </w:rPr>
        <w:t xml:space="preserve"> Система соблюдает channel preference, cooldown, отказ от коммуникации и запрет параллельных обращений от разных сотрудников.</w:t>
      </w:r>
    </w:p>
    <w:p>
      <w:pPr>
        <w:pStyle w:val="ListBullet"/>
        <w:spacing w:after="80" w:line="264" w:lineRule="auto"/>
      </w:pPr>
      <w:r>
        <w:rPr>
          <w:rFonts w:ascii="Aptos" w:hAnsi="Aptos" w:eastAsia="Aptos"/>
          <w:b/>
          <w:color w:val="0B2545"/>
          <w:sz w:val="22"/>
        </w:rPr>
        <w:t>Продажа не вмешивается в сервис.</w:t>
      </w:r>
      <w:r>
        <w:rPr>
          <w:rFonts w:ascii="Aptos" w:hAnsi="Aptos" w:eastAsia="Aptos"/>
          <w:color w:val="1F2933"/>
          <w:sz w:val="22"/>
        </w:rPr>
        <w:t xml:space="preserve"> Операционная команда не получает KPI на продажу недвижимости и передаёт сигнал только с контекстом и согласованием.</w:t>
      </w:r>
    </w:p>
    <w:p>
      <w:pPr>
        <w:pStyle w:val="Heading2"/>
        <w:keepNext/>
      </w:pPr>
      <w:r>
        <w:t>7.8. Метрики Go-to-Market</w:t>
      </w:r>
    </w:p>
    <w:tbl>
      <w:tblPr>
        <w:tblW w:type="dxa" w:w="9360"/>
        <w:jc w:val="left"/>
        <w:tblLayout w:type="fixed"/>
        <w:tblLook w:firstColumn="1" w:firstRow="1" w:lastColumn="0" w:lastRow="0" w:noHBand="0" w:noVBand="1" w:val="04A0"/>
        <w:tblInd w:w="120" w:type="dxa"/>
        <w:tblBorders>
          <w:top w:val="single" w:sz="6" w:space="0" w:color="D6DCE2"/>
          <w:left w:val="single" w:sz="6" w:space="0" w:color="D6DCE2"/>
          <w:bottom w:val="single" w:sz="6" w:space="0" w:color="D6DCE2"/>
          <w:right w:val="single" w:sz="6" w:space="0" w:color="D6DCE2"/>
          <w:insideH w:val="single" w:sz="6" w:space="0" w:color="D6DCE2"/>
          <w:insideV w:val="single" w:sz="6" w:space="0" w:color="D6DCE2"/>
        </w:tblBorders>
      </w:tblPr>
      <w:tblGrid>
        <w:gridCol w:w="2160"/>
        <w:gridCol w:w="7200"/>
      </w:tblGrid>
      <w:tr>
        <w:trPr>
          <w:tblHeader w:val="true"/>
          <w:cantSplit/>
        </w:trPr>
        <w:tc>
          <w:tcPr>
            <w:tcW w:type="dxa" w:w="2160"/>
            <w:shd w:fill="0B2545"/>
            <w:tcMar>
              <w:top w:w="100" w:type="dxa"/>
              <w:start w:w="130" w:type="dxa"/>
              <w:bottom w:w="100" w:type="dxa"/>
              <w:end w:w="130" w:type="dxa"/>
            </w:tcMar>
            <w:vAlign w:val="center"/>
          </w:tcPr>
          <w:p>
            <w:pPr>
              <w:spacing w:after="0" w:line="240" w:lineRule="auto"/>
            </w:pPr>
            <w:r>
              <w:rPr>
                <w:rFonts w:ascii="Aptos" w:hAnsi="Aptos" w:eastAsia="Aptos"/>
                <w:b/>
                <w:color w:val="FFFFFF"/>
                <w:sz w:val="19"/>
              </w:rPr>
              <w:t>УРОВЕНЬ</w:t>
            </w:r>
          </w:p>
        </w:tc>
        <w:tc>
          <w:tcPr>
            <w:tcW w:type="dxa" w:w="7200"/>
            <w:shd w:fill="0B2545"/>
            <w:tcMar>
              <w:top w:w="100" w:type="dxa"/>
              <w:start w:w="130" w:type="dxa"/>
              <w:bottom w:w="100" w:type="dxa"/>
              <w:end w:w="130" w:type="dxa"/>
            </w:tcMar>
            <w:vAlign w:val="center"/>
          </w:tcPr>
          <w:p>
            <w:pPr>
              <w:spacing w:after="0" w:line="240" w:lineRule="auto"/>
            </w:pPr>
            <w:r>
              <w:rPr>
                <w:rFonts w:ascii="Aptos" w:hAnsi="Aptos" w:eastAsia="Aptos"/>
                <w:b/>
                <w:color w:val="FFFFFF"/>
                <w:sz w:val="19"/>
              </w:rPr>
              <w:t>КЛЮЧЕВЫЕ МЕТРИКИ</w:t>
            </w:r>
          </w:p>
        </w:tc>
      </w:tr>
      <w:tr>
        <w:trPr>
          <w:cantSplit/>
        </w:trPr>
        <w:tc>
          <w:tcPr>
            <w:tcW w:type="dxa" w:w="2160"/>
            <w:tcMar>
              <w:top w:w="100" w:type="dxa"/>
              <w:start w:w="130" w:type="dxa"/>
              <w:bottom w:w="100" w:type="dxa"/>
              <w:end w:w="130" w:type="dxa"/>
            </w:tcMar>
            <w:vAlign w:val="center"/>
          </w:tcPr>
          <w:p>
            <w:pPr>
              <w:spacing w:after="0" w:line="252" w:lineRule="auto"/>
            </w:pPr>
            <w:r>
              <w:rPr>
                <w:rFonts w:ascii="Aptos" w:hAnsi="Aptos" w:eastAsia="Aptos"/>
                <w:b/>
                <w:color w:val="0B2545"/>
                <w:sz w:val="19"/>
              </w:rPr>
              <w:t>Portfolio</w:t>
            </w:r>
          </w:p>
        </w:tc>
        <w:tc>
          <w:tcPr>
            <w:tcW w:type="dxa" w:w="7200"/>
            <w:tcMar>
              <w:top w:w="100" w:type="dxa"/>
              <w:start w:w="130" w:type="dxa"/>
              <w:bottom w:w="100" w:type="dxa"/>
              <w:end w:w="130" w:type="dxa"/>
            </w:tcMar>
            <w:vAlign w:val="center"/>
          </w:tcPr>
          <w:p>
            <w:pPr>
              <w:spacing w:after="0" w:line="252" w:lineRule="auto"/>
            </w:pPr>
            <w:r>
              <w:rPr>
                <w:rFonts w:ascii="Aptos" w:hAnsi="Aptos" w:eastAsia="Aptos"/>
                <w:b w:val="0"/>
                <w:color w:val="1F2933"/>
                <w:sz w:val="19"/>
              </w:rPr>
              <w:t>Новые мандаты; управляемые ключи; плотность кластера; срок договора; удержание собственников.</w:t>
            </w:r>
          </w:p>
        </w:tc>
      </w:tr>
      <w:tr>
        <w:trPr>
          <w:cantSplit/>
        </w:trPr>
        <w:tc>
          <w:tcPr>
            <w:tcW w:type="dxa" w:w="2160"/>
            <w:tcMar>
              <w:top w:w="100" w:type="dxa"/>
              <w:start w:w="130" w:type="dxa"/>
              <w:bottom w:w="100" w:type="dxa"/>
              <w:end w:w="130" w:type="dxa"/>
            </w:tcMar>
            <w:vAlign w:val="center"/>
            <w:shd w:fill="FAFBFC"/>
          </w:tcPr>
          <w:p>
            <w:pPr>
              <w:spacing w:after="0" w:line="252" w:lineRule="auto"/>
            </w:pPr>
            <w:r>
              <w:rPr>
                <w:rFonts w:ascii="Aptos" w:hAnsi="Aptos" w:eastAsia="Aptos"/>
                <w:b/>
                <w:color w:val="0B2545"/>
                <w:sz w:val="19"/>
              </w:rPr>
              <w:t>Owner funnel</w:t>
            </w:r>
          </w:p>
        </w:tc>
        <w:tc>
          <w:tcPr>
            <w:tcW w:type="dxa" w:w="720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Target accounts; asset reviews; data rooms; proposals; conversion в мандат; CAC и payback.</w:t>
            </w:r>
          </w:p>
        </w:tc>
      </w:tr>
      <w:tr>
        <w:trPr>
          <w:cantSplit/>
        </w:trPr>
        <w:tc>
          <w:tcPr>
            <w:tcW w:type="dxa" w:w="2160"/>
            <w:tcMar>
              <w:top w:w="100" w:type="dxa"/>
              <w:start w:w="130" w:type="dxa"/>
              <w:bottom w:w="100" w:type="dxa"/>
              <w:end w:w="130" w:type="dxa"/>
            </w:tcMar>
            <w:vAlign w:val="center"/>
          </w:tcPr>
          <w:p>
            <w:pPr>
              <w:spacing w:after="0" w:line="252" w:lineRule="auto"/>
            </w:pPr>
            <w:r>
              <w:rPr>
                <w:rFonts w:ascii="Aptos" w:hAnsi="Aptos" w:eastAsia="Aptos"/>
                <w:b/>
                <w:color w:val="0B2545"/>
                <w:sz w:val="19"/>
              </w:rPr>
              <w:t>Guest economics</w:t>
            </w:r>
          </w:p>
        </w:tc>
        <w:tc>
          <w:tcPr>
            <w:tcW w:type="dxa" w:w="7200"/>
            <w:tcMar>
              <w:top w:w="100" w:type="dxa"/>
              <w:start w:w="130" w:type="dxa"/>
              <w:bottom w:w="100" w:type="dxa"/>
              <w:end w:w="130" w:type="dxa"/>
            </w:tcMar>
            <w:vAlign w:val="center"/>
          </w:tcPr>
          <w:p>
            <w:pPr>
              <w:spacing w:after="0" w:line="252" w:lineRule="auto"/>
            </w:pPr>
            <w:r>
              <w:rPr>
                <w:rFonts w:ascii="Aptos" w:hAnsi="Aptos" w:eastAsia="Aptos"/>
                <w:b w:val="0"/>
                <w:color w:val="1F2933"/>
                <w:sz w:val="19"/>
              </w:rPr>
              <w:t>Direct share; repeat rate; согласованная база; contribution margin и lifetime value когорты.</w:t>
            </w:r>
          </w:p>
        </w:tc>
      </w:tr>
      <w:tr>
        <w:trPr>
          <w:cantSplit/>
        </w:trPr>
        <w:tc>
          <w:tcPr>
            <w:tcW w:type="dxa" w:w="2160"/>
            <w:tcMar>
              <w:top w:w="100" w:type="dxa"/>
              <w:start w:w="130" w:type="dxa"/>
              <w:bottom w:w="100" w:type="dxa"/>
              <w:end w:w="130" w:type="dxa"/>
            </w:tcMar>
            <w:vAlign w:val="center"/>
            <w:shd w:fill="FAFBFC"/>
          </w:tcPr>
          <w:p>
            <w:pPr>
              <w:spacing w:after="0" w:line="252" w:lineRule="auto"/>
            </w:pPr>
            <w:r>
              <w:rPr>
                <w:rFonts w:ascii="Aptos" w:hAnsi="Aptos" w:eastAsia="Aptos"/>
                <w:b/>
                <w:color w:val="0B2545"/>
                <w:sz w:val="19"/>
              </w:rPr>
              <w:t>Guest-to-owner</w:t>
            </w:r>
          </w:p>
        </w:tc>
        <w:tc>
          <w:tcPr>
            <w:tcW w:type="dxa" w:w="720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Сигналы интереса; квалифицированные покупатели; конверсия в сделку и мандат; время перехода.</w:t>
            </w:r>
          </w:p>
        </w:tc>
      </w:tr>
      <w:tr>
        <w:trPr>
          <w:cantSplit/>
        </w:trPr>
        <w:tc>
          <w:tcPr>
            <w:tcW w:type="dxa" w:w="2160"/>
            <w:tcMar>
              <w:top w:w="100" w:type="dxa"/>
              <w:start w:w="130" w:type="dxa"/>
              <w:bottom w:w="100" w:type="dxa"/>
              <w:end w:w="130" w:type="dxa"/>
            </w:tcMar>
            <w:vAlign w:val="center"/>
          </w:tcPr>
          <w:p>
            <w:pPr>
              <w:spacing w:after="0" w:line="252" w:lineRule="auto"/>
            </w:pPr>
            <w:r>
              <w:rPr>
                <w:rFonts w:ascii="Aptos" w:hAnsi="Aptos" w:eastAsia="Aptos"/>
                <w:b/>
                <w:color w:val="0B2545"/>
                <w:sz w:val="19"/>
              </w:rPr>
              <w:t>Referral</w:t>
            </w:r>
          </w:p>
        </w:tc>
        <w:tc>
          <w:tcPr>
            <w:tcW w:type="dxa" w:w="7200"/>
            <w:tcMar>
              <w:top w:w="100" w:type="dxa"/>
              <w:start w:w="130" w:type="dxa"/>
              <w:bottom w:w="100" w:type="dxa"/>
              <w:end w:w="130" w:type="dxa"/>
            </w:tcMar>
            <w:vAlign w:val="center"/>
          </w:tcPr>
          <w:p>
            <w:pPr>
              <w:spacing w:after="0" w:line="252" w:lineRule="auto"/>
            </w:pPr>
            <w:r>
              <w:rPr>
                <w:rFonts w:ascii="Aptos" w:hAnsi="Aptos" w:eastAsia="Aptos"/>
                <w:b w:val="0"/>
                <w:color w:val="1F2933"/>
                <w:sz w:val="19"/>
              </w:rPr>
              <w:t>Доля рекомендаций; конверсия по источнику; выплаченная комиссия; отсутствие споров атрибуции.</w:t>
            </w:r>
          </w:p>
        </w:tc>
      </w:tr>
      <w:tr>
        <w:trPr>
          <w:cantSplit/>
        </w:trPr>
        <w:tc>
          <w:tcPr>
            <w:tcW w:type="dxa" w:w="2160"/>
            <w:tcMar>
              <w:top w:w="100" w:type="dxa"/>
              <w:start w:w="130" w:type="dxa"/>
              <w:bottom w:w="100" w:type="dxa"/>
              <w:end w:w="130" w:type="dxa"/>
            </w:tcMar>
            <w:vAlign w:val="center"/>
            <w:shd w:fill="FAFBFC"/>
          </w:tcPr>
          <w:p>
            <w:pPr>
              <w:spacing w:after="0" w:line="252" w:lineRule="auto"/>
            </w:pPr>
            <w:r>
              <w:rPr>
                <w:rFonts w:ascii="Aptos" w:hAnsi="Aptos" w:eastAsia="Aptos"/>
                <w:b/>
                <w:color w:val="0B2545"/>
                <w:sz w:val="19"/>
              </w:rPr>
              <w:t>Quality</w:t>
            </w:r>
          </w:p>
        </w:tc>
        <w:tc>
          <w:tcPr>
            <w:tcW w:type="dxa" w:w="720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Скорость ответа; NPS / отзывы; открытые жалобы; opt-out; нарушения данных и несогласованные контакты.</w:t>
            </w:r>
          </w:p>
        </w:tc>
      </w:tr>
    </w:tbl>
    <w:p>
      <w:pPr>
        <w:spacing w:before="0" w:after="40" w:line="264" w:lineRule="auto"/>
        <w:jc w:val="left"/>
      </w:pPr>
    </w:p>
    <w:p>
      <w:pPr>
        <w:pStyle w:val="Heading2"/>
        <w:keepNext/>
      </w:pPr>
      <w:r>
        <w:t>7.9. Этапы реализации</w:t>
      </w:r>
    </w:p>
    <w:tbl>
      <w:tblPr>
        <w:tblW w:type="dxa" w:w="9360"/>
        <w:jc w:val="left"/>
        <w:tblLayout w:type="fixed"/>
        <w:tblLook w:firstColumn="1" w:firstRow="1" w:lastColumn="0" w:lastRow="0" w:noHBand="0" w:noVBand="1" w:val="04A0"/>
        <w:tblInd w:w="120" w:type="dxa"/>
        <w:tblBorders>
          <w:top w:val="single" w:sz="6" w:space="0" w:color="D6DCE2"/>
          <w:left w:val="single" w:sz="6" w:space="0" w:color="D6DCE2"/>
          <w:bottom w:val="single" w:sz="6" w:space="0" w:color="D6DCE2"/>
          <w:right w:val="single" w:sz="6" w:space="0" w:color="D6DCE2"/>
          <w:insideH w:val="single" w:sz="6" w:space="0" w:color="D6DCE2"/>
          <w:insideV w:val="single" w:sz="6" w:space="0" w:color="D6DCE2"/>
        </w:tblBorders>
      </w:tblPr>
      <w:tblGrid>
        <w:gridCol w:w="2100"/>
        <w:gridCol w:w="4380"/>
        <w:gridCol w:w="2880"/>
      </w:tblGrid>
      <w:tr>
        <w:trPr>
          <w:tblHeader w:val="true"/>
          <w:cantSplit/>
        </w:trPr>
        <w:tc>
          <w:tcPr>
            <w:tcW w:type="dxa" w:w="2100"/>
            <w:shd w:fill="0B2545"/>
            <w:tcMar>
              <w:top w:w="100" w:type="dxa"/>
              <w:start w:w="130" w:type="dxa"/>
              <w:bottom w:w="100" w:type="dxa"/>
              <w:end w:w="130" w:type="dxa"/>
            </w:tcMar>
            <w:vAlign w:val="center"/>
          </w:tcPr>
          <w:p>
            <w:pPr>
              <w:spacing w:after="0" w:line="240" w:lineRule="auto"/>
            </w:pPr>
            <w:r>
              <w:rPr>
                <w:rFonts w:ascii="Aptos" w:hAnsi="Aptos" w:eastAsia="Aptos"/>
                <w:b/>
                <w:color w:val="FFFFFF"/>
                <w:sz w:val="19"/>
              </w:rPr>
              <w:t>ЭТАП</w:t>
            </w:r>
          </w:p>
        </w:tc>
        <w:tc>
          <w:tcPr>
            <w:tcW w:type="dxa" w:w="4380"/>
            <w:shd w:fill="0B2545"/>
            <w:tcMar>
              <w:top w:w="100" w:type="dxa"/>
              <w:start w:w="130" w:type="dxa"/>
              <w:bottom w:w="100" w:type="dxa"/>
              <w:end w:w="130" w:type="dxa"/>
            </w:tcMar>
            <w:vAlign w:val="center"/>
          </w:tcPr>
          <w:p>
            <w:pPr>
              <w:spacing w:after="0" w:line="240" w:lineRule="auto"/>
            </w:pPr>
            <w:r>
              <w:rPr>
                <w:rFonts w:ascii="Aptos" w:hAnsi="Aptos" w:eastAsia="Aptos"/>
                <w:b/>
                <w:color w:val="FFFFFF"/>
                <w:sz w:val="19"/>
              </w:rPr>
              <w:t>ПРИОРИТЕТ</w:t>
            </w:r>
          </w:p>
        </w:tc>
        <w:tc>
          <w:tcPr>
            <w:tcW w:type="dxa" w:w="2880"/>
            <w:shd w:fill="0B2545"/>
            <w:tcMar>
              <w:top w:w="100" w:type="dxa"/>
              <w:start w:w="130" w:type="dxa"/>
              <w:bottom w:w="100" w:type="dxa"/>
              <w:end w:w="130" w:type="dxa"/>
            </w:tcMar>
            <w:vAlign w:val="center"/>
          </w:tcPr>
          <w:p>
            <w:pPr>
              <w:spacing w:after="0" w:line="240" w:lineRule="auto"/>
            </w:pPr>
            <w:r>
              <w:rPr>
                <w:rFonts w:ascii="Aptos" w:hAnsi="Aptos" w:eastAsia="Aptos"/>
                <w:b/>
                <w:color w:val="FFFFFF"/>
                <w:sz w:val="19"/>
              </w:rPr>
              <w:t>КРИТЕРИЙ ГОТОВНОСТИ</w:t>
            </w:r>
          </w:p>
        </w:tc>
      </w:tr>
      <w:tr>
        <w:trPr>
          <w:cantSplit/>
        </w:trPr>
        <w:tc>
          <w:tcPr>
            <w:tcW w:type="dxa" w:w="2100"/>
            <w:tcMar>
              <w:top w:w="100" w:type="dxa"/>
              <w:start w:w="130" w:type="dxa"/>
              <w:bottom w:w="100" w:type="dxa"/>
              <w:end w:w="130" w:type="dxa"/>
            </w:tcMar>
            <w:vAlign w:val="center"/>
          </w:tcPr>
          <w:p>
            <w:pPr>
              <w:spacing w:after="0" w:line="252" w:lineRule="auto"/>
            </w:pPr>
            <w:r>
              <w:rPr>
                <w:rFonts w:ascii="Aptos" w:hAnsi="Aptos" w:eastAsia="Aptos"/>
                <w:b/>
                <w:color w:val="0B2545"/>
                <w:sz w:val="19"/>
              </w:rPr>
              <w:t>0–90 дней: foundation</w:t>
            </w:r>
          </w:p>
        </w:tc>
        <w:tc>
          <w:tcPr>
            <w:tcW w:type="dxa" w:w="4380"/>
            <w:tcMar>
              <w:top w:w="100" w:type="dxa"/>
              <w:start w:w="130" w:type="dxa"/>
              <w:bottom w:w="100" w:type="dxa"/>
              <w:end w:w="130" w:type="dxa"/>
            </w:tcMar>
            <w:vAlign w:val="center"/>
          </w:tcPr>
          <w:p>
            <w:pPr>
              <w:spacing w:after="0" w:line="252" w:lineRule="auto"/>
            </w:pPr>
            <w:r>
              <w:rPr>
                <w:rFonts w:ascii="Aptos" w:hAnsi="Aptos" w:eastAsia="Aptos"/>
                <w:b w:val="0"/>
                <w:color w:val="1F2933"/>
                <w:sz w:val="19"/>
              </w:rPr>
              <w:t>Единый Party ID, роли и согласия; миграция текущих собственников, лидов и гостей; owner и guest funnels; один отчёт по источникам.</w:t>
            </w:r>
          </w:p>
        </w:tc>
        <w:tc>
          <w:tcPr>
            <w:tcW w:type="dxa" w:w="2880"/>
            <w:tcMar>
              <w:top w:w="100" w:type="dxa"/>
              <w:start w:w="130" w:type="dxa"/>
              <w:bottom w:w="100" w:type="dxa"/>
              <w:end w:w="130" w:type="dxa"/>
            </w:tcMar>
            <w:vAlign w:val="center"/>
          </w:tcPr>
          <w:p>
            <w:pPr>
              <w:spacing w:after="0" w:line="252" w:lineRule="auto"/>
            </w:pPr>
            <w:r>
              <w:rPr>
                <w:rFonts w:ascii="Aptos" w:hAnsi="Aptos" w:eastAsia="Aptos"/>
                <w:b w:val="0"/>
                <w:color w:val="1F2933"/>
                <w:sz w:val="19"/>
              </w:rPr>
              <w:t>Критические дубли устранены; у активных клиентов есть владелец отношений и следующий шаг.</w:t>
            </w:r>
          </w:p>
        </w:tc>
      </w:tr>
      <w:tr>
        <w:trPr>
          <w:cantSplit/>
        </w:trPr>
        <w:tc>
          <w:tcPr>
            <w:tcW w:type="dxa" w:w="2100"/>
            <w:tcMar>
              <w:top w:w="100" w:type="dxa"/>
              <w:start w:w="130" w:type="dxa"/>
              <w:bottom w:w="100" w:type="dxa"/>
              <w:end w:w="130" w:type="dxa"/>
            </w:tcMar>
            <w:vAlign w:val="center"/>
            <w:shd w:fill="FAFBFC"/>
          </w:tcPr>
          <w:p>
            <w:pPr>
              <w:spacing w:after="0" w:line="252" w:lineRule="auto"/>
            </w:pPr>
            <w:r>
              <w:rPr>
                <w:rFonts w:ascii="Aptos" w:hAnsi="Aptos" w:eastAsia="Aptos"/>
                <w:b/>
                <w:color w:val="0B2545"/>
                <w:sz w:val="19"/>
              </w:rPr>
              <w:t>3–6 месяцев: proof</w:t>
            </w:r>
          </w:p>
        </w:tc>
        <w:tc>
          <w:tcPr>
            <w:tcW w:type="dxa" w:w="438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Layantara и целевой коридор; direct booking; asset review; соседние собственники; гостевые lifecycle-триггеры.</w:t>
            </w:r>
          </w:p>
        </w:tc>
        <w:tc>
          <w:tcPr>
            <w:tcW w:type="dxa" w:w="288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Получены первые мандаты и квалифицированные переходы из гостевой базы; измерима конверсия.</w:t>
            </w:r>
          </w:p>
        </w:tc>
      </w:tr>
      <w:tr>
        <w:trPr>
          <w:cantSplit/>
        </w:trPr>
        <w:tc>
          <w:tcPr>
            <w:tcW w:type="dxa" w:w="2100"/>
            <w:tcMar>
              <w:top w:w="100" w:type="dxa"/>
              <w:start w:w="130" w:type="dxa"/>
              <w:bottom w:w="100" w:type="dxa"/>
              <w:end w:w="130" w:type="dxa"/>
            </w:tcMar>
            <w:vAlign w:val="center"/>
          </w:tcPr>
          <w:p>
            <w:pPr>
              <w:spacing w:after="0" w:line="252" w:lineRule="auto"/>
            </w:pPr>
            <w:r>
              <w:rPr>
                <w:rFonts w:ascii="Aptos" w:hAnsi="Aptos" w:eastAsia="Aptos"/>
                <w:b/>
                <w:color w:val="0B2545"/>
                <w:sz w:val="19"/>
              </w:rPr>
              <w:t>6–12 месяцев: scale</w:t>
            </w:r>
          </w:p>
        </w:tc>
        <w:tc>
          <w:tcPr>
            <w:tcW w:type="dxa" w:w="4380"/>
            <w:tcMar>
              <w:top w:w="100" w:type="dxa"/>
              <w:start w:w="130" w:type="dxa"/>
              <w:bottom w:w="100" w:type="dxa"/>
              <w:end w:w="130" w:type="dxa"/>
            </w:tcMar>
            <w:vAlign w:val="center"/>
          </w:tcPr>
          <w:p>
            <w:pPr>
              <w:spacing w:after="0" w:line="252" w:lineRule="auto"/>
            </w:pPr>
            <w:r>
              <w:rPr>
                <w:rFonts w:ascii="Aptos" w:hAnsi="Aptos" w:eastAsia="Aptos"/>
                <w:b w:val="0"/>
                <w:color w:val="1F2933"/>
                <w:sz w:val="19"/>
              </w:rPr>
              <w:t>Building clusters, pre-opening mandates, профессиональные рефереры, evidence content и выборочный paid acquisition.</w:t>
            </w:r>
          </w:p>
        </w:tc>
        <w:tc>
          <w:tcPr>
            <w:tcW w:type="dxa" w:w="2880"/>
            <w:tcMar>
              <w:top w:w="100" w:type="dxa"/>
              <w:start w:w="130" w:type="dxa"/>
              <w:bottom w:w="100" w:type="dxa"/>
              <w:end w:w="130" w:type="dxa"/>
            </w:tcMar>
            <w:vAlign w:val="center"/>
          </w:tcPr>
          <w:p>
            <w:pPr>
              <w:spacing w:after="0" w:line="252" w:lineRule="auto"/>
            </w:pPr>
            <w:r>
              <w:rPr>
                <w:rFonts w:ascii="Aptos" w:hAnsi="Aptos" w:eastAsia="Aptos"/>
                <w:b w:val="0"/>
                <w:color w:val="1F2933"/>
                <w:sz w:val="19"/>
              </w:rPr>
              <w:t>Положительная экономика канала, соблюдение SLA и отсутствие зависимости от ручной памяти Павла.</w:t>
            </w:r>
          </w:p>
        </w:tc>
      </w:tr>
    </w:tbl>
    <w:p>
      <w:pPr>
        <w:spacing w:before="0" w:after="40" w:line="264" w:lineRule="auto"/>
        <w:jc w:val="left"/>
      </w:pPr>
    </w:p>
    <w:p>
      <w:pPr>
        <w:pStyle w:val="Heading2"/>
        <w:keepNext/>
      </w:pPr>
      <w:r>
        <w:t>7.10. Управленческий ритм</w:t>
      </w:r>
    </w:p>
    <w:p>
      <w:pPr>
        <w:pStyle w:val="ListBullet"/>
        <w:spacing w:after="80" w:line="264" w:lineRule="auto"/>
      </w:pPr>
      <w:r>
        <w:rPr>
          <w:rFonts w:ascii="Aptos" w:hAnsi="Aptos" w:eastAsia="Aptos"/>
          <w:color w:val="1F2933"/>
          <w:sz w:val="22"/>
        </w:rPr>
        <w:t>Еженедельно: pipeline review по собственникам, покупателям и переходам из гостевого контура; следующий шаг и blocker по каждой существенной записи.</w:t>
      </w:r>
    </w:p>
    <w:p>
      <w:pPr>
        <w:pStyle w:val="ListBullet"/>
        <w:spacing w:after="80" w:line="264" w:lineRule="auto"/>
      </w:pPr>
      <w:r>
        <w:rPr>
          <w:rFonts w:ascii="Aptos" w:hAnsi="Aptos" w:eastAsia="Aptos"/>
          <w:color w:val="1F2933"/>
          <w:sz w:val="22"/>
        </w:rPr>
        <w:t>Ежемесячно: cohort review гостей, повторных клиентов, источников, прямых бронирований и guest-to-owner conversion.</w:t>
      </w:r>
    </w:p>
    <w:p>
      <w:pPr>
        <w:pStyle w:val="ListBullet"/>
        <w:spacing w:after="80" w:line="264" w:lineRule="auto"/>
      </w:pPr>
      <w:r>
        <w:rPr>
          <w:rFonts w:ascii="Aptos" w:hAnsi="Aptos" w:eastAsia="Aptos"/>
          <w:color w:val="1F2933"/>
          <w:sz w:val="22"/>
        </w:rPr>
        <w:t>Ежеквартально: экономика канала, плотность кластера, качество портфеля и решение — усиливать, исправлять или закрывать канал.</w:t>
      </w:r>
    </w:p>
    <w:p>
      <w:pPr>
        <w:pStyle w:val="ListBullet"/>
        <w:spacing w:after="80" w:line="264" w:lineRule="auto"/>
      </w:pPr>
      <w:r>
        <w:rPr>
          <w:rFonts w:ascii="Aptos" w:hAnsi="Aptos" w:eastAsia="Aptos"/>
          <w:color w:val="1F2933"/>
          <w:sz w:val="22"/>
        </w:rPr>
        <w:t>Ответственность: один коммерческий владелец GTM; операционные, финансовые и маркетинговые данные сходятся в едином отчёте.</w:t>
      </w:r>
    </w:p>
    <w:p>
      <w:pPr>
        <w:pStyle w:val="Heading1"/>
        <w:keepNext/>
      </w:pPr>
      <w:r>
        <w:t>8. Операционные продуктовые линии</w:t>
      </w:r>
    </w:p>
    <w:p>
      <w:pPr>
        <w:pStyle w:val="Heading2"/>
        <w:keepNext/>
      </w:pPr>
      <w:r>
        <w:t>8.1. myUNO Villas</w:t>
      </w:r>
    </w:p>
    <w:p>
      <w:pPr>
        <w:spacing w:before="0" w:after="120" w:line="264" w:lineRule="auto"/>
        <w:jc w:val="left"/>
      </w:pPr>
      <w:r>
        <w:rPr>
          <w:rFonts w:ascii="Aptos" w:hAnsi="Aptos" w:eastAsia="Aptos"/>
          <w:b w:val="0"/>
          <w:i w:val="0"/>
          <w:color w:val="1F2933"/>
          <w:sz w:val="22"/>
        </w:rPr>
        <w:t>Операционная линия для вилл, резортов и иных объектов, работающих в законно разрешённом режиме краткосрочного размещения. Основные показатели: загрузка, средняя цена, доход на доступный ключ, прямые бронирования, операционная прибыль, качество обслуживания и сохранность актива.</w:t>
      </w:r>
    </w:p>
    <w:p>
      <w:pPr>
        <w:pStyle w:val="Heading2"/>
        <w:keepNext/>
      </w:pPr>
      <w:r>
        <w:t>8.2. myUNO Residences</w:t>
      </w:r>
    </w:p>
    <w:p>
      <w:pPr>
        <w:spacing w:before="0" w:after="120" w:line="264" w:lineRule="auto"/>
        <w:jc w:val="left"/>
      </w:pPr>
      <w:r>
        <w:rPr>
          <w:rFonts w:ascii="Aptos" w:hAnsi="Aptos" w:eastAsia="Aptos"/>
          <w:b w:val="0"/>
          <w:i w:val="0"/>
          <w:color w:val="1F2933"/>
          <w:sz w:val="22"/>
        </w:rPr>
        <w:t>Операционная линия управляемых резиденций для средне- и долгосрочного проживания в режиме, разрешённом для конкретного объекта. Основные показатели: валовой арендный доход, скорректированный NOI, срок экспозиции, срок договора, собираемость платежей, удержание резидентов, эксплуатационные расходы и состояние объекта.</w:t>
      </w:r>
    </w:p>
    <w:tbl>
      <w:tblPr>
        <w:tblW w:type="dxa" w:w="9360"/>
        <w:jc w:val="left"/>
        <w:tblLook w:firstColumn="1" w:firstRow="1" w:lastColumn="0" w:lastRow="0" w:noHBand="0" w:noVBand="1" w:val="04A0"/>
        <w:tblInd w:w="120" w:type="dxa"/>
        <w:tblBorders>
          <w:top w:val="single" w:sz="4" w:space="0" w:color="E8EEF5"/>
          <w:left w:val="single" w:sz="4" w:space="0" w:color="E8EEF5"/>
          <w:bottom w:val="single" w:sz="4" w:space="0" w:color="E8EEF5"/>
          <w:right w:val="single" w:sz="4" w:space="0" w:color="E8EEF5"/>
          <w:insideH w:val="single" w:sz="4" w:space="0" w:color="E8EEF5"/>
          <w:insideV w:val="single" w:sz="4" w:space="0" w:color="E8EEF5"/>
        </w:tblBorders>
      </w:tblPr>
      <w:tblGrid>
        <w:gridCol w:w="9360"/>
      </w:tblGrid>
      <w:tr>
        <w:tc>
          <w:tcPr>
            <w:tcW w:type="dxa" w:w="9360"/>
            <w:shd w:fill="E8EEF5"/>
            <w:tcMar>
              <w:top w:w="150" w:type="dxa"/>
              <w:start w:w="180" w:type="dxa"/>
              <w:bottom w:w="150" w:type="dxa"/>
              <w:end w:w="180" w:type="dxa"/>
            </w:tcMar>
          </w:tcPr>
          <w:p>
            <w:pPr>
              <w:spacing w:after="0" w:line="269" w:lineRule="auto"/>
            </w:pPr>
            <w:r>
              <w:rPr>
                <w:rFonts w:ascii="Aptos" w:hAnsi="Aptos" w:eastAsia="Aptos"/>
                <w:b/>
                <w:color w:val="0B2545"/>
                <w:sz w:val="21"/>
              </w:rPr>
              <w:t xml:space="preserve">Правило терминологии. </w:t>
            </w:r>
            <w:r>
              <w:rPr>
                <w:rFonts w:ascii="Aptos" w:hAnsi="Aptos" w:eastAsia="Aptos"/>
                <w:color w:val="1F2933"/>
                <w:sz w:val="21"/>
              </w:rPr>
              <w:t>В публичной коммуникации используется формулировка «управляемые резиденции». Правовой режим, допустимый срок проживания, требования здания и обязанности сторон определяются по каждому активу отдельно.</w:t>
            </w:r>
          </w:p>
        </w:tc>
      </w:tr>
    </w:tbl>
    <w:p>
      <w:pPr>
        <w:spacing w:before="0" w:after="40" w:line="264" w:lineRule="auto"/>
        <w:jc w:val="left"/>
      </w:pPr>
    </w:p>
    <w:p>
      <w:pPr>
        <w:pStyle w:val="Heading2"/>
        <w:keepNext/>
      </w:pPr>
      <w:r>
        <w:t>8.3. Уровни операционного мандата</w:t>
      </w:r>
    </w:p>
    <w:p>
      <w:pPr>
        <w:spacing w:before="0" w:after="120" w:line="264" w:lineRule="auto"/>
        <w:jc w:val="left"/>
      </w:pPr>
      <w:r>
        <w:rPr>
          <w:rFonts w:ascii="Aptos" w:hAnsi="Aptos" w:eastAsia="Aptos"/>
          <w:b w:val="0"/>
          <w:i w:val="0"/>
          <w:color w:val="1F2933"/>
          <w:sz w:val="22"/>
        </w:rPr>
        <w:t>Тип актива не определяет глубину ответственности сам по себе. Договор отдельно фиксирует периметр контроля, права оператора и границы публичного представления.</w:t>
      </w:r>
    </w:p>
    <w:tbl>
      <w:tblPr>
        <w:tblW w:type="dxa" w:w="9360"/>
        <w:jc w:val="left"/>
        <w:tblLayout w:type="fixed"/>
        <w:tblLook w:firstColumn="1" w:firstRow="1" w:lastColumn="0" w:lastRow="0" w:noHBand="0" w:noVBand="1" w:val="04A0"/>
        <w:tblInd w:w="120" w:type="dxa"/>
        <w:tblBorders>
          <w:top w:val="single" w:sz="6" w:space="0" w:color="D6DCE2"/>
          <w:left w:val="single" w:sz="6" w:space="0" w:color="D6DCE2"/>
          <w:bottom w:val="single" w:sz="6" w:space="0" w:color="D6DCE2"/>
          <w:right w:val="single" w:sz="6" w:space="0" w:color="D6DCE2"/>
          <w:insideH w:val="single" w:sz="6" w:space="0" w:color="D6DCE2"/>
          <w:insideV w:val="single" w:sz="6" w:space="0" w:color="D6DCE2"/>
        </w:tblBorders>
      </w:tblPr>
      <w:tblGrid>
        <w:gridCol w:w="1740"/>
        <w:gridCol w:w="4500"/>
        <w:gridCol w:w="3120"/>
      </w:tblGrid>
      <w:tr>
        <w:trPr>
          <w:tblHeader w:val="true"/>
          <w:cantSplit/>
        </w:trPr>
        <w:tc>
          <w:tcPr>
            <w:tcW w:type="dxa" w:w="1740"/>
            <w:shd w:fill="0B2545"/>
            <w:tcMar>
              <w:top w:w="100" w:type="dxa"/>
              <w:start w:w="130" w:type="dxa"/>
              <w:bottom w:w="100" w:type="dxa"/>
              <w:end w:w="130" w:type="dxa"/>
            </w:tcMar>
            <w:vAlign w:val="center"/>
          </w:tcPr>
          <w:p>
            <w:pPr>
              <w:spacing w:after="0" w:line="240" w:lineRule="auto"/>
            </w:pPr>
            <w:r>
              <w:rPr>
                <w:rFonts w:ascii="Aptos" w:hAnsi="Aptos" w:eastAsia="Aptos"/>
                <w:b/>
                <w:color w:val="FFFFFF"/>
                <w:sz w:val="19"/>
              </w:rPr>
              <w:t>МАНДАТ</w:t>
            </w:r>
          </w:p>
        </w:tc>
        <w:tc>
          <w:tcPr>
            <w:tcW w:type="dxa" w:w="4500"/>
            <w:shd w:fill="0B2545"/>
            <w:tcMar>
              <w:top w:w="100" w:type="dxa"/>
              <w:start w:w="130" w:type="dxa"/>
              <w:bottom w:w="100" w:type="dxa"/>
              <w:end w:w="130" w:type="dxa"/>
            </w:tcMar>
            <w:vAlign w:val="center"/>
          </w:tcPr>
          <w:p>
            <w:pPr>
              <w:spacing w:after="0" w:line="240" w:lineRule="auto"/>
            </w:pPr>
            <w:r>
              <w:rPr>
                <w:rFonts w:ascii="Aptos" w:hAnsi="Aptos" w:eastAsia="Aptos"/>
                <w:b/>
                <w:color w:val="FFFFFF"/>
                <w:sz w:val="19"/>
              </w:rPr>
              <w:t>ПЕРИМЕТР КОНТРОЛЯ</w:t>
            </w:r>
          </w:p>
        </w:tc>
        <w:tc>
          <w:tcPr>
            <w:tcW w:type="dxa" w:w="3120"/>
            <w:shd w:fill="0B2545"/>
            <w:tcMar>
              <w:top w:w="100" w:type="dxa"/>
              <w:start w:w="130" w:type="dxa"/>
              <w:bottom w:w="100" w:type="dxa"/>
              <w:end w:w="130" w:type="dxa"/>
            </w:tcMar>
            <w:vAlign w:val="center"/>
          </w:tcPr>
          <w:p>
            <w:pPr>
              <w:spacing w:after="0" w:line="240" w:lineRule="auto"/>
            </w:pPr>
            <w:r>
              <w:rPr>
                <w:rFonts w:ascii="Aptos" w:hAnsi="Aptos" w:eastAsia="Aptos"/>
                <w:b/>
                <w:color w:val="FFFFFF"/>
                <w:sz w:val="19"/>
              </w:rPr>
              <w:t>ПОЗИЦИЯ myUNO</w:t>
            </w:r>
          </w:p>
        </w:tc>
      </w:tr>
      <w:tr>
        <w:trPr>
          <w:cantSplit/>
        </w:trPr>
        <w:tc>
          <w:tcPr>
            <w:tcW w:type="dxa" w:w="1740"/>
            <w:tcMar>
              <w:top w:w="100" w:type="dxa"/>
              <w:start w:w="130" w:type="dxa"/>
              <w:bottom w:w="100" w:type="dxa"/>
              <w:end w:w="130" w:type="dxa"/>
            </w:tcMar>
            <w:vAlign w:val="center"/>
          </w:tcPr>
          <w:p>
            <w:pPr>
              <w:spacing w:after="0" w:line="252" w:lineRule="auto"/>
            </w:pPr>
            <w:r>
              <w:rPr>
                <w:rFonts w:ascii="Aptos" w:hAnsi="Aptos" w:eastAsia="Aptos"/>
                <w:b/>
                <w:color w:val="0B2545"/>
                <w:sz w:val="19"/>
              </w:rPr>
              <w:t>Unit Cluster</w:t>
            </w:r>
          </w:p>
        </w:tc>
        <w:tc>
          <w:tcPr>
            <w:tcW w:type="dxa" w:w="4500"/>
            <w:tcMar>
              <w:top w:w="100" w:type="dxa"/>
              <w:start w:w="130" w:type="dxa"/>
              <w:bottom w:w="100" w:type="dxa"/>
              <w:end w:w="130" w:type="dxa"/>
            </w:tcMar>
            <w:vAlign w:val="center"/>
          </w:tcPr>
          <w:p>
            <w:pPr>
              <w:spacing w:after="0" w:line="252" w:lineRule="auto"/>
            </w:pPr>
            <w:r>
              <w:rPr>
                <w:rFonts w:ascii="Aptos" w:hAnsi="Aptos" w:eastAsia="Aptos"/>
                <w:b w:val="0"/>
                <w:color w:val="1F2933"/>
                <w:sz w:val="19"/>
              </w:rPr>
              <w:t>Несколько квартир или вилл внутри одного комплекса. Компания управляет только переданными юнитами и не представляет всё здание.</w:t>
            </w:r>
          </w:p>
        </w:tc>
        <w:tc>
          <w:tcPr>
            <w:tcW w:type="dxa" w:w="3120"/>
            <w:tcMar>
              <w:top w:w="100" w:type="dxa"/>
              <w:start w:w="130" w:type="dxa"/>
              <w:bottom w:w="100" w:type="dxa"/>
              <w:end w:w="130" w:type="dxa"/>
            </w:tcMar>
            <w:vAlign w:val="center"/>
          </w:tcPr>
          <w:p>
            <w:pPr>
              <w:spacing w:after="0" w:line="252" w:lineRule="auto"/>
            </w:pPr>
            <w:r>
              <w:rPr>
                <w:rFonts w:ascii="Aptos" w:hAnsi="Aptos" w:eastAsia="Aptos"/>
                <w:b w:val="0"/>
                <w:color w:val="1F2933"/>
                <w:sz w:val="19"/>
              </w:rPr>
              <w:t>myUNO Residences / Villas применяется только к управляемому инвентарю.</w:t>
            </w:r>
          </w:p>
        </w:tc>
      </w:tr>
      <w:tr>
        <w:trPr>
          <w:cantSplit/>
        </w:trPr>
        <w:tc>
          <w:tcPr>
            <w:tcW w:type="dxa" w:w="1740"/>
            <w:tcMar>
              <w:top w:w="100" w:type="dxa"/>
              <w:start w:w="130" w:type="dxa"/>
              <w:bottom w:w="100" w:type="dxa"/>
              <w:end w:w="130" w:type="dxa"/>
            </w:tcMar>
            <w:vAlign w:val="center"/>
            <w:shd w:fill="FAFBFC"/>
          </w:tcPr>
          <w:p>
            <w:pPr>
              <w:spacing w:after="0" w:line="252" w:lineRule="auto"/>
            </w:pPr>
            <w:r>
              <w:rPr>
                <w:rFonts w:ascii="Aptos" w:hAnsi="Aptos" w:eastAsia="Aptos"/>
                <w:b/>
                <w:color w:val="0B2545"/>
                <w:sz w:val="19"/>
              </w:rPr>
              <w:t>Managed Pool</w:t>
            </w:r>
          </w:p>
        </w:tc>
        <w:tc>
          <w:tcPr>
            <w:tcW w:type="dxa" w:w="450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Все или значительная часть инвестиционных юнитов либо единый арендный пул. Продажи, revenue management, обслуживание и отчётность централизованы в пределах пула.</w:t>
            </w:r>
          </w:p>
        </w:tc>
        <w:tc>
          <w:tcPr>
            <w:tcW w:type="dxa" w:w="312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myUNO может стать основным брендом программы управления; общие зоны не включаются без отдельного мандата.</w:t>
            </w:r>
          </w:p>
        </w:tc>
      </w:tr>
      <w:tr>
        <w:trPr>
          <w:cantSplit/>
        </w:trPr>
        <w:tc>
          <w:tcPr>
            <w:tcW w:type="dxa" w:w="1740"/>
            <w:tcMar>
              <w:top w:w="100" w:type="dxa"/>
              <w:start w:w="130" w:type="dxa"/>
              <w:bottom w:w="100" w:type="dxa"/>
              <w:end w:w="130" w:type="dxa"/>
            </w:tcMar>
            <w:vAlign w:val="center"/>
          </w:tcPr>
          <w:p>
            <w:pPr>
              <w:spacing w:after="0" w:line="252" w:lineRule="auto"/>
            </w:pPr>
            <w:r>
              <w:rPr>
                <w:rFonts w:ascii="Aptos" w:hAnsi="Aptos" w:eastAsia="Aptos"/>
                <w:b/>
                <w:color w:val="0B2545"/>
                <w:sz w:val="19"/>
              </w:rPr>
              <w:t>Whole Complex</w:t>
            </w:r>
          </w:p>
        </w:tc>
        <w:tc>
          <w:tcPr>
            <w:tcW w:type="dxa" w:w="4500"/>
            <w:tcMar>
              <w:top w:w="100" w:type="dxa"/>
              <w:start w:w="130" w:type="dxa"/>
              <w:bottom w:w="100" w:type="dxa"/>
              <w:end w:w="130" w:type="dxa"/>
            </w:tcMar>
            <w:vAlign w:val="center"/>
          </w:tcPr>
          <w:p>
            <w:pPr>
              <w:spacing w:after="0" w:line="252" w:lineRule="auto"/>
            </w:pPr>
            <w:r>
              <w:rPr>
                <w:rFonts w:ascii="Aptos" w:hAnsi="Aptos" w:eastAsia="Aptos"/>
                <w:b w:val="0"/>
                <w:color w:val="1F2933"/>
                <w:sz w:val="19"/>
              </w:rPr>
              <w:t>Все резиденции или виллы комплекса, единая коммерческая модель, сервис, персонал и согласованная координация общих процессов.</w:t>
            </w:r>
          </w:p>
        </w:tc>
        <w:tc>
          <w:tcPr>
            <w:tcW w:type="dxa" w:w="3120"/>
            <w:tcMar>
              <w:top w:w="100" w:type="dxa"/>
              <w:start w:w="130" w:type="dxa"/>
              <w:bottom w:w="100" w:type="dxa"/>
              <w:end w:w="130" w:type="dxa"/>
            </w:tcMar>
            <w:vAlign w:val="center"/>
          </w:tcPr>
          <w:p>
            <w:pPr>
              <w:spacing w:after="0" w:line="252" w:lineRule="auto"/>
            </w:pPr>
            <w:r>
              <w:rPr>
                <w:rFonts w:ascii="Aptos" w:hAnsi="Aptos" w:eastAsia="Aptos"/>
                <w:b w:val="0"/>
                <w:color w:val="1F2933"/>
                <w:sz w:val="19"/>
              </w:rPr>
              <w:t>myUNO является основным операционным брендом или видимым endorsement оператора.</w:t>
            </w:r>
          </w:p>
        </w:tc>
      </w:tr>
      <w:tr>
        <w:trPr>
          <w:cantSplit/>
        </w:trPr>
        <w:tc>
          <w:tcPr>
            <w:tcW w:type="dxa" w:w="1740"/>
            <w:tcMar>
              <w:top w:w="100" w:type="dxa"/>
              <w:start w:w="130" w:type="dxa"/>
              <w:bottom w:w="100" w:type="dxa"/>
              <w:end w:w="130" w:type="dxa"/>
            </w:tcMar>
            <w:vAlign w:val="center"/>
            <w:shd w:fill="FAFBFC"/>
          </w:tcPr>
          <w:p>
            <w:pPr>
              <w:spacing w:after="0" w:line="252" w:lineRule="auto"/>
            </w:pPr>
            <w:r>
              <w:rPr>
                <w:rFonts w:ascii="Aptos" w:hAnsi="Aptos" w:eastAsia="Aptos"/>
                <w:b/>
                <w:color w:val="0B2545"/>
                <w:sz w:val="19"/>
              </w:rPr>
              <w:t>Hotel / Resort Operator</w:t>
            </w:r>
          </w:p>
        </w:tc>
        <w:tc>
          <w:tcPr>
            <w:tcW w:type="dxa" w:w="450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Гостиница или резорт целиком: GOP, revenue management, каналы, сервис, команда, закупки, стандарты и отчётность собственнику.</w:t>
            </w:r>
          </w:p>
        </w:tc>
        <w:tc>
          <w:tcPr>
            <w:tcW w:type="dxa" w:w="312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Собственный бренд актива сохраняется либо, по отдельному решению, сочетается с myUNO.</w:t>
            </w:r>
          </w:p>
        </w:tc>
      </w:tr>
    </w:tbl>
    <w:p>
      <w:pPr>
        <w:spacing w:before="0" w:after="40" w:line="264" w:lineRule="auto"/>
        <w:jc w:val="left"/>
      </w:pPr>
    </w:p>
    <w:p>
      <w:r>
        <w:br w:type="page"/>
      </w:r>
    </w:p>
    <w:tbl>
      <w:tblPr>
        <w:tblW w:type="dxa" w:w="9360"/>
        <w:jc w:val="left"/>
        <w:tblLook w:firstColumn="1" w:firstRow="1" w:lastColumn="0" w:lastRow="0" w:noHBand="0" w:noVBand="1" w:val="04A0"/>
        <w:tblInd w:w="120" w:type="dxa"/>
        <w:tblBorders>
          <w:top w:val="single" w:sz="4" w:space="0" w:color="E8EEF5"/>
          <w:left w:val="single" w:sz="4" w:space="0" w:color="E8EEF5"/>
          <w:bottom w:val="single" w:sz="4" w:space="0" w:color="E8EEF5"/>
          <w:right w:val="single" w:sz="4" w:space="0" w:color="E8EEF5"/>
          <w:insideH w:val="single" w:sz="4" w:space="0" w:color="E8EEF5"/>
          <w:insideV w:val="single" w:sz="4" w:space="0" w:color="E8EEF5"/>
        </w:tblBorders>
      </w:tblPr>
      <w:tblGrid>
        <w:gridCol w:w="9360"/>
      </w:tblGrid>
      <w:tr>
        <w:tc>
          <w:tcPr>
            <w:tcW w:type="dxa" w:w="9360"/>
            <w:shd w:fill="E8EEF5"/>
            <w:tcMar>
              <w:top w:w="150" w:type="dxa"/>
              <w:start w:w="180" w:type="dxa"/>
              <w:bottom w:w="150" w:type="dxa"/>
              <w:end w:w="180" w:type="dxa"/>
            </w:tcMar>
          </w:tcPr>
          <w:p>
            <w:pPr>
              <w:spacing w:after="0" w:line="269" w:lineRule="auto"/>
            </w:pPr>
            <w:r>
              <w:rPr>
                <w:rFonts w:ascii="Aptos" w:hAnsi="Aptos" w:eastAsia="Aptos"/>
                <w:b/>
                <w:color w:val="0B2545"/>
                <w:sz w:val="21"/>
              </w:rPr>
              <w:t xml:space="preserve">Turnaround mandate. </w:t>
            </w:r>
            <w:r>
              <w:rPr>
                <w:rFonts w:ascii="Aptos" w:hAnsi="Aptos" w:eastAsia="Aptos"/>
                <w:color w:val="1F2933"/>
                <w:sz w:val="21"/>
              </w:rPr>
              <w:t>Для действующей, но слабо управляемой гостиницы или комплекса turnaround является способом входа: диагностика, стабилизация сервиса и экономики, внедрение систем myUNO и переход к согласованному постоянному мандату. Это не разовый консалтинг без ответственности за исполнение.</w:t>
            </w:r>
          </w:p>
        </w:tc>
      </w:tr>
    </w:tbl>
    <w:p>
      <w:pPr>
        <w:spacing w:before="0" w:after="40" w:line="264" w:lineRule="auto"/>
        <w:jc w:val="left"/>
      </w:pPr>
    </w:p>
    <w:p>
      <w:pPr>
        <w:pStyle w:val="Heading2"/>
        <w:keepNext/>
      </w:pPr>
      <w:r>
        <w:t>8.4. Режимы использования бренда myUNO</w:t>
      </w:r>
    </w:p>
    <w:p>
      <w:pPr>
        <w:spacing w:before="0" w:after="100" w:line="264" w:lineRule="auto"/>
        <w:jc w:val="left"/>
      </w:pPr>
      <w:r>
        <w:rPr>
          <w:rFonts w:ascii="Aptos" w:hAnsi="Aptos" w:eastAsia="Aptos"/>
          <w:b/>
          <w:i w:val="0"/>
          <w:color w:val="0B2545"/>
          <w:sz w:val="22"/>
        </w:rPr>
        <w:t xml:space="preserve">Internal standard. </w:t>
      </w:r>
      <w:r>
        <w:rPr>
          <w:rFonts w:ascii="Aptos" w:hAnsi="Aptos" w:eastAsia="Aptos"/>
          <w:b w:val="0"/>
          <w:i w:val="0"/>
          <w:color w:val="1F2933"/>
          <w:sz w:val="22"/>
        </w:rPr>
        <w:t>myUNO присутствует в договоре, SOP, системах, отчётности и контроле качества, но может быть не виден гостю.</w:t>
      </w:r>
    </w:p>
    <w:p>
      <w:pPr>
        <w:spacing w:before="0" w:after="100" w:line="264" w:lineRule="auto"/>
        <w:jc w:val="left"/>
      </w:pPr>
      <w:r>
        <w:rPr>
          <w:rFonts w:ascii="Aptos" w:hAnsi="Aptos" w:eastAsia="Aptos"/>
          <w:b/>
          <w:i w:val="0"/>
          <w:color w:val="0B2545"/>
          <w:sz w:val="22"/>
        </w:rPr>
        <w:t xml:space="preserve">Managed by myUNO. </w:t>
      </w:r>
      <w:r>
        <w:rPr>
          <w:rFonts w:ascii="Aptos" w:hAnsi="Aptos" w:eastAsia="Aptos"/>
          <w:b w:val="0"/>
          <w:i w:val="0"/>
          <w:color w:val="1F2933"/>
          <w:sz w:val="22"/>
        </w:rPr>
        <w:t>Endorsement для отдельных управляемых юнитов, арендного пула или актива, где компания исполняет существенную, но не всеобъемлющую операционную функцию.</w:t>
      </w:r>
    </w:p>
    <w:p>
      <w:pPr>
        <w:spacing w:before="0" w:after="100" w:line="264" w:lineRule="auto"/>
        <w:jc w:val="left"/>
      </w:pPr>
      <w:r>
        <w:rPr>
          <w:rFonts w:ascii="Aptos" w:hAnsi="Aptos" w:eastAsia="Aptos"/>
          <w:b/>
          <w:i w:val="0"/>
          <w:color w:val="0B2545"/>
          <w:sz w:val="22"/>
        </w:rPr>
        <w:t xml:space="preserve">Operated by myUNO. </w:t>
      </w:r>
      <w:r>
        <w:rPr>
          <w:rFonts w:ascii="Aptos" w:hAnsi="Aptos" w:eastAsia="Aptos"/>
          <w:b w:val="0"/>
          <w:i w:val="0"/>
          <w:color w:val="1F2933"/>
          <w:sz w:val="22"/>
        </w:rPr>
        <w:t>Формулировка для гостиницы, резорта или комплекса целиком, когда компания имеет полный коммерческий и операционный мандат.</w:t>
      </w:r>
    </w:p>
    <w:p>
      <w:pPr>
        <w:spacing w:before="0" w:after="100" w:line="264" w:lineRule="auto"/>
        <w:jc w:val="left"/>
      </w:pPr>
      <w:r>
        <w:rPr>
          <w:rFonts w:ascii="Aptos" w:hAnsi="Aptos" w:eastAsia="Aptos"/>
          <w:b/>
          <w:i w:val="0"/>
          <w:color w:val="0B2545"/>
          <w:sz w:val="22"/>
        </w:rPr>
        <w:t xml:space="preserve">Co-brand. </w:t>
      </w:r>
      <w:r>
        <w:rPr>
          <w:rFonts w:ascii="Aptos" w:hAnsi="Aptos" w:eastAsia="Aptos"/>
          <w:b w:val="0"/>
          <w:i w:val="0"/>
          <w:color w:val="1F2933"/>
          <w:sz w:val="22"/>
        </w:rPr>
        <w:t>Собственный бренд актива сохраняется, а myUNO становится подтверждённым знаком оператора и стандарта исполнения.</w:t>
      </w:r>
    </w:p>
    <w:p>
      <w:pPr>
        <w:spacing w:before="0" w:after="100" w:line="264" w:lineRule="auto"/>
        <w:jc w:val="left"/>
      </w:pPr>
      <w:r>
        <w:rPr>
          <w:rFonts w:ascii="Aptos" w:hAnsi="Aptos" w:eastAsia="Aptos"/>
          <w:b/>
          <w:i w:val="0"/>
          <w:color w:val="0B2545"/>
          <w:sz w:val="22"/>
        </w:rPr>
        <w:t xml:space="preserve">Primary operating brand. </w:t>
      </w:r>
      <w:r>
        <w:rPr>
          <w:rFonts w:ascii="Aptos" w:hAnsi="Aptos" w:eastAsia="Aptos"/>
          <w:b w:val="0"/>
          <w:i w:val="0"/>
          <w:color w:val="1F2933"/>
          <w:sz w:val="22"/>
        </w:rPr>
        <w:t>myUNO становится основным брендом анонимного инвентаря, управляемого пула или актива со слабой собственной идентичностью.</w:t>
      </w:r>
    </w:p>
    <w:p>
      <w:pPr>
        <w:pStyle w:val="Heading2"/>
        <w:keepNext/>
      </w:pPr>
      <w:r>
        <w:t>8.5. Условия и пределы маркировки</w:t>
      </w:r>
    </w:p>
    <w:p>
      <w:pPr>
        <w:spacing w:before="0" w:after="120" w:line="264" w:lineRule="auto"/>
        <w:jc w:val="left"/>
      </w:pPr>
      <w:r>
        <w:rPr>
          <w:rFonts w:ascii="Aptos" w:hAnsi="Aptos" w:eastAsia="Aptos"/>
          <w:b w:val="0"/>
          <w:i w:val="0"/>
          <w:color w:val="1F2933"/>
          <w:sz w:val="22"/>
        </w:rPr>
        <w:t>Маркировка myUNO означает не факт подписания договора, а подтверждённое соответствие операционному стандарту. Её видимость зависит от объёма контроля, силы собственного бренда актива и фактического качества исполнения.</w:t>
      </w:r>
    </w:p>
    <w:p>
      <w:pPr>
        <w:spacing w:before="0" w:after="100" w:line="264" w:lineRule="auto"/>
        <w:jc w:val="left"/>
      </w:pPr>
      <w:r>
        <w:rPr>
          <w:rFonts w:ascii="Aptos" w:hAnsi="Aptos" w:eastAsia="Aptos"/>
          <w:b/>
          <w:i w:val="0"/>
          <w:color w:val="0B2545"/>
          <w:sz w:val="22"/>
        </w:rPr>
        <w:t xml:space="preserve">На входе. </w:t>
      </w:r>
      <w:r>
        <w:rPr>
          <w:rFonts w:ascii="Aptos" w:hAnsi="Aptos" w:eastAsia="Aptos"/>
          <w:b w:val="0"/>
          <w:i w:val="0"/>
          <w:color w:val="1F2933"/>
          <w:sz w:val="22"/>
        </w:rPr>
        <w:t>myUNO присутствует в договорах, системах, отчётности и агентском контуре.</w:t>
      </w:r>
    </w:p>
    <w:p>
      <w:pPr>
        <w:spacing w:before="0" w:after="100" w:line="264" w:lineRule="auto"/>
        <w:jc w:val="left"/>
      </w:pPr>
      <w:r>
        <w:rPr>
          <w:rFonts w:ascii="Aptos" w:hAnsi="Aptos" w:eastAsia="Aptos"/>
          <w:b/>
          <w:i w:val="0"/>
          <w:color w:val="0B2545"/>
          <w:sz w:val="22"/>
        </w:rPr>
        <w:t xml:space="preserve">После стабилизации. </w:t>
      </w:r>
      <w:r>
        <w:rPr>
          <w:rFonts w:ascii="Aptos" w:hAnsi="Aptos" w:eastAsia="Aptos"/>
          <w:b w:val="0"/>
          <w:i w:val="0"/>
          <w:color w:val="1F2933"/>
          <w:sz w:val="22"/>
        </w:rPr>
        <w:t>Используется согласованный endorsement «Managed by myUNO» или, при полном мандате, «Operated by myUNO».</w:t>
      </w:r>
    </w:p>
    <w:p>
      <w:pPr>
        <w:spacing w:before="0" w:after="100" w:line="264" w:lineRule="auto"/>
        <w:jc w:val="left"/>
      </w:pPr>
      <w:r>
        <w:rPr>
          <w:rFonts w:ascii="Aptos" w:hAnsi="Aptos" w:eastAsia="Aptos"/>
          <w:b/>
          <w:i w:val="0"/>
          <w:color w:val="0B2545"/>
          <w:sz w:val="22"/>
        </w:rPr>
        <w:t xml:space="preserve">После подтверждённого периода. </w:t>
      </w:r>
      <w:r>
        <w:rPr>
          <w:rFonts w:ascii="Aptos" w:hAnsi="Aptos" w:eastAsia="Aptos"/>
          <w:b w:val="0"/>
          <w:i w:val="0"/>
          <w:color w:val="1F2933"/>
          <w:sz w:val="22"/>
        </w:rPr>
        <w:t>Актив может использоваться как публичный референс в пределах согласованных прав.</w:t>
      </w:r>
    </w:p>
    <w:p>
      <w:pPr>
        <w:spacing w:before="0" w:after="120" w:line="264" w:lineRule="auto"/>
        <w:jc w:val="left"/>
      </w:pPr>
      <w:r>
        <w:rPr>
          <w:rFonts w:ascii="Aptos" w:hAnsi="Aptos" w:eastAsia="Aptos"/>
          <w:b w:val="0"/>
          <w:i/>
          <w:color w:val="5E6B75"/>
          <w:sz w:val="22"/>
        </w:rPr>
        <w:t>Если компания управляет только частью инвентаря, коммуникация не должна создавать впечатление управления всем зданием или комплексом. Существующий бренд гостиницы или резорта сохраняется по умолчанию; co-branding, reflagging или переход под основной бренд myUNO требуют отдельного решения собственника и достаточного операционного контроля.</w:t>
      </w:r>
    </w:p>
    <w:p>
      <w:pPr>
        <w:pStyle w:val="Heading1"/>
        <w:keepNext/>
      </w:pPr>
      <w:r>
        <w:t>9. Архитектура брендов</w:t>
      </w:r>
    </w:p>
    <w:tbl>
      <w:tblPr>
        <w:tblW w:type="dxa" w:w="9360"/>
        <w:jc w:val="left"/>
        <w:tblLayout w:type="fixed"/>
        <w:tblLook w:firstColumn="1" w:firstRow="1" w:lastColumn="0" w:lastRow="0" w:noHBand="0" w:noVBand="1" w:val="04A0"/>
        <w:tblInd w:w="120" w:type="dxa"/>
        <w:tblBorders>
          <w:top w:val="single" w:sz="6" w:space="0" w:color="D6DCE2"/>
          <w:left w:val="single" w:sz="6" w:space="0" w:color="D6DCE2"/>
          <w:bottom w:val="single" w:sz="6" w:space="0" w:color="D6DCE2"/>
          <w:right w:val="single" w:sz="6" w:space="0" w:color="D6DCE2"/>
          <w:insideH w:val="single" w:sz="6" w:space="0" w:color="D6DCE2"/>
          <w:insideV w:val="single" w:sz="6" w:space="0" w:color="D6DCE2"/>
        </w:tblBorders>
      </w:tblPr>
      <w:tblGrid>
        <w:gridCol w:w="1680"/>
        <w:gridCol w:w="4620"/>
        <w:gridCol w:w="3060"/>
      </w:tblGrid>
      <w:tr>
        <w:trPr>
          <w:tblHeader w:val="true"/>
          <w:cantSplit/>
        </w:trPr>
        <w:tc>
          <w:tcPr>
            <w:tcW w:type="dxa" w:w="1680"/>
            <w:shd w:fill="0B2545"/>
            <w:tcMar>
              <w:top w:w="100" w:type="dxa"/>
              <w:start w:w="130" w:type="dxa"/>
              <w:bottom w:w="100" w:type="dxa"/>
              <w:end w:w="130" w:type="dxa"/>
            </w:tcMar>
            <w:vAlign w:val="center"/>
          </w:tcPr>
          <w:p>
            <w:pPr>
              <w:spacing w:after="0" w:line="240" w:lineRule="auto"/>
            </w:pPr>
            <w:r>
              <w:rPr>
                <w:rFonts w:ascii="Aptos" w:hAnsi="Aptos" w:eastAsia="Aptos"/>
                <w:b/>
                <w:color w:val="FFFFFF"/>
                <w:sz w:val="19"/>
              </w:rPr>
              <w:t>СЛОЙ</w:t>
            </w:r>
          </w:p>
        </w:tc>
        <w:tc>
          <w:tcPr>
            <w:tcW w:type="dxa" w:w="4620"/>
            <w:shd w:fill="0B2545"/>
            <w:tcMar>
              <w:top w:w="100" w:type="dxa"/>
              <w:start w:w="130" w:type="dxa"/>
              <w:bottom w:w="100" w:type="dxa"/>
              <w:end w:w="130" w:type="dxa"/>
            </w:tcMar>
            <w:vAlign w:val="center"/>
          </w:tcPr>
          <w:p>
            <w:pPr>
              <w:spacing w:after="0" w:line="240" w:lineRule="auto"/>
            </w:pPr>
            <w:r>
              <w:rPr>
                <w:rFonts w:ascii="Aptos" w:hAnsi="Aptos" w:eastAsia="Aptos"/>
                <w:b/>
                <w:color w:val="FFFFFF"/>
                <w:sz w:val="19"/>
              </w:rPr>
              <w:t>ФУНКЦИЯ</w:t>
            </w:r>
          </w:p>
        </w:tc>
        <w:tc>
          <w:tcPr>
            <w:tcW w:type="dxa" w:w="3060"/>
            <w:shd w:fill="0B2545"/>
            <w:tcMar>
              <w:top w:w="100" w:type="dxa"/>
              <w:start w:w="130" w:type="dxa"/>
              <w:bottom w:w="100" w:type="dxa"/>
              <w:end w:w="130" w:type="dxa"/>
            </w:tcMar>
            <w:vAlign w:val="center"/>
          </w:tcPr>
          <w:p>
            <w:pPr>
              <w:spacing w:after="0" w:line="240" w:lineRule="auto"/>
            </w:pPr>
            <w:r>
              <w:rPr>
                <w:rFonts w:ascii="Aptos" w:hAnsi="Aptos" w:eastAsia="Aptos"/>
                <w:b/>
                <w:color w:val="FFFFFF"/>
                <w:sz w:val="19"/>
              </w:rPr>
              <w:t>ОСНОВНАЯ АУДИТОРИЯ</w:t>
            </w:r>
          </w:p>
        </w:tc>
      </w:tr>
      <w:tr>
        <w:trPr>
          <w:cantSplit/>
        </w:trPr>
        <w:tc>
          <w:tcPr>
            <w:tcW w:type="dxa" w:w="1680"/>
            <w:tcMar>
              <w:top w:w="100" w:type="dxa"/>
              <w:start w:w="130" w:type="dxa"/>
              <w:bottom w:w="100" w:type="dxa"/>
              <w:end w:w="130" w:type="dxa"/>
            </w:tcMar>
            <w:vAlign w:val="center"/>
          </w:tcPr>
          <w:p>
            <w:pPr>
              <w:spacing w:after="0" w:line="252" w:lineRule="auto"/>
            </w:pPr>
            <w:r>
              <w:rPr>
                <w:rFonts w:ascii="Aptos" w:hAnsi="Aptos" w:eastAsia="Aptos"/>
                <w:b/>
                <w:color w:val="0B2545"/>
                <w:sz w:val="19"/>
              </w:rPr>
              <w:t>Ignatev</w:t>
            </w:r>
          </w:p>
        </w:tc>
        <w:tc>
          <w:tcPr>
            <w:tcW w:type="dxa" w:w="4620"/>
            <w:tcMar>
              <w:top w:w="100" w:type="dxa"/>
              <w:start w:w="130" w:type="dxa"/>
              <w:bottom w:w="100" w:type="dxa"/>
              <w:end w:w="130" w:type="dxa"/>
            </w:tcMar>
            <w:vAlign w:val="center"/>
          </w:tcPr>
          <w:p>
            <w:pPr>
              <w:spacing w:after="0" w:line="252" w:lineRule="auto"/>
            </w:pPr>
            <w:r>
              <w:rPr>
                <w:rFonts w:ascii="Aptos" w:hAnsi="Aptos" w:eastAsia="Aptos"/>
                <w:b w:val="0"/>
                <w:color w:val="1F2933"/>
                <w:sz w:val="19"/>
              </w:rPr>
              <w:t>Мандат, персональная ответственность, суждение и отношения с собственником.</w:t>
            </w:r>
          </w:p>
        </w:tc>
        <w:tc>
          <w:tcPr>
            <w:tcW w:type="dxa" w:w="3060"/>
            <w:tcMar>
              <w:top w:w="100" w:type="dxa"/>
              <w:start w:w="130" w:type="dxa"/>
              <w:bottom w:w="100" w:type="dxa"/>
              <w:end w:w="130" w:type="dxa"/>
            </w:tcMar>
            <w:vAlign w:val="center"/>
          </w:tcPr>
          <w:p>
            <w:pPr>
              <w:spacing w:after="0" w:line="252" w:lineRule="auto"/>
            </w:pPr>
            <w:r>
              <w:rPr>
                <w:rFonts w:ascii="Aptos" w:hAnsi="Aptos" w:eastAsia="Aptos"/>
                <w:b w:val="0"/>
                <w:color w:val="1F2933"/>
                <w:sz w:val="19"/>
              </w:rPr>
              <w:t>Собственники, покупатели, девелоперы, институциональные контрагенты.</w:t>
            </w:r>
          </w:p>
        </w:tc>
      </w:tr>
      <w:tr>
        <w:trPr>
          <w:cantSplit/>
        </w:trPr>
        <w:tc>
          <w:tcPr>
            <w:tcW w:type="dxa" w:w="1680"/>
            <w:tcMar>
              <w:top w:w="100" w:type="dxa"/>
              <w:start w:w="130" w:type="dxa"/>
              <w:bottom w:w="100" w:type="dxa"/>
              <w:end w:w="130" w:type="dxa"/>
            </w:tcMar>
            <w:vAlign w:val="center"/>
            <w:shd w:fill="FAFBFC"/>
          </w:tcPr>
          <w:p>
            <w:pPr>
              <w:spacing w:after="0" w:line="252" w:lineRule="auto"/>
            </w:pPr>
            <w:r>
              <w:rPr>
                <w:rFonts w:ascii="Aptos" w:hAnsi="Aptos" w:eastAsia="Aptos"/>
                <w:b/>
                <w:color w:val="0B2545"/>
                <w:sz w:val="19"/>
              </w:rPr>
              <w:t>ClearView</w:t>
            </w:r>
          </w:p>
        </w:tc>
        <w:tc>
          <w:tcPr>
            <w:tcW w:type="dxa" w:w="462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Стандарт отбора, инвестиционного underwriting и доказательности решений.</w:t>
            </w:r>
          </w:p>
        </w:tc>
        <w:tc>
          <w:tcPr>
            <w:tcW w:type="dxa" w:w="306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Собственники, покупатели, внутренний инвестиционный и операционный контур.</w:t>
            </w:r>
          </w:p>
        </w:tc>
      </w:tr>
      <w:tr>
        <w:trPr>
          <w:cantSplit/>
        </w:trPr>
        <w:tc>
          <w:tcPr>
            <w:tcW w:type="dxa" w:w="1680"/>
            <w:tcMar>
              <w:top w:w="100" w:type="dxa"/>
              <w:start w:w="130" w:type="dxa"/>
              <w:bottom w:w="100" w:type="dxa"/>
              <w:end w:w="130" w:type="dxa"/>
            </w:tcMar>
            <w:vAlign w:val="center"/>
          </w:tcPr>
          <w:p>
            <w:pPr>
              <w:spacing w:after="0" w:line="252" w:lineRule="auto"/>
            </w:pPr>
            <w:r>
              <w:rPr>
                <w:rFonts w:ascii="Aptos" w:hAnsi="Aptos" w:eastAsia="Aptos"/>
                <w:b/>
                <w:color w:val="0B2545"/>
                <w:sz w:val="19"/>
              </w:rPr>
              <w:t>myUNO</w:t>
            </w:r>
          </w:p>
        </w:tc>
        <w:tc>
          <w:tcPr>
            <w:tcW w:type="dxa" w:w="4620"/>
            <w:tcMar>
              <w:top w:w="100" w:type="dxa"/>
              <w:start w:w="130" w:type="dxa"/>
              <w:bottom w:w="100" w:type="dxa"/>
              <w:end w:w="130" w:type="dxa"/>
            </w:tcMar>
            <w:vAlign w:val="center"/>
          </w:tcPr>
          <w:p>
            <w:pPr>
              <w:spacing w:after="0" w:line="252" w:lineRule="auto"/>
            </w:pPr>
            <w:r>
              <w:rPr>
                <w:rFonts w:ascii="Aptos" w:hAnsi="Aptos" w:eastAsia="Aptos"/>
                <w:b w:val="0"/>
                <w:color w:val="1F2933"/>
                <w:sz w:val="19"/>
              </w:rPr>
              <w:t>Операционный стандарт, системы, гостевой и резидентский опыт.</w:t>
            </w:r>
          </w:p>
        </w:tc>
        <w:tc>
          <w:tcPr>
            <w:tcW w:type="dxa" w:w="3060"/>
            <w:tcMar>
              <w:top w:w="100" w:type="dxa"/>
              <w:start w:w="130" w:type="dxa"/>
              <w:bottom w:w="100" w:type="dxa"/>
              <w:end w:w="130" w:type="dxa"/>
            </w:tcMar>
            <w:vAlign w:val="center"/>
          </w:tcPr>
          <w:p>
            <w:pPr>
              <w:spacing w:after="0" w:line="252" w:lineRule="auto"/>
            </w:pPr>
            <w:r>
              <w:rPr>
                <w:rFonts w:ascii="Aptos" w:hAnsi="Aptos" w:eastAsia="Aptos"/>
                <w:b w:val="0"/>
                <w:color w:val="1F2933"/>
                <w:sz w:val="19"/>
              </w:rPr>
              <w:t>Собственники, агенты, гости, резиденты и операционная команда.</w:t>
            </w:r>
          </w:p>
        </w:tc>
      </w:tr>
      <w:tr>
        <w:trPr>
          <w:cantSplit/>
        </w:trPr>
        <w:tc>
          <w:tcPr>
            <w:tcW w:type="dxa" w:w="1680"/>
            <w:tcMar>
              <w:top w:w="100" w:type="dxa"/>
              <w:start w:w="130" w:type="dxa"/>
              <w:bottom w:w="100" w:type="dxa"/>
              <w:end w:w="130" w:type="dxa"/>
            </w:tcMar>
            <w:vAlign w:val="center"/>
            <w:shd w:fill="FAFBFC"/>
          </w:tcPr>
          <w:p>
            <w:pPr>
              <w:spacing w:after="0" w:line="252" w:lineRule="auto"/>
            </w:pPr>
            <w:r>
              <w:rPr>
                <w:rFonts w:ascii="Aptos" w:hAnsi="Aptos" w:eastAsia="Aptos"/>
                <w:b/>
                <w:color w:val="0B2545"/>
                <w:sz w:val="19"/>
              </w:rPr>
              <w:t>Бренд актива</w:t>
            </w:r>
          </w:p>
        </w:tc>
        <w:tc>
          <w:tcPr>
            <w:tcW w:type="dxa" w:w="462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Самостоятельная рыночная идентичность конкретного резорта, комплекса или резиденции.</w:t>
            </w:r>
          </w:p>
        </w:tc>
        <w:tc>
          <w:tcPr>
            <w:tcW w:type="dxa" w:w="306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Гости, резиденты, рынок и будущие покупатели.</w:t>
            </w:r>
          </w:p>
        </w:tc>
      </w:tr>
    </w:tbl>
    <w:p>
      <w:pPr>
        <w:spacing w:before="0" w:after="40" w:line="264" w:lineRule="auto"/>
        <w:jc w:val="left"/>
      </w:pPr>
    </w:p>
    <w:p>
      <w:pPr>
        <w:spacing w:before="0" w:after="120" w:line="264" w:lineRule="auto"/>
        <w:jc w:val="left"/>
      </w:pPr>
      <w:r>
        <w:rPr>
          <w:rFonts w:ascii="Aptos" w:hAnsi="Aptos" w:eastAsia="Aptos"/>
          <w:b w:val="0"/>
          <w:i w:val="0"/>
          <w:color w:val="1F2933"/>
          <w:sz w:val="22"/>
        </w:rPr>
        <w:t>На объектах без сильной собственной идентичности myUNO может стать основным операционным брендом. На брендированных активах myUNO выступает endorsement- или co-brand-слоем, не вытесняя название и рыночный капитал объекта. Формулировка «Operated by myUNO» резервируется для полного коммерческого и операционного мандата.</w:t>
      </w:r>
    </w:p>
    <w:p>
      <w:pPr>
        <w:pStyle w:val="Heading2"/>
        <w:keepNext/>
      </w:pPr>
      <w:r>
        <w:t>Роль ClearView</w:t>
      </w:r>
    </w:p>
    <w:p>
      <w:pPr>
        <w:spacing w:before="0" w:after="120" w:line="264" w:lineRule="auto"/>
        <w:jc w:val="left"/>
      </w:pPr>
      <w:r>
        <w:rPr>
          <w:rFonts w:ascii="Aptos" w:hAnsi="Aptos" w:eastAsia="Aptos"/>
          <w:b w:val="0"/>
          <w:i w:val="0"/>
          <w:color w:val="1F2933"/>
          <w:sz w:val="22"/>
        </w:rPr>
        <w:t>ClearView является внутренним инвестиционным и операционным underwriting standard Ignatev Estate. Методология применяется до покупки, до принятия объекта в управление и перед продажей. Она оценивает юридический и регуляторный статус, застройщика, качество и прогресс, локацию, финансовую структуру, доходность, ликвидность и эффективность рыночного предложения.</w:t>
      </w:r>
    </w:p>
    <w:p>
      <w:pPr>
        <w:spacing w:before="0" w:after="120" w:line="264" w:lineRule="auto"/>
        <w:jc w:val="left"/>
      </w:pPr>
      <w:r>
        <w:rPr>
          <w:rFonts w:ascii="Aptos" w:hAnsi="Aptos" w:eastAsia="Aptos"/>
          <w:b w:val="0"/>
          <w:i w:val="0"/>
          <w:color w:val="1F2933"/>
          <w:sz w:val="22"/>
        </w:rPr>
        <w:t>ClearView не является гарантией результата и не заменяет независимое юридическое, налоговое, техническое или финансовое заключение. Его функция — обеспечить единообразие вопросов, доказательность суждения и документирование неизвестных факторов.</w:t>
      </w:r>
    </w:p>
    <w:p>
      <w:pPr>
        <w:pStyle w:val="Heading1"/>
        <w:keepNext/>
      </w:pPr>
      <w:r>
        <w:t>10. Бизнес-модель</w:t>
      </w:r>
    </w:p>
    <w:p>
      <w:pPr>
        <w:pStyle w:val="Heading2"/>
        <w:keepNext/>
      </w:pPr>
      <w:r>
        <w:t>Основная единица отношений</w:t>
      </w:r>
    </w:p>
    <w:p>
      <w:pPr>
        <w:spacing w:before="0" w:after="120" w:line="264" w:lineRule="auto"/>
        <w:jc w:val="left"/>
      </w:pPr>
      <w:r>
        <w:rPr>
          <w:rFonts w:ascii="Aptos" w:hAnsi="Aptos" w:eastAsia="Aptos"/>
          <w:b w:val="0"/>
          <w:i w:val="0"/>
          <w:color w:val="1F2933"/>
          <w:sz w:val="22"/>
        </w:rPr>
        <w:t>Основная единица отношений — собственник под долгосрочным мандатом. Основная единица роста — контролируемый операционный мандат; его измерение зависит от периметра и может выражаться в юнитах, ключах, арендном пуле, комплексе или гостинице целиком. Количество инвентаря без достаточных полномочий не считается качественным ростом.</w:t>
      </w:r>
    </w:p>
    <w:p>
      <w:pPr>
        <w:pStyle w:val="Heading2"/>
        <w:keepNext/>
      </w:pPr>
      <w:r>
        <w:t>Основные потоки выручки</w:t>
      </w:r>
    </w:p>
    <w:tbl>
      <w:tblPr>
        <w:tblW w:type="dxa" w:w="9360"/>
        <w:jc w:val="left"/>
        <w:tblLayout w:type="fixed"/>
        <w:tblLook w:firstColumn="1" w:firstRow="1" w:lastColumn="0" w:lastRow="0" w:noHBand="0" w:noVBand="1" w:val="04A0"/>
        <w:tblInd w:w="120" w:type="dxa"/>
        <w:tblBorders>
          <w:top w:val="single" w:sz="6" w:space="0" w:color="D6DCE2"/>
          <w:left w:val="single" w:sz="6" w:space="0" w:color="D6DCE2"/>
          <w:bottom w:val="single" w:sz="6" w:space="0" w:color="D6DCE2"/>
          <w:right w:val="single" w:sz="6" w:space="0" w:color="D6DCE2"/>
          <w:insideH w:val="single" w:sz="6" w:space="0" w:color="D6DCE2"/>
          <w:insideV w:val="single" w:sz="6" w:space="0" w:color="D6DCE2"/>
        </w:tblBorders>
      </w:tblPr>
      <w:tblGrid>
        <w:gridCol w:w="1980"/>
        <w:gridCol w:w="5700"/>
        <w:gridCol w:w="1680"/>
      </w:tblGrid>
      <w:tr>
        <w:trPr>
          <w:tblHeader w:val="true"/>
          <w:cantSplit/>
        </w:trPr>
        <w:tc>
          <w:tcPr>
            <w:tcW w:type="dxa" w:w="1980"/>
            <w:shd w:fill="0B2545"/>
            <w:tcMar>
              <w:top w:w="100" w:type="dxa"/>
              <w:start w:w="130" w:type="dxa"/>
              <w:bottom w:w="100" w:type="dxa"/>
              <w:end w:w="130" w:type="dxa"/>
            </w:tcMar>
            <w:vAlign w:val="center"/>
          </w:tcPr>
          <w:p>
            <w:pPr>
              <w:spacing w:after="0" w:line="240" w:lineRule="auto"/>
            </w:pPr>
            <w:r>
              <w:rPr>
                <w:rFonts w:ascii="Aptos" w:hAnsi="Aptos" w:eastAsia="Aptos"/>
                <w:b/>
                <w:color w:val="FFFFFF"/>
                <w:sz w:val="19"/>
              </w:rPr>
              <w:t>ПОТОК</w:t>
            </w:r>
          </w:p>
        </w:tc>
        <w:tc>
          <w:tcPr>
            <w:tcW w:type="dxa" w:w="5700"/>
            <w:shd w:fill="0B2545"/>
            <w:tcMar>
              <w:top w:w="100" w:type="dxa"/>
              <w:start w:w="130" w:type="dxa"/>
              <w:bottom w:w="100" w:type="dxa"/>
              <w:end w:w="130" w:type="dxa"/>
            </w:tcMar>
            <w:vAlign w:val="center"/>
          </w:tcPr>
          <w:p>
            <w:pPr>
              <w:spacing w:after="0" w:line="240" w:lineRule="auto"/>
            </w:pPr>
            <w:r>
              <w:rPr>
                <w:rFonts w:ascii="Aptos" w:hAnsi="Aptos" w:eastAsia="Aptos"/>
                <w:b/>
                <w:color w:val="FFFFFF"/>
                <w:sz w:val="19"/>
              </w:rPr>
              <w:t>ЭКОНОМИЧЕСКАЯ ЛОГИКА</w:t>
            </w:r>
          </w:p>
        </w:tc>
        <w:tc>
          <w:tcPr>
            <w:tcW w:type="dxa" w:w="1680"/>
            <w:shd w:fill="0B2545"/>
            <w:tcMar>
              <w:top w:w="100" w:type="dxa"/>
              <w:start w:w="130" w:type="dxa"/>
              <w:bottom w:w="100" w:type="dxa"/>
              <w:end w:w="130" w:type="dxa"/>
            </w:tcMar>
            <w:vAlign w:val="center"/>
          </w:tcPr>
          <w:p>
            <w:pPr>
              <w:spacing w:after="0" w:line="240" w:lineRule="auto"/>
            </w:pPr>
            <w:r>
              <w:rPr>
                <w:rFonts w:ascii="Aptos" w:hAnsi="Aptos" w:eastAsia="Aptos"/>
                <w:b/>
                <w:color w:val="FFFFFF"/>
                <w:sz w:val="19"/>
              </w:rPr>
              <w:t>РИТМ</w:t>
            </w:r>
          </w:p>
        </w:tc>
      </w:tr>
      <w:tr>
        <w:trPr>
          <w:cantSplit/>
        </w:trPr>
        <w:tc>
          <w:tcPr>
            <w:tcW w:type="dxa" w:w="1980"/>
            <w:tcMar>
              <w:top w:w="100" w:type="dxa"/>
              <w:start w:w="130" w:type="dxa"/>
              <w:bottom w:w="100" w:type="dxa"/>
              <w:end w:w="130" w:type="dxa"/>
            </w:tcMar>
            <w:vAlign w:val="center"/>
          </w:tcPr>
          <w:p>
            <w:pPr>
              <w:spacing w:after="0" w:line="252" w:lineRule="auto"/>
            </w:pPr>
            <w:r>
              <w:rPr>
                <w:rFonts w:ascii="Aptos" w:hAnsi="Aptos" w:eastAsia="Aptos"/>
                <w:b/>
                <w:color w:val="0B2545"/>
                <w:sz w:val="19"/>
              </w:rPr>
              <w:t>Management fee</w:t>
            </w:r>
          </w:p>
        </w:tc>
        <w:tc>
          <w:tcPr>
            <w:tcW w:type="dxa" w:w="5700"/>
            <w:tcMar>
              <w:top w:w="100" w:type="dxa"/>
              <w:start w:w="130" w:type="dxa"/>
              <w:bottom w:w="100" w:type="dxa"/>
              <w:end w:w="130" w:type="dxa"/>
            </w:tcMar>
            <w:vAlign w:val="center"/>
          </w:tcPr>
          <w:p>
            <w:pPr>
              <w:spacing w:after="0" w:line="252" w:lineRule="auto"/>
            </w:pPr>
            <w:r>
              <w:rPr>
                <w:rFonts w:ascii="Aptos" w:hAnsi="Aptos" w:eastAsia="Aptos"/>
                <w:b w:val="0"/>
                <w:color w:val="1F2933"/>
                <w:sz w:val="19"/>
              </w:rPr>
              <w:t>Базовое вознаграждение за коммерческое и/или операционное управление.</w:t>
            </w:r>
          </w:p>
        </w:tc>
        <w:tc>
          <w:tcPr>
            <w:tcW w:type="dxa" w:w="1680"/>
            <w:tcMar>
              <w:top w:w="100" w:type="dxa"/>
              <w:start w:w="130" w:type="dxa"/>
              <w:bottom w:w="100" w:type="dxa"/>
              <w:end w:w="130" w:type="dxa"/>
            </w:tcMar>
            <w:vAlign w:val="center"/>
          </w:tcPr>
          <w:p>
            <w:pPr>
              <w:spacing w:after="0" w:line="252" w:lineRule="auto"/>
            </w:pPr>
            <w:r>
              <w:rPr>
                <w:rFonts w:ascii="Aptos" w:hAnsi="Aptos" w:eastAsia="Aptos"/>
                <w:b w:val="0"/>
                <w:color w:val="1F2933"/>
                <w:sz w:val="19"/>
              </w:rPr>
              <w:t>Ежемесячно</w:t>
            </w:r>
          </w:p>
        </w:tc>
      </w:tr>
      <w:tr>
        <w:trPr>
          <w:cantSplit/>
        </w:trPr>
        <w:tc>
          <w:tcPr>
            <w:tcW w:type="dxa" w:w="1980"/>
            <w:tcMar>
              <w:top w:w="100" w:type="dxa"/>
              <w:start w:w="130" w:type="dxa"/>
              <w:bottom w:w="100" w:type="dxa"/>
              <w:end w:w="130" w:type="dxa"/>
            </w:tcMar>
            <w:vAlign w:val="center"/>
            <w:shd w:fill="FAFBFC"/>
          </w:tcPr>
          <w:p>
            <w:pPr>
              <w:spacing w:after="0" w:line="252" w:lineRule="auto"/>
            </w:pPr>
            <w:r>
              <w:rPr>
                <w:rFonts w:ascii="Aptos" w:hAnsi="Aptos" w:eastAsia="Aptos"/>
                <w:b/>
                <w:color w:val="0B2545"/>
                <w:sz w:val="19"/>
              </w:rPr>
              <w:t>Performance fee</w:t>
            </w:r>
          </w:p>
        </w:tc>
        <w:tc>
          <w:tcPr>
            <w:tcW w:type="dxa" w:w="570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Доля от улучшения согласованного скорректированного показателя сверх baseline.</w:t>
            </w:r>
          </w:p>
        </w:tc>
        <w:tc>
          <w:tcPr>
            <w:tcW w:type="dxa" w:w="168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По результатам периода</w:t>
            </w:r>
          </w:p>
        </w:tc>
      </w:tr>
      <w:tr>
        <w:trPr>
          <w:cantSplit/>
        </w:trPr>
        <w:tc>
          <w:tcPr>
            <w:tcW w:type="dxa" w:w="1980"/>
            <w:tcMar>
              <w:top w:w="100" w:type="dxa"/>
              <w:start w:w="130" w:type="dxa"/>
              <w:bottom w:w="100" w:type="dxa"/>
              <w:end w:w="130" w:type="dxa"/>
            </w:tcMar>
            <w:vAlign w:val="center"/>
          </w:tcPr>
          <w:p>
            <w:pPr>
              <w:spacing w:after="0" w:line="252" w:lineRule="auto"/>
            </w:pPr>
            <w:r>
              <w:rPr>
                <w:rFonts w:ascii="Aptos" w:hAnsi="Aptos" w:eastAsia="Aptos"/>
                <w:b/>
                <w:color w:val="0B2545"/>
                <w:sz w:val="19"/>
              </w:rPr>
              <w:t>Transaction fee</w:t>
            </w:r>
          </w:p>
        </w:tc>
        <w:tc>
          <w:tcPr>
            <w:tcW w:type="dxa" w:w="5700"/>
            <w:tcMar>
              <w:top w:w="100" w:type="dxa"/>
              <w:start w:w="130" w:type="dxa"/>
              <w:bottom w:w="100" w:type="dxa"/>
              <w:end w:w="130" w:type="dxa"/>
            </w:tcMar>
            <w:vAlign w:val="center"/>
          </w:tcPr>
          <w:p>
            <w:pPr>
              <w:spacing w:after="0" w:line="252" w:lineRule="auto"/>
            </w:pPr>
            <w:r>
              <w:rPr>
                <w:rFonts w:ascii="Aptos" w:hAnsi="Aptos" w:eastAsia="Aptos"/>
                <w:b w:val="0"/>
                <w:color w:val="1F2933"/>
                <w:sz w:val="19"/>
              </w:rPr>
              <w:t>Комиссия за приобретение или продажу при полном раскрытии роли и источника вознаграждения.</w:t>
            </w:r>
          </w:p>
        </w:tc>
        <w:tc>
          <w:tcPr>
            <w:tcW w:type="dxa" w:w="1680"/>
            <w:tcMar>
              <w:top w:w="100" w:type="dxa"/>
              <w:start w:w="130" w:type="dxa"/>
              <w:bottom w:w="100" w:type="dxa"/>
              <w:end w:w="130" w:type="dxa"/>
            </w:tcMar>
            <w:vAlign w:val="center"/>
          </w:tcPr>
          <w:p>
            <w:pPr>
              <w:spacing w:after="0" w:line="252" w:lineRule="auto"/>
            </w:pPr>
            <w:r>
              <w:rPr>
                <w:rFonts w:ascii="Aptos" w:hAnsi="Aptos" w:eastAsia="Aptos"/>
                <w:b w:val="0"/>
                <w:color w:val="1F2933"/>
                <w:sz w:val="19"/>
              </w:rPr>
              <w:t>По сделке</w:t>
            </w:r>
          </w:p>
        </w:tc>
      </w:tr>
      <w:tr>
        <w:trPr>
          <w:cantSplit/>
        </w:trPr>
        <w:tc>
          <w:tcPr>
            <w:tcW w:type="dxa" w:w="1980"/>
            <w:tcMar>
              <w:top w:w="100" w:type="dxa"/>
              <w:start w:w="130" w:type="dxa"/>
              <w:bottom w:w="100" w:type="dxa"/>
              <w:end w:w="130" w:type="dxa"/>
            </w:tcMar>
            <w:vAlign w:val="center"/>
            <w:shd w:fill="FAFBFC"/>
          </w:tcPr>
          <w:p>
            <w:pPr>
              <w:spacing w:after="0" w:line="252" w:lineRule="auto"/>
            </w:pPr>
            <w:r>
              <w:rPr>
                <w:rFonts w:ascii="Aptos" w:hAnsi="Aptos" w:eastAsia="Aptos"/>
                <w:b/>
                <w:color w:val="0B2545"/>
                <w:sz w:val="19"/>
              </w:rPr>
              <w:t>Partner rental / distribution</w:t>
            </w:r>
          </w:p>
        </w:tc>
        <w:tc>
          <w:tcPr>
            <w:tcW w:type="dxa" w:w="570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Referral fee, booking commission или согласованная дистрибуционная маржа за размещение гостя в проверенном партнёрском объекте.</w:t>
            </w:r>
          </w:p>
        </w:tc>
        <w:tc>
          <w:tcPr>
            <w:tcW w:type="dxa" w:w="168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По брони</w:t>
            </w:r>
          </w:p>
        </w:tc>
      </w:tr>
      <w:tr>
        <w:trPr>
          <w:cantSplit/>
        </w:trPr>
        <w:tc>
          <w:tcPr>
            <w:tcW w:type="dxa" w:w="1980"/>
            <w:tcMar>
              <w:top w:w="100" w:type="dxa"/>
              <w:start w:w="130" w:type="dxa"/>
              <w:bottom w:w="100" w:type="dxa"/>
              <w:end w:w="130" w:type="dxa"/>
            </w:tcMar>
            <w:vAlign w:val="center"/>
          </w:tcPr>
          <w:p>
            <w:pPr>
              <w:spacing w:after="0" w:line="252" w:lineRule="auto"/>
            </w:pPr>
            <w:r>
              <w:rPr>
                <w:rFonts w:ascii="Aptos" w:hAnsi="Aptos" w:eastAsia="Aptos"/>
                <w:b/>
                <w:color w:val="0B2545"/>
                <w:sz w:val="19"/>
              </w:rPr>
              <w:t>Дополнительные задания</w:t>
            </w:r>
          </w:p>
        </w:tc>
        <w:tc>
          <w:tcPr>
            <w:tcW w:type="dxa" w:w="5700"/>
            <w:tcMar>
              <w:top w:w="100" w:type="dxa"/>
              <w:start w:w="130" w:type="dxa"/>
              <w:bottom w:w="100" w:type="dxa"/>
              <w:end w:w="130" w:type="dxa"/>
            </w:tcMar>
            <w:vAlign w:val="center"/>
          </w:tcPr>
          <w:p>
            <w:pPr>
              <w:spacing w:after="0" w:line="252" w:lineRule="auto"/>
            </w:pPr>
            <w:r>
              <w:rPr>
                <w:rFonts w:ascii="Aptos" w:hAnsi="Aptos" w:eastAsia="Aptos"/>
                <w:b w:val="0"/>
                <w:color w:val="1F2933"/>
                <w:sz w:val="19"/>
              </w:rPr>
              <w:t>Pre-opening, CAPEX supervision, аудит, compliance и иные задания, усиливающие основной мандат.</w:t>
            </w:r>
          </w:p>
        </w:tc>
        <w:tc>
          <w:tcPr>
            <w:tcW w:type="dxa" w:w="1680"/>
            <w:tcMar>
              <w:top w:w="100" w:type="dxa"/>
              <w:start w:w="130" w:type="dxa"/>
              <w:bottom w:w="100" w:type="dxa"/>
              <w:end w:w="130" w:type="dxa"/>
            </w:tcMar>
            <w:vAlign w:val="center"/>
          </w:tcPr>
          <w:p>
            <w:pPr>
              <w:spacing w:after="0" w:line="252" w:lineRule="auto"/>
            </w:pPr>
            <w:r>
              <w:rPr>
                <w:rFonts w:ascii="Aptos" w:hAnsi="Aptos" w:eastAsia="Aptos"/>
                <w:b w:val="0"/>
                <w:color w:val="1F2933"/>
                <w:sz w:val="19"/>
              </w:rPr>
              <w:t>По проекту</w:t>
            </w:r>
          </w:p>
        </w:tc>
      </w:tr>
      <w:tr>
        <w:trPr>
          <w:cantSplit/>
        </w:trPr>
        <w:tc>
          <w:tcPr>
            <w:tcW w:type="dxa" w:w="1980"/>
            <w:tcMar>
              <w:top w:w="100" w:type="dxa"/>
              <w:start w:w="130" w:type="dxa"/>
              <w:bottom w:w="100" w:type="dxa"/>
              <w:end w:w="130" w:type="dxa"/>
            </w:tcMar>
            <w:vAlign w:val="center"/>
            <w:shd w:fill="FAFBFC"/>
          </w:tcPr>
          <w:p>
            <w:pPr>
              <w:spacing w:after="0" w:line="252" w:lineRule="auto"/>
            </w:pPr>
            <w:r>
              <w:rPr>
                <w:rFonts w:ascii="Aptos" w:hAnsi="Aptos" w:eastAsia="Aptos"/>
                <w:b/>
                <w:color w:val="0B2545"/>
                <w:sz w:val="19"/>
              </w:rPr>
              <w:t>Guest services</w:t>
            </w:r>
          </w:p>
        </w:tc>
        <w:tc>
          <w:tcPr>
            <w:tcW w:type="dxa" w:w="570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Маржа или комиссия за фактически оказанные дополнительные услуги.</w:t>
            </w:r>
          </w:p>
        </w:tc>
        <w:tc>
          <w:tcPr>
            <w:tcW w:type="dxa" w:w="168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По факту</w:t>
            </w:r>
          </w:p>
        </w:tc>
      </w:tr>
    </w:tbl>
    <w:p>
      <w:pPr>
        <w:spacing w:before="0" w:after="40" w:line="264" w:lineRule="auto"/>
        <w:jc w:val="left"/>
      </w:pPr>
    </w:p>
    <w:p>
      <w:pPr>
        <w:pStyle w:val="Heading2"/>
        <w:keepNext/>
      </w:pPr>
      <w:r>
        <w:t>Совпадение интересов</w:t>
      </w:r>
    </w:p>
    <w:p>
      <w:pPr>
        <w:spacing w:before="0" w:after="120" w:line="264" w:lineRule="auto"/>
        <w:jc w:val="left"/>
      </w:pPr>
      <w:r>
        <w:rPr>
          <w:rFonts w:ascii="Aptos" w:hAnsi="Aptos" w:eastAsia="Aptos"/>
          <w:b w:val="0"/>
          <w:i w:val="0"/>
          <w:color w:val="1F2933"/>
          <w:sz w:val="22"/>
        </w:rPr>
        <w:t>Рост скорректированной операционной прибыли увеличивает вознаграждение оператора и одновременно усиливает стоимость и доказуемость актива для собственника. Модель должна исключать стимул наращивать валовую выручку ценой неконтролируемых расходов, износа или снижения качества.</w:t>
      </w:r>
    </w:p>
    <w:p>
      <w:pPr>
        <w:spacing w:before="0" w:after="120" w:line="264" w:lineRule="auto"/>
        <w:jc w:val="left"/>
      </w:pPr>
      <w:r>
        <w:rPr>
          <w:rFonts w:ascii="Aptos" w:hAnsi="Aptos" w:eastAsia="Aptos"/>
          <w:b w:val="0"/>
          <w:i w:val="0"/>
          <w:color w:val="1F2933"/>
          <w:sz w:val="22"/>
        </w:rPr>
        <w:t>Для hospitality-активов договор фиксирует Adjusted GOP или иной согласованный показатель. Для резиденций — Adjusted NOI. Все корректировки, owner use, CAPEX, резервы, налоги, страховые события и чрезвычайные расходы определяются заранее.</w:t>
      </w:r>
    </w:p>
    <w:p>
      <w:pPr>
        <w:pStyle w:val="Heading2"/>
        <w:keepNext/>
      </w:pPr>
      <w:r>
        <w:t>Сезонность и денежный профиль</w:t>
      </w:r>
    </w:p>
    <w:p>
      <w:pPr>
        <w:spacing w:before="0" w:after="120" w:line="264" w:lineRule="auto"/>
        <w:jc w:val="left"/>
      </w:pPr>
      <w:r>
        <w:rPr>
          <w:rFonts w:ascii="Aptos" w:hAnsi="Aptos" w:eastAsia="Aptos"/>
          <w:b w:val="0"/>
          <w:i w:val="0"/>
          <w:color w:val="1F2933"/>
          <w:sz w:val="22"/>
        </w:rPr>
        <w:t>Краткосрочные активы Пхукета подвержены общей сезонности и не диверсифицируют друг друга только за счёт количества. Резиденции со средним и длительным сроком проживания создают более стабильный ежемесячный денежный поток, но их фактическая стабилизирующая роль подтверждается данными портфеля, а не принимается как автоматическая предпосылка.</w:t>
      </w:r>
    </w:p>
    <w:p>
      <w:pPr>
        <w:pStyle w:val="Heading1"/>
        <w:keepNext/>
      </w:pPr>
      <w:r>
        <w:t>11. Операционный стандарт myUNO</w:t>
      </w:r>
    </w:p>
    <w:p>
      <w:pPr>
        <w:spacing w:before="0" w:after="120" w:line="264" w:lineRule="auto"/>
        <w:jc w:val="left"/>
      </w:pPr>
      <w:r>
        <w:rPr>
          <w:rFonts w:ascii="Aptos" w:hAnsi="Aptos" w:eastAsia="Aptos"/>
          <w:b w:val="0"/>
          <w:i w:val="0"/>
          <w:color w:val="1F2933"/>
          <w:sz w:val="22"/>
        </w:rPr>
        <w:t>Стандарт myUNO — публично объяснимая и внутренне измеримая система исполнения. Он не описывает каждое действие команды; он фиксирует обязательный результат и уровень контроля.</w:t>
      </w:r>
    </w:p>
    <w:tbl>
      <w:tblPr>
        <w:tblW w:type="dxa" w:w="9360"/>
        <w:jc w:val="left"/>
        <w:tblLayout w:type="fixed"/>
        <w:tblLook w:firstColumn="1" w:firstRow="1" w:lastColumn="0" w:lastRow="0" w:noHBand="0" w:noVBand="1" w:val="04A0"/>
        <w:tblInd w:w="120" w:type="dxa"/>
        <w:tblBorders>
          <w:top w:val="single" w:sz="6" w:space="0" w:color="D6DCE2"/>
          <w:left w:val="single" w:sz="6" w:space="0" w:color="D6DCE2"/>
          <w:bottom w:val="single" w:sz="6" w:space="0" w:color="D6DCE2"/>
          <w:right w:val="single" w:sz="6" w:space="0" w:color="D6DCE2"/>
          <w:insideH w:val="single" w:sz="6" w:space="0" w:color="D6DCE2"/>
          <w:insideV w:val="single" w:sz="6" w:space="0" w:color="D6DCE2"/>
        </w:tblBorders>
      </w:tblPr>
      <w:tblGrid>
        <w:gridCol w:w="3000"/>
        <w:gridCol w:w="6360"/>
      </w:tblGrid>
      <w:tr>
        <w:trPr>
          <w:tblHeader w:val="true"/>
          <w:cantSplit/>
        </w:trPr>
        <w:tc>
          <w:tcPr>
            <w:tcW w:type="dxa" w:w="3000"/>
            <w:shd w:fill="0B2545"/>
            <w:tcMar>
              <w:top w:w="100" w:type="dxa"/>
              <w:start w:w="130" w:type="dxa"/>
              <w:bottom w:w="100" w:type="dxa"/>
              <w:end w:w="130" w:type="dxa"/>
            </w:tcMar>
            <w:vAlign w:val="center"/>
          </w:tcPr>
          <w:p>
            <w:pPr>
              <w:spacing w:after="0" w:line="240" w:lineRule="auto"/>
            </w:pPr>
            <w:r>
              <w:rPr>
                <w:rFonts w:ascii="Aptos" w:hAnsi="Aptos" w:eastAsia="Aptos"/>
                <w:b/>
                <w:color w:val="FFFFFF"/>
                <w:sz w:val="19"/>
              </w:rPr>
              <w:t>ОБЯЗАТЕЛЬСТВО</w:t>
            </w:r>
          </w:p>
        </w:tc>
        <w:tc>
          <w:tcPr>
            <w:tcW w:type="dxa" w:w="6360"/>
            <w:shd w:fill="0B2545"/>
            <w:tcMar>
              <w:top w:w="100" w:type="dxa"/>
              <w:start w:w="130" w:type="dxa"/>
              <w:bottom w:w="100" w:type="dxa"/>
              <w:end w:w="130" w:type="dxa"/>
            </w:tcMar>
            <w:vAlign w:val="center"/>
          </w:tcPr>
          <w:p>
            <w:pPr>
              <w:spacing w:after="0" w:line="240" w:lineRule="auto"/>
            </w:pPr>
            <w:r>
              <w:rPr>
                <w:rFonts w:ascii="Aptos" w:hAnsi="Aptos" w:eastAsia="Aptos"/>
                <w:b/>
                <w:color w:val="FFFFFF"/>
                <w:sz w:val="19"/>
              </w:rPr>
              <w:t>КАК ИЗМЕРЯЕТСЯ</w:t>
            </w:r>
          </w:p>
        </w:tc>
      </w:tr>
      <w:tr>
        <w:trPr>
          <w:cantSplit/>
        </w:trPr>
        <w:tc>
          <w:tcPr>
            <w:tcW w:type="dxa" w:w="3000"/>
            <w:tcMar>
              <w:top w:w="100" w:type="dxa"/>
              <w:start w:w="130" w:type="dxa"/>
              <w:bottom w:w="100" w:type="dxa"/>
              <w:end w:w="130" w:type="dxa"/>
            </w:tcMar>
            <w:vAlign w:val="center"/>
          </w:tcPr>
          <w:p>
            <w:pPr>
              <w:spacing w:after="0" w:line="252" w:lineRule="auto"/>
            </w:pPr>
            <w:r>
              <w:rPr>
                <w:rFonts w:ascii="Aptos" w:hAnsi="Aptos" w:eastAsia="Aptos"/>
                <w:b/>
                <w:color w:val="0B2545"/>
                <w:sz w:val="19"/>
              </w:rPr>
              <w:t>Достоверность инвентаря и цены</w:t>
            </w:r>
          </w:p>
        </w:tc>
        <w:tc>
          <w:tcPr>
            <w:tcW w:type="dxa" w:w="6360"/>
            <w:tcMar>
              <w:top w:w="100" w:type="dxa"/>
              <w:start w:w="130" w:type="dxa"/>
              <w:bottom w:w="100" w:type="dxa"/>
              <w:end w:w="130" w:type="dxa"/>
            </w:tcMar>
            <w:vAlign w:val="center"/>
          </w:tcPr>
          <w:p>
            <w:pPr>
              <w:spacing w:after="0" w:line="252" w:lineRule="auto"/>
            </w:pPr>
            <w:r>
              <w:rPr>
                <w:rFonts w:ascii="Aptos" w:hAnsi="Aptos" w:eastAsia="Aptos"/>
                <w:b w:val="0"/>
                <w:color w:val="1F2933"/>
                <w:sz w:val="19"/>
              </w:rPr>
              <w:t>Синхронизация доступности, единые правила тарифов, отсутствие нераскрытых доплат.</w:t>
            </w:r>
          </w:p>
        </w:tc>
      </w:tr>
      <w:tr>
        <w:trPr>
          <w:cantSplit/>
        </w:trPr>
        <w:tc>
          <w:tcPr>
            <w:tcW w:type="dxa" w:w="3000"/>
            <w:tcMar>
              <w:top w:w="100" w:type="dxa"/>
              <w:start w:w="130" w:type="dxa"/>
              <w:bottom w:w="100" w:type="dxa"/>
              <w:end w:w="130" w:type="dxa"/>
            </w:tcMar>
            <w:vAlign w:val="center"/>
            <w:shd w:fill="FAFBFC"/>
          </w:tcPr>
          <w:p>
            <w:pPr>
              <w:spacing w:after="0" w:line="252" w:lineRule="auto"/>
            </w:pPr>
            <w:r>
              <w:rPr>
                <w:rFonts w:ascii="Aptos" w:hAnsi="Aptos" w:eastAsia="Aptos"/>
                <w:b/>
                <w:color w:val="0B2545"/>
                <w:sz w:val="19"/>
              </w:rPr>
              <w:t>Скорость реакции</w:t>
            </w:r>
          </w:p>
        </w:tc>
        <w:tc>
          <w:tcPr>
            <w:tcW w:type="dxa" w:w="636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Фактическое время ответа гостю, резиденту, агенту и собственнику.</w:t>
            </w:r>
          </w:p>
        </w:tc>
      </w:tr>
      <w:tr>
        <w:trPr>
          <w:cantSplit/>
        </w:trPr>
        <w:tc>
          <w:tcPr>
            <w:tcW w:type="dxa" w:w="3000"/>
            <w:tcMar>
              <w:top w:w="100" w:type="dxa"/>
              <w:start w:w="130" w:type="dxa"/>
              <w:bottom w:w="100" w:type="dxa"/>
              <w:end w:w="130" w:type="dxa"/>
            </w:tcMar>
            <w:vAlign w:val="center"/>
          </w:tcPr>
          <w:p>
            <w:pPr>
              <w:spacing w:after="0" w:line="252" w:lineRule="auto"/>
            </w:pPr>
            <w:r>
              <w:rPr>
                <w:rFonts w:ascii="Aptos" w:hAnsi="Aptos" w:eastAsia="Aptos"/>
                <w:b/>
                <w:color w:val="0B2545"/>
                <w:sz w:val="19"/>
              </w:rPr>
              <w:t>Финансовая прозрачность</w:t>
            </w:r>
          </w:p>
        </w:tc>
        <w:tc>
          <w:tcPr>
            <w:tcW w:type="dxa" w:w="6360"/>
            <w:tcMar>
              <w:top w:w="100" w:type="dxa"/>
              <w:start w:w="130" w:type="dxa"/>
              <w:bottom w:w="100" w:type="dxa"/>
              <w:end w:w="130" w:type="dxa"/>
            </w:tcMar>
            <w:vAlign w:val="center"/>
          </w:tcPr>
          <w:p>
            <w:pPr>
              <w:spacing w:after="0" w:line="252" w:lineRule="auto"/>
            </w:pPr>
            <w:r>
              <w:rPr>
                <w:rFonts w:ascii="Aptos" w:hAnsi="Aptos" w:eastAsia="Aptos"/>
                <w:b w:val="0"/>
                <w:color w:val="1F2933"/>
                <w:sz w:val="19"/>
              </w:rPr>
              <w:t>Ежемесячный P&amp;L, движение денежных средств, сверка бронирований и подтверждающие документы.</w:t>
            </w:r>
          </w:p>
        </w:tc>
      </w:tr>
      <w:tr>
        <w:trPr>
          <w:cantSplit/>
        </w:trPr>
        <w:tc>
          <w:tcPr>
            <w:tcW w:type="dxa" w:w="3000"/>
            <w:tcMar>
              <w:top w:w="100" w:type="dxa"/>
              <w:start w:w="130" w:type="dxa"/>
              <w:bottom w:w="100" w:type="dxa"/>
              <w:end w:w="130" w:type="dxa"/>
            </w:tcMar>
            <w:vAlign w:val="center"/>
            <w:shd w:fill="FAFBFC"/>
          </w:tcPr>
          <w:p>
            <w:pPr>
              <w:spacing w:after="0" w:line="252" w:lineRule="auto"/>
            </w:pPr>
            <w:r>
              <w:rPr>
                <w:rFonts w:ascii="Aptos" w:hAnsi="Aptos" w:eastAsia="Aptos"/>
                <w:b/>
                <w:color w:val="0B2545"/>
                <w:sz w:val="19"/>
              </w:rPr>
              <w:t>Контроль качества</w:t>
            </w:r>
          </w:p>
        </w:tc>
        <w:tc>
          <w:tcPr>
            <w:tcW w:type="dxa" w:w="636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Чек-листы, инспекции, журнал инцидентов, отзывы и закрытие корректирующих действий.</w:t>
            </w:r>
          </w:p>
        </w:tc>
      </w:tr>
      <w:tr>
        <w:trPr>
          <w:cantSplit/>
        </w:trPr>
        <w:tc>
          <w:tcPr>
            <w:tcW w:type="dxa" w:w="3000"/>
            <w:tcMar>
              <w:top w:w="100" w:type="dxa"/>
              <w:start w:w="130" w:type="dxa"/>
              <w:bottom w:w="100" w:type="dxa"/>
              <w:end w:w="130" w:type="dxa"/>
            </w:tcMar>
            <w:vAlign w:val="center"/>
          </w:tcPr>
          <w:p>
            <w:pPr>
              <w:spacing w:after="0" w:line="252" w:lineRule="auto"/>
            </w:pPr>
            <w:r>
              <w:rPr>
                <w:rFonts w:ascii="Aptos" w:hAnsi="Aptos" w:eastAsia="Aptos"/>
                <w:b/>
                <w:color w:val="0B2545"/>
                <w:sz w:val="19"/>
              </w:rPr>
              <w:t>Сохранность актива</w:t>
            </w:r>
          </w:p>
        </w:tc>
        <w:tc>
          <w:tcPr>
            <w:tcW w:type="dxa" w:w="6360"/>
            <w:tcMar>
              <w:top w:w="100" w:type="dxa"/>
              <w:start w:w="130" w:type="dxa"/>
              <w:bottom w:w="100" w:type="dxa"/>
              <w:end w:w="130" w:type="dxa"/>
            </w:tcMar>
            <w:vAlign w:val="center"/>
          </w:tcPr>
          <w:p>
            <w:pPr>
              <w:spacing w:after="0" w:line="252" w:lineRule="auto"/>
            </w:pPr>
            <w:r>
              <w:rPr>
                <w:rFonts w:ascii="Aptos" w:hAnsi="Aptos" w:eastAsia="Aptos"/>
                <w:b w:val="0"/>
                <w:color w:val="1F2933"/>
                <w:sz w:val="19"/>
              </w:rPr>
              <w:t>Плановое обслуживание, реестр дефектов, бюджет CAPEX и контроль подрядчиков.</w:t>
            </w:r>
          </w:p>
        </w:tc>
      </w:tr>
      <w:tr>
        <w:trPr>
          <w:cantSplit/>
        </w:trPr>
        <w:tc>
          <w:tcPr>
            <w:tcW w:type="dxa" w:w="3000"/>
            <w:tcMar>
              <w:top w:w="100" w:type="dxa"/>
              <w:start w:w="130" w:type="dxa"/>
              <w:bottom w:w="100" w:type="dxa"/>
              <w:end w:w="130" w:type="dxa"/>
            </w:tcMar>
            <w:vAlign w:val="center"/>
            <w:shd w:fill="FAFBFC"/>
          </w:tcPr>
          <w:p>
            <w:pPr>
              <w:spacing w:after="0" w:line="252" w:lineRule="auto"/>
            </w:pPr>
            <w:r>
              <w:rPr>
                <w:rFonts w:ascii="Aptos" w:hAnsi="Aptos" w:eastAsia="Aptos"/>
                <w:b/>
                <w:color w:val="0B2545"/>
                <w:sz w:val="19"/>
              </w:rPr>
              <w:t>Соблюдение правил</w:t>
            </w:r>
          </w:p>
        </w:tc>
        <w:tc>
          <w:tcPr>
            <w:tcW w:type="dxa" w:w="636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Документированные обязанности, регистрационные и договорные процессы, правила здания и объекта.</w:t>
            </w:r>
          </w:p>
        </w:tc>
      </w:tr>
      <w:tr>
        <w:trPr>
          <w:cantSplit/>
        </w:trPr>
        <w:tc>
          <w:tcPr>
            <w:tcW w:type="dxa" w:w="3000"/>
            <w:tcMar>
              <w:top w:w="100" w:type="dxa"/>
              <w:start w:w="130" w:type="dxa"/>
              <w:bottom w:w="100" w:type="dxa"/>
              <w:end w:w="130" w:type="dxa"/>
            </w:tcMar>
            <w:vAlign w:val="center"/>
          </w:tcPr>
          <w:p>
            <w:pPr>
              <w:spacing w:after="0" w:line="252" w:lineRule="auto"/>
            </w:pPr>
            <w:r>
              <w:rPr>
                <w:rFonts w:ascii="Aptos" w:hAnsi="Aptos" w:eastAsia="Aptos"/>
                <w:b/>
                <w:color w:val="0B2545"/>
                <w:sz w:val="19"/>
              </w:rPr>
              <w:t>Прямой канал</w:t>
            </w:r>
          </w:p>
        </w:tc>
        <w:tc>
          <w:tcPr>
            <w:tcW w:type="dxa" w:w="6360"/>
            <w:tcMar>
              <w:top w:w="100" w:type="dxa"/>
              <w:start w:w="130" w:type="dxa"/>
              <w:bottom w:w="100" w:type="dxa"/>
              <w:end w:w="130" w:type="dxa"/>
            </w:tcMar>
            <w:vAlign w:val="center"/>
          </w:tcPr>
          <w:p>
            <w:pPr>
              <w:spacing w:after="0" w:line="252" w:lineRule="auto"/>
            </w:pPr>
            <w:r>
              <w:rPr>
                <w:rFonts w:ascii="Aptos" w:hAnsi="Aptos" w:eastAsia="Aptos"/>
                <w:b w:val="0"/>
                <w:color w:val="1F2933"/>
                <w:sz w:val="19"/>
              </w:rPr>
              <w:t>Доля прямого спроса, повторные обращения и стоимость привлечения без зависимости от одного канала.</w:t>
            </w:r>
          </w:p>
        </w:tc>
      </w:tr>
      <w:tr>
        <w:trPr>
          <w:cantSplit/>
        </w:trPr>
        <w:tc>
          <w:tcPr>
            <w:tcW w:type="dxa" w:w="3000"/>
            <w:tcMar>
              <w:top w:w="100" w:type="dxa"/>
              <w:start w:w="130" w:type="dxa"/>
              <w:bottom w:w="100" w:type="dxa"/>
              <w:end w:w="130" w:type="dxa"/>
            </w:tcMar>
            <w:vAlign w:val="center"/>
            <w:shd w:fill="FAFBFC"/>
          </w:tcPr>
          <w:p>
            <w:pPr>
              <w:spacing w:after="0" w:line="252" w:lineRule="auto"/>
            </w:pPr>
            <w:r>
              <w:rPr>
                <w:rFonts w:ascii="Aptos" w:hAnsi="Aptos" w:eastAsia="Aptos"/>
                <w:b/>
                <w:color w:val="0B2545"/>
                <w:sz w:val="19"/>
              </w:rPr>
              <w:t>Отчётность собственнику</w:t>
            </w:r>
          </w:p>
        </w:tc>
        <w:tc>
          <w:tcPr>
            <w:tcW w:type="dxa" w:w="636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Согласованный срок выпуска отчёта, комментарий отклонений и перечень решений.</w:t>
            </w:r>
          </w:p>
        </w:tc>
      </w:tr>
    </w:tbl>
    <w:p>
      <w:pPr>
        <w:spacing w:before="0" w:after="40" w:line="264" w:lineRule="auto"/>
        <w:jc w:val="left"/>
      </w:pPr>
    </w:p>
    <w:p>
      <w:pPr>
        <w:pStyle w:val="Heading2"/>
        <w:keepNext/>
      </w:pPr>
      <w:r>
        <w:t>Основные показатели управления</w:t>
      </w:r>
    </w:p>
    <w:p>
      <w:pPr>
        <w:pStyle w:val="ListBullet"/>
        <w:spacing w:after="80" w:line="264" w:lineRule="auto"/>
      </w:pPr>
      <w:r>
        <w:rPr>
          <w:rFonts w:ascii="Aptos" w:hAnsi="Aptos" w:eastAsia="Aptos"/>
          <w:color w:val="1F2933"/>
          <w:sz w:val="22"/>
        </w:rPr>
        <w:t>Управляемые ключи и юниты по каждому кластеру.</w:t>
      </w:r>
    </w:p>
    <w:p>
      <w:pPr>
        <w:pStyle w:val="ListBullet"/>
        <w:spacing w:after="80" w:line="264" w:lineRule="auto"/>
      </w:pPr>
      <w:r>
        <w:rPr>
          <w:rFonts w:ascii="Aptos" w:hAnsi="Aptos" w:eastAsia="Aptos"/>
          <w:color w:val="1F2933"/>
          <w:sz w:val="22"/>
        </w:rPr>
        <w:t>Доля инвентаря и функций под фактическим контролем по каждому мандату.</w:t>
      </w:r>
    </w:p>
    <w:p>
      <w:pPr>
        <w:pStyle w:val="ListBullet"/>
        <w:spacing w:after="80" w:line="264" w:lineRule="auto"/>
      </w:pPr>
      <w:r>
        <w:rPr>
          <w:rFonts w:ascii="Aptos" w:hAnsi="Aptos" w:eastAsia="Aptos"/>
          <w:color w:val="1F2933"/>
          <w:sz w:val="22"/>
        </w:rPr>
        <w:t>Валовая стоимость бронирований и чистая выручка актива.</w:t>
      </w:r>
    </w:p>
    <w:p>
      <w:pPr>
        <w:pStyle w:val="ListBullet"/>
        <w:spacing w:after="80" w:line="264" w:lineRule="auto"/>
      </w:pPr>
      <w:r>
        <w:rPr>
          <w:rFonts w:ascii="Aptos" w:hAnsi="Aptos" w:eastAsia="Aptos"/>
          <w:color w:val="1F2933"/>
          <w:sz w:val="22"/>
        </w:rPr>
        <w:t>Adjusted GOP / Adjusted NOI и distributable owner cash flow.</w:t>
      </w:r>
    </w:p>
    <w:p>
      <w:pPr>
        <w:pStyle w:val="ListBullet"/>
        <w:spacing w:after="80" w:line="264" w:lineRule="auto"/>
      </w:pPr>
      <w:r>
        <w:rPr>
          <w:rFonts w:ascii="Aptos" w:hAnsi="Aptos" w:eastAsia="Aptos"/>
          <w:color w:val="1F2933"/>
          <w:sz w:val="22"/>
        </w:rPr>
        <w:t>Contribution margin кластера и стоимость операционного обслуживания.</w:t>
      </w:r>
    </w:p>
    <w:p>
      <w:pPr>
        <w:pStyle w:val="ListBullet"/>
        <w:spacing w:after="80" w:line="264" w:lineRule="auto"/>
      </w:pPr>
      <w:r>
        <w:rPr>
          <w:rFonts w:ascii="Aptos" w:hAnsi="Aptos" w:eastAsia="Aptos"/>
          <w:color w:val="1F2933"/>
          <w:sz w:val="22"/>
        </w:rPr>
        <w:t>Доля прямого спроса, повторных клиентов и агентских каналов.</w:t>
      </w:r>
    </w:p>
    <w:p>
      <w:pPr>
        <w:pStyle w:val="ListBullet"/>
        <w:spacing w:after="80" w:line="264" w:lineRule="auto"/>
      </w:pPr>
      <w:r>
        <w:rPr>
          <w:rFonts w:ascii="Aptos" w:hAnsi="Aptos" w:eastAsia="Aptos"/>
          <w:color w:val="1F2933"/>
          <w:sz w:val="22"/>
        </w:rPr>
        <w:t>Сохранность актива, удовлетворённость, инциденты и скорость закрытия вопросов.</w:t>
      </w:r>
    </w:p>
    <w:p>
      <w:pPr>
        <w:pStyle w:val="ListBullet"/>
        <w:spacing w:after="80" w:line="264" w:lineRule="auto"/>
      </w:pPr>
      <w:r>
        <w:rPr>
          <w:rFonts w:ascii="Aptos" w:hAnsi="Aptos" w:eastAsia="Aptos"/>
          <w:color w:val="1F2933"/>
          <w:sz w:val="22"/>
        </w:rPr>
        <w:t>Удержание собственников, срок мандата и количество активов, пришедших по рекомендации.</w:t>
      </w:r>
    </w:p>
    <w:p>
      <w:pPr>
        <w:pStyle w:val="Heading1"/>
        <w:keepNext/>
      </w:pPr>
      <w:r>
        <w:t>12. Операционная модель</w:t>
      </w:r>
    </w:p>
    <w:p>
      <w:pPr>
        <w:pStyle w:val="Heading2"/>
        <w:keepNext/>
      </w:pPr>
      <w:r>
        <w:t>Плотность важнее количества</w:t>
      </w:r>
    </w:p>
    <w:p>
      <w:pPr>
        <w:spacing w:before="0" w:after="120" w:line="264" w:lineRule="auto"/>
        <w:jc w:val="left"/>
      </w:pPr>
      <w:r>
        <w:rPr>
          <w:rFonts w:ascii="Aptos" w:hAnsi="Aptos" w:eastAsia="Aptos"/>
          <w:b w:val="0"/>
          <w:i w:val="0"/>
          <w:color w:val="1F2933"/>
          <w:sz w:val="22"/>
        </w:rPr>
        <w:t>Ignatev Estate масштабируется не за счёт разрозненного инвентаря по всему острову, а за счёт плотности в выбранных коридорах. Несколько активов в одной зоне позволяют разделять revenue management, инженерные ресурсы, закупки, контроль качества и персонал без потери ответственности.</w:t>
      </w:r>
    </w:p>
    <w:p>
      <w:pPr>
        <w:spacing w:before="0" w:after="120" w:line="264" w:lineRule="auto"/>
        <w:jc w:val="left"/>
      </w:pPr>
      <w:r>
        <w:rPr>
          <w:rFonts w:ascii="Aptos" w:hAnsi="Aptos" w:eastAsia="Aptos"/>
          <w:b w:val="0"/>
          <w:i w:val="0"/>
          <w:color w:val="1F2933"/>
          <w:sz w:val="22"/>
        </w:rPr>
        <w:t>Полный мандат на здание, комплекс или гостиницу создаёт плотность внутри одного актива и поэтому может иметь приоритет перед большим числом разрозненных юнитов. Решение принимается по объёму контролируемой экономики, сложности общих зон, лицензированию, кадровой модели и contribution margin.</w:t>
      </w:r>
    </w:p>
    <w:p>
      <w:pPr>
        <w:spacing w:before="0" w:after="120" w:line="264" w:lineRule="auto"/>
        <w:jc w:val="left"/>
      </w:pPr>
      <w:r>
        <w:rPr>
          <w:rFonts w:ascii="Aptos" w:hAnsi="Aptos" w:eastAsia="Aptos"/>
          <w:b w:val="0"/>
          <w:i w:val="0"/>
          <w:color w:val="1F2933"/>
          <w:sz w:val="22"/>
        </w:rPr>
        <w:t>Приоритетный коридор: Лаян — Бангтао — Чернгталай — Лагуна. Расширение происходит только после достижения положительной unit economics, стабильного SLA и управляемой нагрузки на команду.</w:t>
      </w:r>
    </w:p>
    <w:p>
      <w:pPr>
        <w:pStyle w:val="Heading2"/>
        <w:keepNext/>
      </w:pPr>
      <w:r>
        <w:t>Партнёрская модель</w:t>
      </w:r>
    </w:p>
    <w:p>
      <w:pPr>
        <w:spacing w:before="0" w:after="120" w:line="264" w:lineRule="auto"/>
        <w:jc w:val="left"/>
      </w:pPr>
      <w:r>
        <w:rPr>
          <w:rFonts w:ascii="Aptos" w:hAnsi="Aptos" w:eastAsia="Aptos"/>
          <w:b w:val="0"/>
          <w:i w:val="0"/>
          <w:color w:val="1F2933"/>
          <w:sz w:val="22"/>
        </w:rPr>
        <w:t>Компания может использовать независимых партнёров и специализированных подрядчиков, но не передаёт им владение стандартом. Ignatev Estate сохраняет контроль над назначением ролей, качеством, данными, расчётами, допуском к активу и правом приостановить исполнителя, не соответствующего SLA.</w:t>
      </w:r>
    </w:p>
    <w:p>
      <w:pPr>
        <w:pStyle w:val="Heading2"/>
        <w:keepNext/>
      </w:pPr>
      <w:r>
        <w:t>Разделение функций</w:t>
      </w:r>
    </w:p>
    <w:p>
      <w:pPr>
        <w:spacing w:before="0" w:after="120" w:line="264" w:lineRule="auto"/>
        <w:jc w:val="left"/>
      </w:pPr>
      <w:r>
        <w:rPr>
          <w:rFonts w:ascii="Aptos" w:hAnsi="Aptos" w:eastAsia="Aptos"/>
          <w:b w:val="0"/>
          <w:i w:val="0"/>
          <w:color w:val="1F2933"/>
          <w:sz w:val="22"/>
        </w:rPr>
        <w:t>Операционная команда отвечает за исполнение стандарта и не должна быть мотивирована продать собственнику новый актив. Сделки, инвестиционное суждение и ключевые отношения отделены от ежедневной эксплуатации. Основатель ведёт стратегические отношения и существенные сделки, а повседневная работа фиксируется в системе, а не в личных чатах.</w:t>
      </w:r>
    </w:p>
    <w:p>
      <w:pPr>
        <w:pStyle w:val="Heading1"/>
        <w:keepNext/>
      </w:pPr>
      <w:r>
        <w:t>13. Масштабирование и партнёрский контур предложения</w:t>
      </w:r>
    </w:p>
    <w:p>
      <w:pPr>
        <w:pStyle w:val="Heading2"/>
        <w:keepNext/>
      </w:pPr>
      <w:r>
        <w:t>13.1. Тезис масштабирования</w:t>
      </w:r>
    </w:p>
    <w:tbl>
      <w:tblPr>
        <w:tblW w:type="dxa" w:w="9360"/>
        <w:jc w:val="left"/>
        <w:tblLook w:firstColumn="1" w:firstRow="1" w:lastColumn="0" w:lastRow="0" w:noHBand="0" w:noVBand="1" w:val="04A0"/>
        <w:tblInd w:w="120" w:type="dxa"/>
        <w:tblBorders>
          <w:top w:val="single" w:sz="4" w:space="0" w:color="E8EEF5"/>
          <w:left w:val="single" w:sz="4" w:space="0" w:color="E8EEF5"/>
          <w:bottom w:val="single" w:sz="4" w:space="0" w:color="E8EEF5"/>
          <w:right w:val="single" w:sz="4" w:space="0" w:color="E8EEF5"/>
          <w:insideH w:val="single" w:sz="4" w:space="0" w:color="E8EEF5"/>
          <w:insideV w:val="single" w:sz="4" w:space="0" w:color="E8EEF5"/>
        </w:tblBorders>
      </w:tblPr>
      <w:tblGrid>
        <w:gridCol w:w="9360"/>
      </w:tblGrid>
      <w:tr>
        <w:tc>
          <w:tcPr>
            <w:tcW w:type="dxa" w:w="9360"/>
            <w:shd w:fill="E8EEF5"/>
            <w:tcMar>
              <w:top w:w="150" w:type="dxa"/>
              <w:start w:w="180" w:type="dxa"/>
              <w:bottom w:w="150" w:type="dxa"/>
              <w:end w:w="180" w:type="dxa"/>
            </w:tcMar>
          </w:tcPr>
          <w:p>
            <w:pPr>
              <w:spacing w:after="0" w:line="269" w:lineRule="auto"/>
            </w:pPr>
            <w:r>
              <w:rPr>
                <w:rFonts w:ascii="Aptos" w:hAnsi="Aptos" w:eastAsia="Aptos"/>
                <w:b/>
                <w:color w:val="0B2545"/>
                <w:sz w:val="21"/>
              </w:rPr>
              <w:t xml:space="preserve">Основной принцип. </w:t>
            </w:r>
            <w:r>
              <w:rPr>
                <w:rFonts w:ascii="Aptos" w:hAnsi="Aptos" w:eastAsia="Aptos"/>
                <w:color w:val="1F2933"/>
                <w:sz w:val="21"/>
              </w:rPr>
              <w:t>Ignatev Estate масштабируется через увеличение контролируемой экономики активов, а не через максимальное количество заявок, листингов или партнёров. Партнёрский инвентарь сохраняет спрос и выручку, но служит мостом к будущему управляемому портфелю, а не заменой основного мандата.</w:t>
            </w:r>
          </w:p>
        </w:tc>
      </w:tr>
    </w:tbl>
    <w:p>
      <w:pPr>
        <w:spacing w:before="0" w:after="40" w:line="264" w:lineRule="auto"/>
        <w:jc w:val="left"/>
      </w:pPr>
    </w:p>
    <w:p>
      <w:pPr>
        <w:spacing w:before="0" w:after="120" w:line="264" w:lineRule="auto"/>
        <w:jc w:val="left"/>
      </w:pPr>
      <w:r>
        <w:rPr>
          <w:rFonts w:ascii="Aptos" w:hAnsi="Aptos" w:eastAsia="Aptos"/>
          <w:b w:val="0"/>
          <w:i w:val="0"/>
          <w:color w:val="1F2933"/>
          <w:sz w:val="22"/>
        </w:rPr>
        <w:t>Очередность роста: стабилизация управляемого ядра → плотность в здании или кластере → более глубокий мандат → рост прямого спроса → проверенная партнёрская дистрибуция → перевод востребованного предложения в управление → полные мандаты на комплексы, резорты и гостиницы.</w:t>
      </w:r>
    </w:p>
    <w:p>
      <w:pPr>
        <w:pStyle w:val="Heading2"/>
        <w:keepNext/>
      </w:pPr>
      <w:r>
        <w:t>13.2. Два контура предложения</w:t>
      </w:r>
    </w:p>
    <w:tbl>
      <w:tblPr>
        <w:tblW w:type="dxa" w:w="9360"/>
        <w:jc w:val="left"/>
        <w:tblLayout w:type="fixed"/>
        <w:tblLook w:firstColumn="1" w:firstRow="1" w:lastColumn="0" w:lastRow="0" w:noHBand="0" w:noVBand="1" w:val="04A0"/>
        <w:tblInd w:w="120" w:type="dxa"/>
        <w:tblBorders>
          <w:top w:val="single" w:sz="6" w:space="0" w:color="D6DCE2"/>
          <w:left w:val="single" w:sz="6" w:space="0" w:color="D6DCE2"/>
          <w:bottom w:val="single" w:sz="6" w:space="0" w:color="D6DCE2"/>
          <w:right w:val="single" w:sz="6" w:space="0" w:color="D6DCE2"/>
          <w:insideH w:val="single" w:sz="6" w:space="0" w:color="D6DCE2"/>
          <w:insideV w:val="single" w:sz="6" w:space="0" w:color="D6DCE2"/>
        </w:tblBorders>
      </w:tblPr>
      <w:tblGrid>
        <w:gridCol w:w="1800"/>
        <w:gridCol w:w="2520"/>
        <w:gridCol w:w="2940"/>
        <w:gridCol w:w="2100"/>
      </w:tblGrid>
      <w:tr>
        <w:trPr>
          <w:tblHeader w:val="true"/>
          <w:cantSplit/>
        </w:trPr>
        <w:tc>
          <w:tcPr>
            <w:tcW w:type="dxa" w:w="1800"/>
            <w:shd w:fill="0B2545"/>
            <w:tcMar>
              <w:top w:w="100" w:type="dxa"/>
              <w:start w:w="130" w:type="dxa"/>
              <w:bottom w:w="100" w:type="dxa"/>
              <w:end w:w="130" w:type="dxa"/>
            </w:tcMar>
            <w:vAlign w:val="center"/>
          </w:tcPr>
          <w:p>
            <w:pPr>
              <w:spacing w:after="0" w:line="240" w:lineRule="auto"/>
            </w:pPr>
            <w:r>
              <w:rPr>
                <w:rFonts w:ascii="Aptos" w:hAnsi="Aptos" w:eastAsia="Aptos"/>
                <w:b/>
                <w:color w:val="FFFFFF"/>
                <w:sz w:val="19"/>
              </w:rPr>
              <w:t>КОНТУР</w:t>
            </w:r>
          </w:p>
        </w:tc>
        <w:tc>
          <w:tcPr>
            <w:tcW w:type="dxa" w:w="2520"/>
            <w:shd w:fill="0B2545"/>
            <w:tcMar>
              <w:top w:w="100" w:type="dxa"/>
              <w:start w:w="130" w:type="dxa"/>
              <w:bottom w:w="100" w:type="dxa"/>
              <w:end w:w="130" w:type="dxa"/>
            </w:tcMar>
            <w:vAlign w:val="center"/>
          </w:tcPr>
          <w:p>
            <w:pPr>
              <w:spacing w:after="0" w:line="240" w:lineRule="auto"/>
            </w:pPr>
            <w:r>
              <w:rPr>
                <w:rFonts w:ascii="Aptos" w:hAnsi="Aptos" w:eastAsia="Aptos"/>
                <w:b/>
                <w:color w:val="FFFFFF"/>
                <w:sz w:val="19"/>
              </w:rPr>
              <w:t>ЧТО ВХОДИТ</w:t>
            </w:r>
          </w:p>
        </w:tc>
        <w:tc>
          <w:tcPr>
            <w:tcW w:type="dxa" w:w="2940"/>
            <w:shd w:fill="0B2545"/>
            <w:tcMar>
              <w:top w:w="100" w:type="dxa"/>
              <w:start w:w="130" w:type="dxa"/>
              <w:bottom w:w="100" w:type="dxa"/>
              <w:end w:w="130" w:type="dxa"/>
            </w:tcMar>
            <w:vAlign w:val="center"/>
          </w:tcPr>
          <w:p>
            <w:pPr>
              <w:spacing w:after="0" w:line="240" w:lineRule="auto"/>
            </w:pPr>
            <w:r>
              <w:rPr>
                <w:rFonts w:ascii="Aptos" w:hAnsi="Aptos" w:eastAsia="Aptos"/>
                <w:b/>
                <w:color w:val="FFFFFF"/>
                <w:sz w:val="19"/>
              </w:rPr>
              <w:t>РОЛЬ IGNATEV ESTATE</w:t>
            </w:r>
          </w:p>
        </w:tc>
        <w:tc>
          <w:tcPr>
            <w:tcW w:type="dxa" w:w="2100"/>
            <w:shd w:fill="0B2545"/>
            <w:tcMar>
              <w:top w:w="100" w:type="dxa"/>
              <w:start w:w="130" w:type="dxa"/>
              <w:bottom w:w="100" w:type="dxa"/>
              <w:end w:w="130" w:type="dxa"/>
            </w:tcMar>
            <w:vAlign w:val="center"/>
          </w:tcPr>
          <w:p>
            <w:pPr>
              <w:spacing w:after="0" w:line="240" w:lineRule="auto"/>
            </w:pPr>
            <w:r>
              <w:rPr>
                <w:rFonts w:ascii="Aptos" w:hAnsi="Aptos" w:eastAsia="Aptos"/>
                <w:b/>
                <w:color w:val="FFFFFF"/>
                <w:sz w:val="19"/>
              </w:rPr>
              <w:t>БРЕНД</w:t>
            </w:r>
          </w:p>
        </w:tc>
      </w:tr>
      <w:tr>
        <w:trPr>
          <w:cantSplit/>
        </w:trPr>
        <w:tc>
          <w:tcPr>
            <w:tcW w:type="dxa" w:w="1800"/>
            <w:tcMar>
              <w:top w:w="100" w:type="dxa"/>
              <w:start w:w="130" w:type="dxa"/>
              <w:bottom w:w="100" w:type="dxa"/>
              <w:end w:w="130" w:type="dxa"/>
            </w:tcMar>
            <w:vAlign w:val="center"/>
          </w:tcPr>
          <w:p>
            <w:pPr>
              <w:spacing w:after="0" w:line="252" w:lineRule="auto"/>
            </w:pPr>
            <w:r>
              <w:rPr>
                <w:rFonts w:ascii="Aptos" w:hAnsi="Aptos" w:eastAsia="Aptos"/>
                <w:b/>
                <w:color w:val="0B2545"/>
                <w:sz w:val="19"/>
              </w:rPr>
              <w:t>Managed Portfolio</w:t>
            </w:r>
          </w:p>
        </w:tc>
        <w:tc>
          <w:tcPr>
            <w:tcW w:type="dxa" w:w="2520"/>
            <w:tcMar>
              <w:top w:w="100" w:type="dxa"/>
              <w:start w:w="130" w:type="dxa"/>
              <w:bottom w:w="100" w:type="dxa"/>
              <w:end w:w="130" w:type="dxa"/>
            </w:tcMar>
            <w:vAlign w:val="center"/>
          </w:tcPr>
          <w:p>
            <w:pPr>
              <w:spacing w:after="0" w:line="252" w:lineRule="auto"/>
            </w:pPr>
            <w:r>
              <w:rPr>
                <w:rFonts w:ascii="Aptos" w:hAnsi="Aptos" w:eastAsia="Aptos"/>
                <w:b w:val="0"/>
                <w:color w:val="1F2933"/>
                <w:sz w:val="19"/>
              </w:rPr>
              <w:t>Активы и юниты под коммерческим или операционным мандатом.</w:t>
            </w:r>
          </w:p>
        </w:tc>
        <w:tc>
          <w:tcPr>
            <w:tcW w:type="dxa" w:w="2940"/>
            <w:tcMar>
              <w:top w:w="100" w:type="dxa"/>
              <w:start w:w="130" w:type="dxa"/>
              <w:bottom w:w="100" w:type="dxa"/>
              <w:end w:w="130" w:type="dxa"/>
            </w:tcMar>
            <w:vAlign w:val="center"/>
          </w:tcPr>
          <w:p>
            <w:pPr>
              <w:spacing w:after="0" w:line="252" w:lineRule="auto"/>
            </w:pPr>
            <w:r>
              <w:rPr>
                <w:rFonts w:ascii="Aptos" w:hAnsi="Aptos" w:eastAsia="Aptos"/>
                <w:b w:val="0"/>
                <w:color w:val="1F2933"/>
                <w:sz w:val="19"/>
              </w:rPr>
              <w:t>Контроль цены, каналов, бронирования, сервиса, отчётности и согласованных функций.</w:t>
            </w:r>
          </w:p>
        </w:tc>
        <w:tc>
          <w:tcPr>
            <w:tcW w:type="dxa" w:w="2100"/>
            <w:tcMar>
              <w:top w:w="100" w:type="dxa"/>
              <w:start w:w="130" w:type="dxa"/>
              <w:bottom w:w="100" w:type="dxa"/>
              <w:end w:w="130" w:type="dxa"/>
            </w:tcMar>
            <w:vAlign w:val="center"/>
          </w:tcPr>
          <w:p>
            <w:pPr>
              <w:spacing w:after="0" w:line="252" w:lineRule="auto"/>
            </w:pPr>
            <w:r>
              <w:rPr>
                <w:rFonts w:ascii="Aptos" w:hAnsi="Aptos" w:eastAsia="Aptos"/>
                <w:b w:val="0"/>
                <w:color w:val="1F2933"/>
                <w:sz w:val="19"/>
              </w:rPr>
              <w:t>myUNO в режиме, соответствующем глубине мандата.</w:t>
            </w:r>
          </w:p>
        </w:tc>
      </w:tr>
      <w:tr>
        <w:trPr>
          <w:cantSplit/>
        </w:trPr>
        <w:tc>
          <w:tcPr>
            <w:tcW w:type="dxa" w:w="1800"/>
            <w:tcMar>
              <w:top w:w="100" w:type="dxa"/>
              <w:start w:w="130" w:type="dxa"/>
              <w:bottom w:w="100" w:type="dxa"/>
              <w:end w:w="130" w:type="dxa"/>
            </w:tcMar>
            <w:vAlign w:val="center"/>
            <w:shd w:fill="FAFBFC"/>
          </w:tcPr>
          <w:p>
            <w:pPr>
              <w:spacing w:after="0" w:line="252" w:lineRule="auto"/>
            </w:pPr>
            <w:r>
              <w:rPr>
                <w:rFonts w:ascii="Aptos" w:hAnsi="Aptos" w:eastAsia="Aptos"/>
                <w:b/>
                <w:color w:val="0B2545"/>
                <w:sz w:val="19"/>
              </w:rPr>
              <w:t>Verified Partner Inventory</w:t>
            </w:r>
          </w:p>
        </w:tc>
        <w:tc>
          <w:tcPr>
            <w:tcW w:type="dxa" w:w="252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Объекты собственников или внешних операторов, прошедшие минимальную проверку.</w:t>
            </w:r>
          </w:p>
        </w:tc>
        <w:tc>
          <w:tcPr>
            <w:tcW w:type="dxa" w:w="294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Источник спроса, booking agent, distributor или referrer; ответственность ограничена раскрытой ролью.</w:t>
            </w:r>
          </w:p>
        </w:tc>
        <w:tc>
          <w:tcPr>
            <w:tcW w:type="dxa" w:w="210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Без myUNO. Фактический оператор указывается явно.</w:t>
            </w:r>
          </w:p>
        </w:tc>
      </w:tr>
    </w:tbl>
    <w:p>
      <w:pPr>
        <w:spacing w:before="0" w:after="40" w:line="264" w:lineRule="auto"/>
        <w:jc w:val="left"/>
      </w:pPr>
    </w:p>
    <w:p>
      <w:pPr>
        <w:spacing w:before="0" w:after="120" w:line="264" w:lineRule="auto"/>
        <w:jc w:val="left"/>
      </w:pPr>
      <w:r>
        <w:rPr>
          <w:rFonts w:ascii="Aptos" w:hAnsi="Aptos" w:eastAsia="Aptos"/>
          <w:b w:val="0"/>
          <w:i w:val="0"/>
          <w:color w:val="1F2933"/>
          <w:sz w:val="22"/>
        </w:rPr>
        <w:t>Управляемый портфель всегда проверяется первым, но неподходящий объект не навязывается ради полной комиссии. Если собственного предложения нет, компания сохраняет клиента через ограниченный партнёрский поиск.</w:t>
      </w:r>
    </w:p>
    <w:tbl>
      <w:tblPr>
        <w:tblW w:type="dxa" w:w="9360"/>
        <w:jc w:val="left"/>
        <w:tblLook w:firstColumn="1" w:firstRow="1" w:lastColumn="0" w:lastRow="0" w:noHBand="0" w:noVBand="1" w:val="04A0"/>
        <w:tblInd w:w="120" w:type="dxa"/>
        <w:tblBorders>
          <w:top w:val="single" w:sz="4" w:space="0" w:color="E8EEF5"/>
          <w:left w:val="single" w:sz="4" w:space="0" w:color="E8EEF5"/>
          <w:bottom w:val="single" w:sz="4" w:space="0" w:color="E8EEF5"/>
          <w:right w:val="single" w:sz="4" w:space="0" w:color="E8EEF5"/>
          <w:insideH w:val="single" w:sz="4" w:space="0" w:color="E8EEF5"/>
          <w:insideV w:val="single" w:sz="4" w:space="0" w:color="E8EEF5"/>
        </w:tblBorders>
      </w:tblPr>
      <w:tblGrid>
        <w:gridCol w:w="9360"/>
      </w:tblGrid>
      <w:tr>
        <w:tc>
          <w:tcPr>
            <w:tcW w:type="dxa" w:w="9360"/>
            <w:shd w:fill="E8EEF5"/>
            <w:tcMar>
              <w:top w:w="150" w:type="dxa"/>
              <w:start w:w="180" w:type="dxa"/>
              <w:bottom w:w="150" w:type="dxa"/>
              <w:end w:w="180" w:type="dxa"/>
            </w:tcMar>
          </w:tcPr>
          <w:p>
            <w:pPr>
              <w:spacing w:after="0" w:line="269" w:lineRule="auto"/>
            </w:pPr>
            <w:r>
              <w:rPr>
                <w:rFonts w:ascii="Aptos" w:hAnsi="Aptos" w:eastAsia="Aptos"/>
                <w:b/>
                <w:color w:val="0B2545"/>
                <w:sz w:val="21"/>
              </w:rPr>
              <w:t xml:space="preserve">Публичная маркировка. </w:t>
            </w:r>
            <w:r>
              <w:rPr>
                <w:rFonts w:ascii="Aptos" w:hAnsi="Aptos" w:eastAsia="Aptos"/>
                <w:color w:val="1F2933"/>
                <w:sz w:val="21"/>
              </w:rPr>
              <w:t>Selected partner property · Sourced by Ignatev Estate · Operated by [название оператора].</w:t>
            </w:r>
          </w:p>
        </w:tc>
      </w:tr>
    </w:tbl>
    <w:p>
      <w:pPr>
        <w:spacing w:before="0" w:after="40" w:line="264" w:lineRule="auto"/>
        <w:jc w:val="left"/>
      </w:pPr>
    </w:p>
    <w:p>
      <w:pPr>
        <w:spacing w:before="0" w:after="120" w:line="264" w:lineRule="auto"/>
        <w:jc w:val="left"/>
      </w:pPr>
      <w:r>
        <w:rPr>
          <w:rFonts w:ascii="Aptos" w:hAnsi="Aptos" w:eastAsia="Aptos"/>
          <w:b w:val="0"/>
          <w:i/>
          <w:color w:val="5E6B75"/>
          <w:sz w:val="22"/>
        </w:rPr>
        <w:t>Партнёрское предложение не превращает myUNO.com в OTA. Оно работает как assisted-search контур: гость получает короткий проверенный shortlist, а не открытый каталог из сотен непроверенных листингов.</w:t>
      </w:r>
    </w:p>
    <w:p>
      <w:pPr>
        <w:pStyle w:val="Heading2"/>
        <w:keepNext/>
      </w:pPr>
      <w:r>
        <w:t>13.3. Порядок исполнения арендного запроса</w:t>
      </w:r>
    </w:p>
    <w:tbl>
      <w:tblPr>
        <w:tblW w:type="dxa" w:w="9360"/>
        <w:jc w:val="left"/>
        <w:tblLayout w:type="fixed"/>
        <w:tblLook w:firstColumn="1" w:firstRow="1" w:lastColumn="0" w:lastRow="0" w:noHBand="0" w:noVBand="1" w:val="04A0"/>
        <w:tblInd w:w="120" w:type="dxa"/>
        <w:tblBorders>
          <w:top w:val="single" w:sz="6" w:space="0" w:color="D6DCE2"/>
          <w:left w:val="single" w:sz="6" w:space="0" w:color="D6DCE2"/>
          <w:bottom w:val="single" w:sz="6" w:space="0" w:color="D6DCE2"/>
          <w:right w:val="single" w:sz="6" w:space="0" w:color="D6DCE2"/>
          <w:insideH w:val="single" w:sz="6" w:space="0" w:color="D6DCE2"/>
          <w:insideV w:val="single" w:sz="6" w:space="0" w:color="D6DCE2"/>
        </w:tblBorders>
      </w:tblPr>
      <w:tblGrid>
        <w:gridCol w:w="1500"/>
        <w:gridCol w:w="4800"/>
        <w:gridCol w:w="3060"/>
      </w:tblGrid>
      <w:tr>
        <w:trPr>
          <w:tblHeader w:val="true"/>
          <w:cantSplit/>
        </w:trPr>
        <w:tc>
          <w:tcPr>
            <w:tcW w:type="dxa" w:w="1500"/>
            <w:shd w:fill="0B2545"/>
            <w:tcMar>
              <w:top w:w="100" w:type="dxa"/>
              <w:start w:w="130" w:type="dxa"/>
              <w:bottom w:w="100" w:type="dxa"/>
              <w:end w:w="130" w:type="dxa"/>
            </w:tcMar>
            <w:vAlign w:val="center"/>
          </w:tcPr>
          <w:p>
            <w:pPr>
              <w:spacing w:after="0" w:line="240" w:lineRule="auto"/>
            </w:pPr>
            <w:r>
              <w:rPr>
                <w:rFonts w:ascii="Aptos" w:hAnsi="Aptos" w:eastAsia="Aptos"/>
                <w:b/>
                <w:color w:val="FFFFFF"/>
                <w:sz w:val="19"/>
              </w:rPr>
              <w:t>ШАГ</w:t>
            </w:r>
          </w:p>
        </w:tc>
        <w:tc>
          <w:tcPr>
            <w:tcW w:type="dxa" w:w="4800"/>
            <w:shd w:fill="0B2545"/>
            <w:tcMar>
              <w:top w:w="100" w:type="dxa"/>
              <w:start w:w="130" w:type="dxa"/>
              <w:bottom w:w="100" w:type="dxa"/>
              <w:end w:w="130" w:type="dxa"/>
            </w:tcMar>
            <w:vAlign w:val="center"/>
          </w:tcPr>
          <w:p>
            <w:pPr>
              <w:spacing w:after="0" w:line="240" w:lineRule="auto"/>
            </w:pPr>
            <w:r>
              <w:rPr>
                <w:rFonts w:ascii="Aptos" w:hAnsi="Aptos" w:eastAsia="Aptos"/>
                <w:b/>
                <w:color w:val="FFFFFF"/>
                <w:sz w:val="19"/>
              </w:rPr>
              <w:t>ДЕЙСТВИЕ</w:t>
            </w:r>
          </w:p>
        </w:tc>
        <w:tc>
          <w:tcPr>
            <w:tcW w:type="dxa" w:w="3060"/>
            <w:shd w:fill="0B2545"/>
            <w:tcMar>
              <w:top w:w="100" w:type="dxa"/>
              <w:start w:w="130" w:type="dxa"/>
              <w:bottom w:w="100" w:type="dxa"/>
              <w:end w:w="130" w:type="dxa"/>
            </w:tcMar>
            <w:vAlign w:val="center"/>
          </w:tcPr>
          <w:p>
            <w:pPr>
              <w:spacing w:after="0" w:line="240" w:lineRule="auto"/>
            </w:pPr>
            <w:r>
              <w:rPr>
                <w:rFonts w:ascii="Aptos" w:hAnsi="Aptos" w:eastAsia="Aptos"/>
                <w:b/>
                <w:color w:val="FFFFFF"/>
                <w:sz w:val="19"/>
              </w:rPr>
              <w:t>РЕШЕНИЕ</w:t>
            </w:r>
          </w:p>
        </w:tc>
      </w:tr>
      <w:tr>
        <w:trPr>
          <w:cantSplit/>
        </w:trPr>
        <w:tc>
          <w:tcPr>
            <w:tcW w:type="dxa" w:w="1500"/>
            <w:tcMar>
              <w:top w:w="100" w:type="dxa"/>
              <w:start w:w="130" w:type="dxa"/>
              <w:bottom w:w="100" w:type="dxa"/>
              <w:end w:w="130" w:type="dxa"/>
            </w:tcMar>
            <w:vAlign w:val="center"/>
          </w:tcPr>
          <w:p>
            <w:pPr>
              <w:spacing w:after="0" w:line="252" w:lineRule="auto"/>
            </w:pPr>
            <w:r>
              <w:rPr>
                <w:rFonts w:ascii="Aptos" w:hAnsi="Aptos" w:eastAsia="Aptos"/>
                <w:b/>
                <w:color w:val="0B2545"/>
                <w:sz w:val="19"/>
              </w:rPr>
              <w:t>1. Managed match</w:t>
            </w:r>
          </w:p>
        </w:tc>
        <w:tc>
          <w:tcPr>
            <w:tcW w:type="dxa" w:w="4800"/>
            <w:tcMar>
              <w:top w:w="100" w:type="dxa"/>
              <w:start w:w="130" w:type="dxa"/>
              <w:bottom w:w="100" w:type="dxa"/>
              <w:end w:w="130" w:type="dxa"/>
            </w:tcMar>
            <w:vAlign w:val="center"/>
          </w:tcPr>
          <w:p>
            <w:pPr>
              <w:spacing w:after="0" w:line="252" w:lineRule="auto"/>
            </w:pPr>
            <w:r>
              <w:rPr>
                <w:rFonts w:ascii="Aptos" w:hAnsi="Aptos" w:eastAsia="Aptos"/>
                <w:b w:val="0"/>
                <w:color w:val="1F2933"/>
                <w:sz w:val="19"/>
              </w:rPr>
              <w:t>Проверить управляемый портфель по датам, составу, бюджету, локации, режиму и существенным требованиям.</w:t>
            </w:r>
          </w:p>
        </w:tc>
        <w:tc>
          <w:tcPr>
            <w:tcW w:type="dxa" w:w="3060"/>
            <w:tcMar>
              <w:top w:w="100" w:type="dxa"/>
              <w:start w:w="130" w:type="dxa"/>
              <w:bottom w:w="100" w:type="dxa"/>
              <w:end w:w="130" w:type="dxa"/>
            </w:tcMar>
            <w:vAlign w:val="center"/>
          </w:tcPr>
          <w:p>
            <w:pPr>
              <w:spacing w:after="0" w:line="252" w:lineRule="auto"/>
            </w:pPr>
            <w:r>
              <w:rPr>
                <w:rFonts w:ascii="Aptos" w:hAnsi="Aptos" w:eastAsia="Aptos"/>
                <w:b w:val="0"/>
                <w:color w:val="1F2933"/>
                <w:sz w:val="19"/>
              </w:rPr>
              <w:t>Предложить точное соответствие.</w:t>
            </w:r>
          </w:p>
        </w:tc>
      </w:tr>
      <w:tr>
        <w:trPr>
          <w:cantSplit/>
        </w:trPr>
        <w:tc>
          <w:tcPr>
            <w:tcW w:type="dxa" w:w="1500"/>
            <w:tcMar>
              <w:top w:w="100" w:type="dxa"/>
              <w:start w:w="130" w:type="dxa"/>
              <w:bottom w:w="100" w:type="dxa"/>
              <w:end w:w="130" w:type="dxa"/>
            </w:tcMar>
            <w:vAlign w:val="center"/>
            <w:shd w:fill="FAFBFC"/>
          </w:tcPr>
          <w:p>
            <w:pPr>
              <w:spacing w:after="0" w:line="252" w:lineRule="auto"/>
            </w:pPr>
            <w:r>
              <w:rPr>
                <w:rFonts w:ascii="Aptos" w:hAnsi="Aptos" w:eastAsia="Aptos"/>
                <w:b/>
                <w:color w:val="0B2545"/>
                <w:sz w:val="19"/>
              </w:rPr>
              <w:t>2. Managed alternative</w:t>
            </w:r>
          </w:p>
        </w:tc>
        <w:tc>
          <w:tcPr>
            <w:tcW w:type="dxa" w:w="480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Проверить разумное изменение дат, типа объекта или близкой локации.</w:t>
            </w:r>
          </w:p>
        </w:tc>
        <w:tc>
          <w:tcPr>
            <w:tcW w:type="dxa" w:w="306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Предлагать только если альтернатива действительно отвечает интересу гостя.</w:t>
            </w:r>
          </w:p>
        </w:tc>
      </w:tr>
      <w:tr>
        <w:trPr>
          <w:cantSplit/>
        </w:trPr>
        <w:tc>
          <w:tcPr>
            <w:tcW w:type="dxa" w:w="1500"/>
            <w:tcMar>
              <w:top w:w="100" w:type="dxa"/>
              <w:start w:w="130" w:type="dxa"/>
              <w:bottom w:w="100" w:type="dxa"/>
              <w:end w:w="130" w:type="dxa"/>
            </w:tcMar>
            <w:vAlign w:val="center"/>
          </w:tcPr>
          <w:p>
            <w:pPr>
              <w:spacing w:after="0" w:line="252" w:lineRule="auto"/>
            </w:pPr>
            <w:r>
              <w:rPr>
                <w:rFonts w:ascii="Aptos" w:hAnsi="Aptos" w:eastAsia="Aptos"/>
                <w:b/>
                <w:color w:val="0B2545"/>
                <w:sz w:val="19"/>
              </w:rPr>
              <w:t>3. Verified partner</w:t>
            </w:r>
          </w:p>
        </w:tc>
        <w:tc>
          <w:tcPr>
            <w:tcW w:type="dxa" w:w="4800"/>
            <w:tcMar>
              <w:top w:w="100" w:type="dxa"/>
              <w:start w:w="130" w:type="dxa"/>
              <w:bottom w:w="100" w:type="dxa"/>
              <w:end w:w="130" w:type="dxa"/>
            </w:tcMar>
            <w:vAlign w:val="center"/>
          </w:tcPr>
          <w:p>
            <w:pPr>
              <w:spacing w:after="0" w:line="252" w:lineRule="auto"/>
            </w:pPr>
            <w:r>
              <w:rPr>
                <w:rFonts w:ascii="Aptos" w:hAnsi="Aptos" w:eastAsia="Aptos"/>
                <w:b w:val="0"/>
                <w:color w:val="1F2933"/>
                <w:sz w:val="19"/>
              </w:rPr>
              <w:t>Направить запрос ограниченному числу проверенных партнёров и подтвердить цену, доступность и ответственность.</w:t>
            </w:r>
          </w:p>
        </w:tc>
        <w:tc>
          <w:tcPr>
            <w:tcW w:type="dxa" w:w="3060"/>
            <w:tcMar>
              <w:top w:w="100" w:type="dxa"/>
              <w:start w:w="130" w:type="dxa"/>
              <w:bottom w:w="100" w:type="dxa"/>
              <w:end w:w="130" w:type="dxa"/>
            </w:tcMar>
            <w:vAlign w:val="center"/>
          </w:tcPr>
          <w:p>
            <w:pPr>
              <w:spacing w:after="0" w:line="252" w:lineRule="auto"/>
            </w:pPr>
            <w:r>
              <w:rPr>
                <w:rFonts w:ascii="Aptos" w:hAnsi="Aptos" w:eastAsia="Aptos"/>
                <w:b w:val="0"/>
                <w:color w:val="1F2933"/>
                <w:sz w:val="19"/>
              </w:rPr>
              <w:t>Дать короткий shortlist с раскрытой ролью оператора.</w:t>
            </w:r>
          </w:p>
        </w:tc>
      </w:tr>
      <w:tr>
        <w:trPr>
          <w:cantSplit/>
        </w:trPr>
        <w:tc>
          <w:tcPr>
            <w:tcW w:type="dxa" w:w="1500"/>
            <w:tcMar>
              <w:top w:w="100" w:type="dxa"/>
              <w:start w:w="130" w:type="dxa"/>
              <w:bottom w:w="100" w:type="dxa"/>
              <w:end w:w="130" w:type="dxa"/>
            </w:tcMar>
            <w:vAlign w:val="center"/>
            <w:shd w:fill="FAFBFC"/>
          </w:tcPr>
          <w:p>
            <w:pPr>
              <w:spacing w:after="0" w:line="252" w:lineRule="auto"/>
            </w:pPr>
            <w:r>
              <w:rPr>
                <w:rFonts w:ascii="Aptos" w:hAnsi="Aptos" w:eastAsia="Aptos"/>
                <w:b/>
                <w:color w:val="0B2545"/>
                <w:sz w:val="19"/>
              </w:rPr>
              <w:t>4. One-off sourcing</w:t>
            </w:r>
          </w:p>
        </w:tc>
        <w:tc>
          <w:tcPr>
            <w:tcW w:type="dxa" w:w="480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Для существенного запроса выполнить ограниченный поиск вне постоянной сети.</w:t>
            </w:r>
          </w:p>
        </w:tc>
        <w:tc>
          <w:tcPr>
            <w:tcW w:type="dxa" w:w="306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Проверить объект до предложения и согласовать экономику поиска.</w:t>
            </w:r>
          </w:p>
        </w:tc>
      </w:tr>
      <w:tr>
        <w:trPr>
          <w:cantSplit/>
        </w:trPr>
        <w:tc>
          <w:tcPr>
            <w:tcW w:type="dxa" w:w="1500"/>
            <w:tcMar>
              <w:top w:w="100" w:type="dxa"/>
              <w:start w:w="130" w:type="dxa"/>
              <w:bottom w:w="100" w:type="dxa"/>
              <w:end w:w="130" w:type="dxa"/>
            </w:tcMar>
            <w:vAlign w:val="center"/>
          </w:tcPr>
          <w:p>
            <w:pPr>
              <w:spacing w:after="0" w:line="252" w:lineRule="auto"/>
            </w:pPr>
            <w:r>
              <w:rPr>
                <w:rFonts w:ascii="Aptos" w:hAnsi="Aptos" w:eastAsia="Aptos"/>
                <w:b/>
                <w:color w:val="0B2545"/>
                <w:sz w:val="19"/>
              </w:rPr>
              <w:t>5. Decline</w:t>
            </w:r>
          </w:p>
        </w:tc>
        <w:tc>
          <w:tcPr>
            <w:tcW w:type="dxa" w:w="4800"/>
            <w:tcMar>
              <w:top w:w="100" w:type="dxa"/>
              <w:start w:w="130" w:type="dxa"/>
              <w:bottom w:w="100" w:type="dxa"/>
              <w:end w:w="130" w:type="dxa"/>
            </w:tcMar>
            <w:vAlign w:val="center"/>
          </w:tcPr>
          <w:p>
            <w:pPr>
              <w:spacing w:after="0" w:line="252" w:lineRule="auto"/>
            </w:pPr>
            <w:r>
              <w:rPr>
                <w:rFonts w:ascii="Aptos" w:hAnsi="Aptos" w:eastAsia="Aptos"/>
                <w:b w:val="0"/>
                <w:color w:val="1F2933"/>
                <w:sz w:val="19"/>
              </w:rPr>
              <w:t>Остановить процесс, если нельзя подтвердить полномочия, допустимость, доступность, цену или ответственную сторону.</w:t>
            </w:r>
          </w:p>
        </w:tc>
        <w:tc>
          <w:tcPr>
            <w:tcW w:type="dxa" w:w="3060"/>
            <w:tcMar>
              <w:top w:w="100" w:type="dxa"/>
              <w:start w:w="130" w:type="dxa"/>
              <w:bottom w:w="100" w:type="dxa"/>
              <w:end w:w="130" w:type="dxa"/>
            </w:tcMar>
            <w:vAlign w:val="center"/>
          </w:tcPr>
          <w:p>
            <w:pPr>
              <w:spacing w:after="0" w:line="252" w:lineRule="auto"/>
            </w:pPr>
            <w:r>
              <w:rPr>
                <w:rFonts w:ascii="Aptos" w:hAnsi="Aptos" w:eastAsia="Aptos"/>
                <w:b w:val="0"/>
                <w:color w:val="1F2933"/>
                <w:sz w:val="19"/>
              </w:rPr>
              <w:t>Не обменивать доверие на комиссию.</w:t>
            </w:r>
          </w:p>
        </w:tc>
      </w:tr>
    </w:tbl>
    <w:p>
      <w:pPr>
        <w:spacing w:before="0" w:after="40" w:line="264" w:lineRule="auto"/>
        <w:jc w:val="left"/>
      </w:pPr>
    </w:p>
    <w:p>
      <w:r>
        <w:br w:type="page"/>
      </w:r>
    </w:p>
    <w:p>
      <w:pPr>
        <w:pStyle w:val="Heading2"/>
        <w:keepNext/>
      </w:pPr>
      <w:r>
        <w:t>13.4. Коммерческие модели с партнёрами</w:t>
      </w:r>
    </w:p>
    <w:tbl>
      <w:tblPr>
        <w:tblW w:type="dxa" w:w="9360"/>
        <w:jc w:val="left"/>
        <w:tblLayout w:type="fixed"/>
        <w:tblLook w:firstColumn="1" w:firstRow="1" w:lastColumn="0" w:lastRow="0" w:noHBand="0" w:noVBand="1" w:val="04A0"/>
        <w:tblInd w:w="120" w:type="dxa"/>
        <w:tblBorders>
          <w:top w:val="single" w:sz="6" w:space="0" w:color="D6DCE2"/>
          <w:left w:val="single" w:sz="6" w:space="0" w:color="D6DCE2"/>
          <w:bottom w:val="single" w:sz="6" w:space="0" w:color="D6DCE2"/>
          <w:right w:val="single" w:sz="6" w:space="0" w:color="D6DCE2"/>
          <w:insideH w:val="single" w:sz="6" w:space="0" w:color="D6DCE2"/>
          <w:insideV w:val="single" w:sz="6" w:space="0" w:color="D6DCE2"/>
        </w:tblBorders>
      </w:tblPr>
      <w:tblGrid>
        <w:gridCol w:w="1800"/>
        <w:gridCol w:w="2400"/>
        <w:gridCol w:w="2700"/>
        <w:gridCol w:w="2460"/>
      </w:tblGrid>
      <w:tr>
        <w:trPr>
          <w:tblHeader w:val="true"/>
          <w:cantSplit/>
        </w:trPr>
        <w:tc>
          <w:tcPr>
            <w:tcW w:type="dxa" w:w="1800"/>
            <w:shd w:fill="0B2545"/>
            <w:tcMar>
              <w:top w:w="100" w:type="dxa"/>
              <w:start w:w="130" w:type="dxa"/>
              <w:bottom w:w="100" w:type="dxa"/>
              <w:end w:w="130" w:type="dxa"/>
            </w:tcMar>
            <w:vAlign w:val="center"/>
          </w:tcPr>
          <w:p>
            <w:pPr>
              <w:spacing w:after="0" w:line="240" w:lineRule="auto"/>
            </w:pPr>
            <w:r>
              <w:rPr>
                <w:rFonts w:ascii="Aptos" w:hAnsi="Aptos" w:eastAsia="Aptos"/>
                <w:b/>
                <w:color w:val="FFFFFF"/>
                <w:sz w:val="19"/>
              </w:rPr>
              <w:t>МОДЕЛЬ</w:t>
            </w:r>
          </w:p>
        </w:tc>
        <w:tc>
          <w:tcPr>
            <w:tcW w:type="dxa" w:w="2400"/>
            <w:shd w:fill="0B2545"/>
            <w:tcMar>
              <w:top w:w="100" w:type="dxa"/>
              <w:start w:w="130" w:type="dxa"/>
              <w:bottom w:w="100" w:type="dxa"/>
              <w:end w:w="130" w:type="dxa"/>
            </w:tcMar>
            <w:vAlign w:val="center"/>
          </w:tcPr>
          <w:p>
            <w:pPr>
              <w:spacing w:after="0" w:line="240" w:lineRule="auto"/>
            </w:pPr>
            <w:r>
              <w:rPr>
                <w:rFonts w:ascii="Aptos" w:hAnsi="Aptos" w:eastAsia="Aptos"/>
                <w:b/>
                <w:color w:val="FFFFFF"/>
                <w:sz w:val="19"/>
              </w:rPr>
              <w:t>КТО ВЕДЁТ ГОСТЯ</w:t>
            </w:r>
          </w:p>
        </w:tc>
        <w:tc>
          <w:tcPr>
            <w:tcW w:type="dxa" w:w="2700"/>
            <w:shd w:fill="0B2545"/>
            <w:tcMar>
              <w:top w:w="100" w:type="dxa"/>
              <w:start w:w="130" w:type="dxa"/>
              <w:bottom w:w="100" w:type="dxa"/>
              <w:end w:w="130" w:type="dxa"/>
            </w:tcMar>
            <w:vAlign w:val="center"/>
          </w:tcPr>
          <w:p>
            <w:pPr>
              <w:spacing w:after="0" w:line="240" w:lineRule="auto"/>
            </w:pPr>
            <w:r>
              <w:rPr>
                <w:rFonts w:ascii="Aptos" w:hAnsi="Aptos" w:eastAsia="Aptos"/>
                <w:b/>
                <w:color w:val="FFFFFF"/>
                <w:sz w:val="19"/>
              </w:rPr>
              <w:t>КТО ИСПОЛНЯЕТ</w:t>
            </w:r>
          </w:p>
        </w:tc>
        <w:tc>
          <w:tcPr>
            <w:tcW w:type="dxa" w:w="2460"/>
            <w:shd w:fill="0B2545"/>
            <w:tcMar>
              <w:top w:w="100" w:type="dxa"/>
              <w:start w:w="130" w:type="dxa"/>
              <w:bottom w:w="100" w:type="dxa"/>
              <w:end w:w="130" w:type="dxa"/>
            </w:tcMar>
            <w:vAlign w:val="center"/>
          </w:tcPr>
          <w:p>
            <w:pPr>
              <w:spacing w:after="0" w:line="240" w:lineRule="auto"/>
            </w:pPr>
            <w:r>
              <w:rPr>
                <w:rFonts w:ascii="Aptos" w:hAnsi="Aptos" w:eastAsia="Aptos"/>
                <w:b/>
                <w:color w:val="FFFFFF"/>
                <w:sz w:val="19"/>
              </w:rPr>
              <w:t>ЭКОНОМИКА IGNATEV ESTATE</w:t>
            </w:r>
          </w:p>
        </w:tc>
      </w:tr>
      <w:tr>
        <w:trPr>
          <w:cantSplit/>
        </w:trPr>
        <w:tc>
          <w:tcPr>
            <w:tcW w:type="dxa" w:w="1800"/>
            <w:tcMar>
              <w:top w:w="100" w:type="dxa"/>
              <w:start w:w="130" w:type="dxa"/>
              <w:bottom w:w="100" w:type="dxa"/>
              <w:end w:w="130" w:type="dxa"/>
            </w:tcMar>
            <w:vAlign w:val="center"/>
          </w:tcPr>
          <w:p>
            <w:pPr>
              <w:spacing w:after="0" w:line="252" w:lineRule="auto"/>
            </w:pPr>
            <w:r>
              <w:rPr>
                <w:rFonts w:ascii="Aptos" w:hAnsi="Aptos" w:eastAsia="Aptos"/>
                <w:b/>
                <w:color w:val="0B2545"/>
                <w:sz w:val="19"/>
              </w:rPr>
              <w:t>Referral</w:t>
            </w:r>
          </w:p>
        </w:tc>
        <w:tc>
          <w:tcPr>
            <w:tcW w:type="dxa" w:w="2400"/>
            <w:tcMar>
              <w:top w:w="100" w:type="dxa"/>
              <w:start w:w="130" w:type="dxa"/>
              <w:bottom w:w="100" w:type="dxa"/>
              <w:end w:w="130" w:type="dxa"/>
            </w:tcMar>
            <w:vAlign w:val="center"/>
          </w:tcPr>
          <w:p>
            <w:pPr>
              <w:spacing w:after="0" w:line="252" w:lineRule="auto"/>
            </w:pPr>
            <w:r>
              <w:rPr>
                <w:rFonts w:ascii="Aptos" w:hAnsi="Aptos" w:eastAsia="Aptos"/>
                <w:b w:val="0"/>
                <w:color w:val="1F2933"/>
                <w:sz w:val="19"/>
              </w:rPr>
              <w:t>После квалификации — партнёр.</w:t>
            </w:r>
          </w:p>
        </w:tc>
        <w:tc>
          <w:tcPr>
            <w:tcW w:type="dxa" w:w="2700"/>
            <w:tcMar>
              <w:top w:w="100" w:type="dxa"/>
              <w:start w:w="130" w:type="dxa"/>
              <w:bottom w:w="100" w:type="dxa"/>
              <w:end w:w="130" w:type="dxa"/>
            </w:tcMar>
            <w:vAlign w:val="center"/>
          </w:tcPr>
          <w:p>
            <w:pPr>
              <w:spacing w:after="0" w:line="252" w:lineRule="auto"/>
            </w:pPr>
            <w:r>
              <w:rPr>
                <w:rFonts w:ascii="Aptos" w:hAnsi="Aptos" w:eastAsia="Aptos"/>
                <w:b w:val="0"/>
                <w:color w:val="1F2933"/>
                <w:sz w:val="19"/>
              </w:rPr>
              <w:t>Партнёр заключает договор, принимает оплату и обслуживает.</w:t>
            </w:r>
          </w:p>
        </w:tc>
        <w:tc>
          <w:tcPr>
            <w:tcW w:type="dxa" w:w="2460"/>
            <w:tcMar>
              <w:top w:w="100" w:type="dxa"/>
              <w:start w:w="130" w:type="dxa"/>
              <w:bottom w:w="100" w:type="dxa"/>
              <w:end w:w="130" w:type="dxa"/>
            </w:tcMar>
            <w:vAlign w:val="center"/>
          </w:tcPr>
          <w:p>
            <w:pPr>
              <w:spacing w:after="0" w:line="252" w:lineRule="auto"/>
            </w:pPr>
            <w:r>
              <w:rPr>
                <w:rFonts w:ascii="Aptos" w:hAnsi="Aptos" w:eastAsia="Aptos"/>
                <w:b w:val="0"/>
                <w:color w:val="1F2933"/>
                <w:sz w:val="19"/>
              </w:rPr>
              <w:t>Согласованная доля фактически полученной комиссии.</w:t>
            </w:r>
          </w:p>
        </w:tc>
      </w:tr>
      <w:tr>
        <w:trPr>
          <w:cantSplit/>
        </w:trPr>
        <w:tc>
          <w:tcPr>
            <w:tcW w:type="dxa" w:w="1800"/>
            <w:tcMar>
              <w:top w:w="100" w:type="dxa"/>
              <w:start w:w="130" w:type="dxa"/>
              <w:bottom w:w="100" w:type="dxa"/>
              <w:end w:w="130" w:type="dxa"/>
            </w:tcMar>
            <w:vAlign w:val="center"/>
            <w:shd w:fill="FAFBFC"/>
          </w:tcPr>
          <w:p>
            <w:pPr>
              <w:spacing w:after="0" w:line="252" w:lineRule="auto"/>
            </w:pPr>
            <w:r>
              <w:rPr>
                <w:rFonts w:ascii="Aptos" w:hAnsi="Aptos" w:eastAsia="Aptos"/>
                <w:b/>
                <w:color w:val="0B2545"/>
                <w:sz w:val="19"/>
              </w:rPr>
              <w:t>Booking Agent</w:t>
            </w:r>
          </w:p>
        </w:tc>
        <w:tc>
          <w:tcPr>
            <w:tcW w:type="dxa" w:w="240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Ignatev Estate ведёт запрос и shortlist; партнёр подтверждает условия.</w:t>
            </w:r>
          </w:p>
        </w:tc>
        <w:tc>
          <w:tcPr>
            <w:tcW w:type="dxa" w:w="270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Партнёр оформляет и исполняет проживание.</w:t>
            </w:r>
          </w:p>
        </w:tc>
        <w:tc>
          <w:tcPr>
            <w:tcW w:type="dxa" w:w="246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Booking commission за подтверждённую и оплаченную бронь.</w:t>
            </w:r>
          </w:p>
        </w:tc>
      </w:tr>
      <w:tr>
        <w:trPr>
          <w:cantSplit/>
        </w:trPr>
        <w:tc>
          <w:tcPr>
            <w:tcW w:type="dxa" w:w="1800"/>
            <w:tcMar>
              <w:top w:w="100" w:type="dxa"/>
              <w:start w:w="130" w:type="dxa"/>
              <w:bottom w:w="100" w:type="dxa"/>
              <w:end w:w="130" w:type="dxa"/>
            </w:tcMar>
            <w:vAlign w:val="center"/>
          </w:tcPr>
          <w:p>
            <w:pPr>
              <w:spacing w:after="0" w:line="252" w:lineRule="auto"/>
            </w:pPr>
            <w:r>
              <w:rPr>
                <w:rFonts w:ascii="Aptos" w:hAnsi="Aptos" w:eastAsia="Aptos"/>
                <w:b/>
                <w:color w:val="0B2545"/>
                <w:sz w:val="19"/>
              </w:rPr>
              <w:t>Distribution Partner</w:t>
            </w:r>
          </w:p>
        </w:tc>
        <w:tc>
          <w:tcPr>
            <w:tcW w:type="dxa" w:w="2400"/>
            <w:tcMar>
              <w:top w:w="100" w:type="dxa"/>
              <w:start w:w="130" w:type="dxa"/>
              <w:bottom w:w="100" w:type="dxa"/>
              <w:end w:w="130" w:type="dxa"/>
            </w:tcMar>
            <w:vAlign w:val="center"/>
          </w:tcPr>
          <w:p>
            <w:pPr>
              <w:spacing w:after="0" w:line="252" w:lineRule="auto"/>
            </w:pPr>
            <w:r>
              <w:rPr>
                <w:rFonts w:ascii="Aptos" w:hAnsi="Aptos" w:eastAsia="Aptos"/>
                <w:b w:val="0"/>
                <w:color w:val="1F2933"/>
                <w:sz w:val="19"/>
              </w:rPr>
              <w:t>Ignatev Estate управляет продажей и отношениями с гостем.</w:t>
            </w:r>
          </w:p>
        </w:tc>
        <w:tc>
          <w:tcPr>
            <w:tcW w:type="dxa" w:w="2700"/>
            <w:tcMar>
              <w:top w:w="100" w:type="dxa"/>
              <w:start w:w="130" w:type="dxa"/>
              <w:bottom w:w="100" w:type="dxa"/>
              <w:end w:w="130" w:type="dxa"/>
            </w:tcMar>
            <w:vAlign w:val="center"/>
          </w:tcPr>
          <w:p>
            <w:pPr>
              <w:spacing w:after="0" w:line="252" w:lineRule="auto"/>
            </w:pPr>
            <w:r>
              <w:rPr>
                <w:rFonts w:ascii="Aptos" w:hAnsi="Aptos" w:eastAsia="Aptos"/>
                <w:b w:val="0"/>
                <w:color w:val="1F2933"/>
                <w:sz w:val="19"/>
              </w:rPr>
              <w:t>Партнёр предоставляет тарифы, доступность и исполняет по SLA.</w:t>
            </w:r>
          </w:p>
        </w:tc>
        <w:tc>
          <w:tcPr>
            <w:tcW w:type="dxa" w:w="2460"/>
            <w:tcMar>
              <w:top w:w="100" w:type="dxa"/>
              <w:start w:w="130" w:type="dxa"/>
              <w:bottom w:w="100" w:type="dxa"/>
              <w:end w:w="130" w:type="dxa"/>
            </w:tcMar>
            <w:vAlign w:val="center"/>
          </w:tcPr>
          <w:p>
            <w:pPr>
              <w:spacing w:after="0" w:line="252" w:lineRule="auto"/>
            </w:pPr>
            <w:r>
              <w:rPr>
                <w:rFonts w:ascii="Aptos" w:hAnsi="Aptos" w:eastAsia="Aptos"/>
                <w:b w:val="0"/>
                <w:color w:val="1F2933"/>
                <w:sz w:val="19"/>
              </w:rPr>
              <w:t>Комиссия или согласованная прозрачная маржа к net rate.</w:t>
            </w:r>
          </w:p>
        </w:tc>
      </w:tr>
      <w:tr>
        <w:trPr>
          <w:cantSplit/>
        </w:trPr>
        <w:tc>
          <w:tcPr>
            <w:tcW w:type="dxa" w:w="1800"/>
            <w:tcMar>
              <w:top w:w="100" w:type="dxa"/>
              <w:start w:w="130" w:type="dxa"/>
              <w:bottom w:w="100" w:type="dxa"/>
              <w:end w:w="130" w:type="dxa"/>
            </w:tcMar>
            <w:vAlign w:val="center"/>
            <w:shd w:fill="FAFBFC"/>
          </w:tcPr>
          <w:p>
            <w:pPr>
              <w:spacing w:after="0" w:line="252" w:lineRule="auto"/>
            </w:pPr>
            <w:r>
              <w:rPr>
                <w:rFonts w:ascii="Aptos" w:hAnsi="Aptos" w:eastAsia="Aptos"/>
                <w:b/>
                <w:color w:val="0B2545"/>
                <w:sz w:val="19"/>
              </w:rPr>
              <w:t>Management Conversion</w:t>
            </w:r>
          </w:p>
        </w:tc>
        <w:tc>
          <w:tcPr>
            <w:tcW w:type="dxa" w:w="240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Ignatev Estate сохраняет спрос и показывает экономику объекта.</w:t>
            </w:r>
          </w:p>
        </w:tc>
        <w:tc>
          <w:tcPr>
            <w:tcW w:type="dxa" w:w="270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После нового договора объект переходит в managed contour.</w:t>
            </w:r>
          </w:p>
        </w:tc>
        <w:tc>
          <w:tcPr>
            <w:tcW w:type="dxa" w:w="246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Management fee, performance fee и будущая транзакционная экономика.</w:t>
            </w:r>
          </w:p>
        </w:tc>
      </w:tr>
    </w:tbl>
    <w:p>
      <w:pPr>
        <w:spacing w:before="0" w:after="40" w:line="264" w:lineRule="auto"/>
        <w:jc w:val="left"/>
      </w:pPr>
    </w:p>
    <w:p>
      <w:pPr>
        <w:spacing w:before="0" w:after="120" w:line="264" w:lineRule="auto"/>
        <w:jc w:val="left"/>
      </w:pPr>
      <w:r>
        <w:rPr>
          <w:rFonts w:ascii="Aptos" w:hAnsi="Aptos" w:eastAsia="Aptos"/>
          <w:b w:val="0"/>
          <w:i w:val="0"/>
          <w:color w:val="1F2933"/>
          <w:sz w:val="22"/>
        </w:rPr>
        <w:t>Выбранная модель определяет договор с гостем, получателя оплаты, налоги, возвраты, ответственность за ущерб и объём поддержки. Эти элементы не могут оставаться подразумеваемыми.</w:t>
      </w:r>
    </w:p>
    <w:p>
      <w:pPr>
        <w:pStyle w:val="Heading2"/>
        <w:keepNext/>
      </w:pPr>
      <w:r>
        <w:t>13.5. Экономика партнёрского потока</w:t>
      </w:r>
    </w:p>
    <w:p>
      <w:pPr>
        <w:spacing w:before="0" w:after="120" w:line="264" w:lineRule="auto"/>
        <w:jc w:val="left"/>
      </w:pPr>
      <w:r>
        <w:rPr>
          <w:rFonts w:ascii="Aptos" w:hAnsi="Aptos" w:eastAsia="Aptos"/>
          <w:b w:val="0"/>
          <w:i w:val="0"/>
          <w:color w:val="1F2933"/>
          <w:sz w:val="22"/>
        </w:rPr>
        <w:t>Партнёрский запрос может создавать referral fee, booking commission, согласованную дистрибуционную маржу, вознаграждение за индивидуальный поиск, маржу на гостевых услугах, будущую transaction fee и будущий management income при переходе объекта под управление.</w:t>
      </w:r>
    </w:p>
    <w:p>
      <w:pPr>
        <w:pStyle w:val="ListBullet"/>
        <w:spacing w:after="80" w:line="264" w:lineRule="auto"/>
      </w:pPr>
      <w:r>
        <w:rPr>
          <w:rFonts w:ascii="Aptos" w:hAnsi="Aptos" w:eastAsia="Aptos"/>
          <w:color w:val="1F2933"/>
          <w:sz w:val="22"/>
        </w:rPr>
        <w:t>Для каждой брони фиксируются гостевая цена, выплата собственнику или оператору, комиссии участников, платёжные и налоговые расходы, объём ответственности и contribution margin.</w:t>
      </w:r>
    </w:p>
    <w:p>
      <w:pPr>
        <w:pStyle w:val="ListBullet"/>
        <w:spacing w:after="80" w:line="264" w:lineRule="auto"/>
      </w:pPr>
      <w:r>
        <w:rPr>
          <w:rFonts w:ascii="Aptos" w:hAnsi="Aptos" w:eastAsia="Aptos"/>
          <w:color w:val="1F2933"/>
          <w:sz w:val="22"/>
        </w:rPr>
        <w:t>Partner rental revenue учитывается отдельно от management revenue и не включается в результат управляемого актива.</w:t>
      </w:r>
    </w:p>
    <w:p>
      <w:pPr>
        <w:pStyle w:val="ListBullet"/>
        <w:spacing w:after="80" w:line="264" w:lineRule="auto"/>
      </w:pPr>
      <w:r>
        <w:rPr>
          <w:rFonts w:ascii="Aptos" w:hAnsi="Aptos" w:eastAsia="Aptos"/>
          <w:color w:val="1F2933"/>
          <w:sz w:val="22"/>
        </w:rPr>
        <w:t>Комиссия признаётся только после наступления договорно определённого события: оплаты, окончания периода отмены или проживания.</w:t>
      </w:r>
    </w:p>
    <w:p>
      <w:pPr>
        <w:pStyle w:val="ListBullet"/>
        <w:spacing w:after="80" w:line="264" w:lineRule="auto"/>
      </w:pPr>
      <w:r>
        <w:rPr>
          <w:rFonts w:ascii="Aptos" w:hAnsi="Aptos" w:eastAsia="Aptos"/>
          <w:color w:val="1F2933"/>
          <w:sz w:val="22"/>
        </w:rPr>
        <w:t>Высокий оборот без достаточной маржи, контроля и повторной ценности клиента не считается качественным ростом.</w:t>
      </w:r>
    </w:p>
    <w:p>
      <w:pPr>
        <w:pStyle w:val="Heading2"/>
        <w:keepNext/>
      </w:pPr>
      <w:r>
        <w:t>13.6. Допуск партнёрского объекта</w:t>
      </w:r>
    </w:p>
    <w:p>
      <w:pPr>
        <w:spacing w:before="0" w:after="120" w:line="264" w:lineRule="auto"/>
        <w:jc w:val="left"/>
      </w:pPr>
      <w:r>
        <w:rPr>
          <w:rFonts w:ascii="Aptos" w:hAnsi="Aptos" w:eastAsia="Aptos"/>
          <w:b w:val="0"/>
          <w:i w:val="0"/>
          <w:color w:val="1F2933"/>
          <w:sz w:val="22"/>
        </w:rPr>
        <w:t>До предложения гостю компания подтверждает минимальный набор сведений. Такая проверка не означает присвоение стандарта myUNO и не является гарантией исполнения партнёра.</w:t>
      </w:r>
    </w:p>
    <w:p>
      <w:pPr>
        <w:pStyle w:val="ListBullet"/>
        <w:spacing w:after="80" w:line="264" w:lineRule="auto"/>
      </w:pPr>
      <w:r>
        <w:rPr>
          <w:rFonts w:ascii="Aptos" w:hAnsi="Aptos" w:eastAsia="Aptos"/>
          <w:color w:val="1F2933"/>
          <w:sz w:val="22"/>
        </w:rPr>
        <w:t>Собственник, фактический оператор и полномочия предлагать объект.</w:t>
      </w:r>
    </w:p>
    <w:p>
      <w:pPr>
        <w:pStyle w:val="ListBullet"/>
        <w:spacing w:after="80" w:line="264" w:lineRule="auto"/>
      </w:pPr>
      <w:r>
        <w:rPr>
          <w:rFonts w:ascii="Aptos" w:hAnsi="Aptos" w:eastAsia="Aptos"/>
          <w:color w:val="1F2933"/>
          <w:sz w:val="22"/>
        </w:rPr>
        <w:t>Допустимый режим проживания и существенные правила здания или комплекса.</w:t>
      </w:r>
    </w:p>
    <w:p>
      <w:pPr>
        <w:pStyle w:val="ListBullet"/>
        <w:spacing w:after="80" w:line="264" w:lineRule="auto"/>
      </w:pPr>
      <w:r>
        <w:rPr>
          <w:rFonts w:ascii="Aptos" w:hAnsi="Aptos" w:eastAsia="Aptos"/>
          <w:color w:val="1F2933"/>
          <w:sz w:val="22"/>
        </w:rPr>
        <w:t>Актуальные характеристики, фотографии, полный состав цены и время последней проверки.</w:t>
      </w:r>
    </w:p>
    <w:p>
      <w:pPr>
        <w:pStyle w:val="ListBullet"/>
        <w:spacing w:after="80" w:line="264" w:lineRule="auto"/>
      </w:pPr>
      <w:r>
        <w:rPr>
          <w:rFonts w:ascii="Aptos" w:hAnsi="Aptos" w:eastAsia="Aptos"/>
          <w:color w:val="1F2933"/>
          <w:sz w:val="22"/>
        </w:rPr>
        <w:t>Доступность, порядок подтверждения, отмены, возврата, депозита и урегулирования ущерба.</w:t>
      </w:r>
    </w:p>
    <w:p>
      <w:pPr>
        <w:pStyle w:val="ListBullet"/>
        <w:spacing w:after="80" w:line="264" w:lineRule="auto"/>
      </w:pPr>
      <w:r>
        <w:rPr>
          <w:rFonts w:ascii="Aptos" w:hAnsi="Aptos" w:eastAsia="Aptos"/>
          <w:color w:val="1F2933"/>
          <w:sz w:val="22"/>
        </w:rPr>
        <w:t>Ответственное лицо на месте, SLA ответа, заселение, обслуживание и аварийный контакт.</w:t>
      </w:r>
    </w:p>
    <w:p>
      <w:pPr>
        <w:pStyle w:val="ListBullet"/>
        <w:spacing w:after="80" w:line="264" w:lineRule="auto"/>
      </w:pPr>
      <w:r>
        <w:rPr>
          <w:rFonts w:ascii="Aptos" w:hAnsi="Aptos" w:eastAsia="Aptos"/>
          <w:color w:val="1F2933"/>
          <w:sz w:val="22"/>
        </w:rPr>
        <w:t>Банковские и расчётные реквизиты, история существенных жалоб и причины приостановления объекта.</w:t>
      </w:r>
    </w:p>
    <w:p>
      <w:pPr>
        <w:pStyle w:val="Heading2"/>
        <w:keepNext/>
      </w:pPr>
      <w:r>
        <w:t>13.7. Партнёрское соглашение</w:t>
      </w:r>
    </w:p>
    <w:p>
      <w:pPr>
        <w:spacing w:before="0" w:after="120" w:line="264" w:lineRule="auto"/>
        <w:jc w:val="left"/>
      </w:pPr>
      <w:r>
        <w:rPr>
          <w:rFonts w:ascii="Aptos" w:hAnsi="Aptos" w:eastAsia="Aptos"/>
          <w:b w:val="0"/>
          <w:i w:val="0"/>
          <w:color w:val="1F2933"/>
          <w:sz w:val="22"/>
        </w:rPr>
        <w:t>Регулярная передача запросов возможна только после письменного соглашения. Оно определяет тарифы, комиссию, доступность, оплату, отмену, возвраты, ответственность за несоответствие, SLA поддержки, жалобы, ущерб, использование данных, атрибуцию источника, повторные бронирования, запрет обхода согласованного контура, право аудита и право приостановить предложение объекта.</w:t>
      </w:r>
    </w:p>
    <w:p>
      <w:pPr>
        <w:spacing w:before="0" w:after="120" w:line="264" w:lineRule="auto"/>
        <w:jc w:val="left"/>
      </w:pPr>
      <w:r>
        <w:rPr>
          <w:rFonts w:ascii="Aptos" w:hAnsi="Aptos" w:eastAsia="Aptos"/>
          <w:b w:val="0"/>
          <w:i w:val="0"/>
          <w:color w:val="1F2933"/>
          <w:sz w:val="22"/>
        </w:rPr>
        <w:t>Партнёр не получает права использовать бренд myUNO, представляться частью Ignatev Estate или напрямую переопределять клиентские отношения вне согласованных правил.</w:t>
      </w:r>
    </w:p>
    <w:p>
      <w:pPr>
        <w:pStyle w:val="Heading2"/>
        <w:keepNext/>
      </w:pPr>
      <w:r>
        <w:t>13.8. Единые данные спроса и предложения</w:t>
      </w:r>
    </w:p>
    <w:p>
      <w:pPr>
        <w:spacing w:before="0" w:after="120" w:line="264" w:lineRule="auto"/>
        <w:jc w:val="left"/>
      </w:pPr>
      <w:r>
        <w:rPr>
          <w:rFonts w:ascii="Aptos" w:hAnsi="Aptos" w:eastAsia="Aptos"/>
          <w:b w:val="0"/>
          <w:i w:val="0"/>
          <w:color w:val="1F2933"/>
          <w:sz w:val="22"/>
        </w:rPr>
        <w:t>Каждая сторона сохраняется под Party ID, а каждый объект — под постоянным Asset ID. Один и тот же объект не создаётся заново при смене собственника, оператора, канала или статуса управления.</w:t>
      </w:r>
    </w:p>
    <w:tbl>
      <w:tblPr>
        <w:tblW w:type="dxa" w:w="9360"/>
        <w:jc w:val="left"/>
        <w:tblLayout w:type="fixed"/>
        <w:tblLook w:firstColumn="1" w:firstRow="1" w:lastColumn="0" w:lastRow="0" w:noHBand="0" w:noVBand="1" w:val="04A0"/>
        <w:tblInd w:w="120" w:type="dxa"/>
        <w:tblBorders>
          <w:top w:val="single" w:sz="6" w:space="0" w:color="D6DCE2"/>
          <w:left w:val="single" w:sz="6" w:space="0" w:color="D6DCE2"/>
          <w:bottom w:val="single" w:sz="6" w:space="0" w:color="D6DCE2"/>
          <w:right w:val="single" w:sz="6" w:space="0" w:color="D6DCE2"/>
          <w:insideH w:val="single" w:sz="6" w:space="0" w:color="D6DCE2"/>
          <w:insideV w:val="single" w:sz="6" w:space="0" w:color="D6DCE2"/>
        </w:tblBorders>
      </w:tblPr>
      <w:tblGrid>
        <w:gridCol w:w="2100"/>
        <w:gridCol w:w="4440"/>
        <w:gridCol w:w="2820"/>
      </w:tblGrid>
      <w:tr>
        <w:trPr>
          <w:tblHeader w:val="true"/>
          <w:cantSplit/>
        </w:trPr>
        <w:tc>
          <w:tcPr>
            <w:tcW w:type="dxa" w:w="2100"/>
            <w:shd w:fill="0B2545"/>
            <w:tcMar>
              <w:top w:w="100" w:type="dxa"/>
              <w:start w:w="130" w:type="dxa"/>
              <w:bottom w:w="100" w:type="dxa"/>
              <w:end w:w="130" w:type="dxa"/>
            </w:tcMar>
            <w:vAlign w:val="center"/>
          </w:tcPr>
          <w:p>
            <w:pPr>
              <w:spacing w:after="0" w:line="240" w:lineRule="auto"/>
            </w:pPr>
            <w:r>
              <w:rPr>
                <w:rFonts w:ascii="Aptos" w:hAnsi="Aptos" w:eastAsia="Aptos"/>
                <w:b/>
                <w:color w:val="FFFFFF"/>
                <w:sz w:val="19"/>
              </w:rPr>
              <w:t>СТАТУС ASSET ID</w:t>
            </w:r>
          </w:p>
        </w:tc>
        <w:tc>
          <w:tcPr>
            <w:tcW w:type="dxa" w:w="4440"/>
            <w:shd w:fill="0B2545"/>
            <w:tcMar>
              <w:top w:w="100" w:type="dxa"/>
              <w:start w:w="130" w:type="dxa"/>
              <w:bottom w:w="100" w:type="dxa"/>
              <w:end w:w="130" w:type="dxa"/>
            </w:tcMar>
            <w:vAlign w:val="center"/>
          </w:tcPr>
          <w:p>
            <w:pPr>
              <w:spacing w:after="0" w:line="240" w:lineRule="auto"/>
            </w:pPr>
            <w:r>
              <w:rPr>
                <w:rFonts w:ascii="Aptos" w:hAnsi="Aptos" w:eastAsia="Aptos"/>
                <w:b/>
                <w:color w:val="FFFFFF"/>
                <w:sz w:val="19"/>
              </w:rPr>
              <w:t>ЗНАЧЕНИЕ</w:t>
            </w:r>
          </w:p>
        </w:tc>
        <w:tc>
          <w:tcPr>
            <w:tcW w:type="dxa" w:w="2820"/>
            <w:shd w:fill="0B2545"/>
            <w:tcMar>
              <w:top w:w="100" w:type="dxa"/>
              <w:start w:w="130" w:type="dxa"/>
              <w:bottom w:w="100" w:type="dxa"/>
              <w:end w:w="130" w:type="dxa"/>
            </w:tcMar>
            <w:vAlign w:val="center"/>
          </w:tcPr>
          <w:p>
            <w:pPr>
              <w:spacing w:after="0" w:line="240" w:lineRule="auto"/>
            </w:pPr>
            <w:r>
              <w:rPr>
                <w:rFonts w:ascii="Aptos" w:hAnsi="Aptos" w:eastAsia="Aptos"/>
                <w:b/>
                <w:color w:val="FFFFFF"/>
                <w:sz w:val="19"/>
              </w:rPr>
              <w:t>ДОПУСК К ПРОДАЖЕ</w:t>
            </w:r>
          </w:p>
        </w:tc>
      </w:tr>
      <w:tr>
        <w:trPr>
          <w:cantSplit/>
        </w:trPr>
        <w:tc>
          <w:tcPr>
            <w:tcW w:type="dxa" w:w="2100"/>
            <w:tcMar>
              <w:top w:w="100" w:type="dxa"/>
              <w:start w:w="130" w:type="dxa"/>
              <w:bottom w:w="100" w:type="dxa"/>
              <w:end w:w="130" w:type="dxa"/>
            </w:tcMar>
            <w:vAlign w:val="center"/>
          </w:tcPr>
          <w:p>
            <w:pPr>
              <w:spacing w:after="0" w:line="252" w:lineRule="auto"/>
            </w:pPr>
            <w:r>
              <w:rPr>
                <w:rFonts w:ascii="Aptos" w:hAnsi="Aptos" w:eastAsia="Aptos"/>
                <w:b/>
                <w:color w:val="0B2545"/>
                <w:sz w:val="19"/>
              </w:rPr>
              <w:t>Managed</w:t>
            </w:r>
          </w:p>
        </w:tc>
        <w:tc>
          <w:tcPr>
            <w:tcW w:type="dxa" w:w="4440"/>
            <w:tcMar>
              <w:top w:w="100" w:type="dxa"/>
              <w:start w:w="130" w:type="dxa"/>
              <w:bottom w:w="100" w:type="dxa"/>
              <w:end w:w="130" w:type="dxa"/>
            </w:tcMar>
            <w:vAlign w:val="center"/>
          </w:tcPr>
          <w:p>
            <w:pPr>
              <w:spacing w:after="0" w:line="252" w:lineRule="auto"/>
            </w:pPr>
            <w:r>
              <w:rPr>
                <w:rFonts w:ascii="Aptos" w:hAnsi="Aptos" w:eastAsia="Aptos"/>
                <w:b w:val="0"/>
                <w:color w:val="1F2933"/>
                <w:sz w:val="19"/>
              </w:rPr>
              <w:t>Объект находится под действующим мандатом Ignatev Estate.</w:t>
            </w:r>
          </w:p>
        </w:tc>
        <w:tc>
          <w:tcPr>
            <w:tcW w:type="dxa" w:w="2820"/>
            <w:tcMar>
              <w:top w:w="100" w:type="dxa"/>
              <w:start w:w="130" w:type="dxa"/>
              <w:bottom w:w="100" w:type="dxa"/>
              <w:end w:w="130" w:type="dxa"/>
            </w:tcMar>
            <w:vAlign w:val="center"/>
          </w:tcPr>
          <w:p>
            <w:pPr>
              <w:spacing w:after="0" w:line="252" w:lineRule="auto"/>
            </w:pPr>
            <w:r>
              <w:rPr>
                <w:rFonts w:ascii="Aptos" w:hAnsi="Aptos" w:eastAsia="Aptos"/>
                <w:b w:val="0"/>
                <w:color w:val="1F2933"/>
                <w:sz w:val="19"/>
              </w:rPr>
              <w:t>Приоритетный управляемый контур.</w:t>
            </w:r>
          </w:p>
        </w:tc>
      </w:tr>
      <w:tr>
        <w:trPr>
          <w:cantSplit/>
        </w:trPr>
        <w:tc>
          <w:tcPr>
            <w:tcW w:type="dxa" w:w="2100"/>
            <w:tcMar>
              <w:top w:w="100" w:type="dxa"/>
              <w:start w:w="130" w:type="dxa"/>
              <w:bottom w:w="100" w:type="dxa"/>
              <w:end w:w="130" w:type="dxa"/>
            </w:tcMar>
            <w:vAlign w:val="center"/>
            <w:shd w:fill="FAFBFC"/>
          </w:tcPr>
          <w:p>
            <w:pPr>
              <w:spacing w:after="0" w:line="252" w:lineRule="auto"/>
            </w:pPr>
            <w:r>
              <w:rPr>
                <w:rFonts w:ascii="Aptos" w:hAnsi="Aptos" w:eastAsia="Aptos"/>
                <w:b/>
                <w:color w:val="0B2545"/>
                <w:sz w:val="19"/>
              </w:rPr>
              <w:t>Verified Partner</w:t>
            </w:r>
          </w:p>
        </w:tc>
        <w:tc>
          <w:tcPr>
            <w:tcW w:type="dxa" w:w="444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Внешний оператор; проверены минимальные данные и действует соглашение.</w:t>
            </w:r>
          </w:p>
        </w:tc>
        <w:tc>
          <w:tcPr>
            <w:tcW w:type="dxa" w:w="282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Разрешён assisted search в пределах SLA.</w:t>
            </w:r>
          </w:p>
        </w:tc>
      </w:tr>
      <w:tr>
        <w:trPr>
          <w:cantSplit/>
        </w:trPr>
        <w:tc>
          <w:tcPr>
            <w:tcW w:type="dxa" w:w="2100"/>
            <w:tcMar>
              <w:top w:w="100" w:type="dxa"/>
              <w:start w:w="130" w:type="dxa"/>
              <w:bottom w:w="100" w:type="dxa"/>
              <w:end w:w="130" w:type="dxa"/>
            </w:tcMar>
            <w:vAlign w:val="center"/>
          </w:tcPr>
          <w:p>
            <w:pPr>
              <w:spacing w:after="0" w:line="252" w:lineRule="auto"/>
            </w:pPr>
            <w:r>
              <w:rPr>
                <w:rFonts w:ascii="Aptos" w:hAnsi="Aptos" w:eastAsia="Aptos"/>
                <w:b/>
                <w:color w:val="0B2545"/>
                <w:sz w:val="19"/>
              </w:rPr>
              <w:t>One-off Sourced</w:t>
            </w:r>
          </w:p>
        </w:tc>
        <w:tc>
          <w:tcPr>
            <w:tcW w:type="dxa" w:w="4440"/>
            <w:tcMar>
              <w:top w:w="100" w:type="dxa"/>
              <w:start w:w="130" w:type="dxa"/>
              <w:bottom w:w="100" w:type="dxa"/>
              <w:end w:w="130" w:type="dxa"/>
            </w:tcMar>
            <w:vAlign w:val="center"/>
          </w:tcPr>
          <w:p>
            <w:pPr>
              <w:spacing w:after="0" w:line="252" w:lineRule="auto"/>
            </w:pPr>
            <w:r>
              <w:rPr>
                <w:rFonts w:ascii="Aptos" w:hAnsi="Aptos" w:eastAsia="Aptos"/>
                <w:b w:val="0"/>
                <w:color w:val="1F2933"/>
                <w:sz w:val="19"/>
              </w:rPr>
              <w:t>Объект проверен для одного существенного запроса.</w:t>
            </w:r>
          </w:p>
        </w:tc>
        <w:tc>
          <w:tcPr>
            <w:tcW w:type="dxa" w:w="2820"/>
            <w:tcMar>
              <w:top w:w="100" w:type="dxa"/>
              <w:start w:w="130" w:type="dxa"/>
              <w:bottom w:w="100" w:type="dxa"/>
              <w:end w:w="130" w:type="dxa"/>
            </w:tcMar>
            <w:vAlign w:val="center"/>
          </w:tcPr>
          <w:p>
            <w:pPr>
              <w:spacing w:after="0" w:line="252" w:lineRule="auto"/>
            </w:pPr>
            <w:r>
              <w:rPr>
                <w:rFonts w:ascii="Aptos" w:hAnsi="Aptos" w:eastAsia="Aptos"/>
                <w:b w:val="0"/>
                <w:color w:val="1F2933"/>
                <w:sz w:val="19"/>
              </w:rPr>
              <w:t>Только конкретному клиенту и периоду.</w:t>
            </w:r>
          </w:p>
        </w:tc>
      </w:tr>
      <w:tr>
        <w:trPr>
          <w:cantSplit/>
        </w:trPr>
        <w:tc>
          <w:tcPr>
            <w:tcW w:type="dxa" w:w="2100"/>
            <w:tcMar>
              <w:top w:w="100" w:type="dxa"/>
              <w:start w:w="130" w:type="dxa"/>
              <w:bottom w:w="100" w:type="dxa"/>
              <w:end w:w="130" w:type="dxa"/>
            </w:tcMar>
            <w:vAlign w:val="center"/>
            <w:shd w:fill="FAFBFC"/>
          </w:tcPr>
          <w:p>
            <w:pPr>
              <w:spacing w:after="0" w:line="252" w:lineRule="auto"/>
            </w:pPr>
            <w:r>
              <w:rPr>
                <w:rFonts w:ascii="Aptos" w:hAnsi="Aptos" w:eastAsia="Aptos"/>
                <w:b/>
                <w:color w:val="0B2545"/>
                <w:sz w:val="19"/>
              </w:rPr>
              <w:t>Suspended</w:t>
            </w:r>
          </w:p>
        </w:tc>
        <w:tc>
          <w:tcPr>
            <w:tcW w:type="dxa" w:w="444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Данные устарели, SLA нарушен, возник спор или риск качества.</w:t>
            </w:r>
          </w:p>
        </w:tc>
        <w:tc>
          <w:tcPr>
            <w:tcW w:type="dxa" w:w="282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Предложение заблокировано до решения.</w:t>
            </w:r>
          </w:p>
        </w:tc>
      </w:tr>
    </w:tbl>
    <w:p>
      <w:pPr>
        <w:spacing w:before="0" w:after="40" w:line="264" w:lineRule="auto"/>
        <w:jc w:val="left"/>
      </w:pPr>
    </w:p>
    <w:p>
      <w:pPr>
        <w:spacing w:before="0" w:after="120" w:line="264" w:lineRule="auto"/>
        <w:jc w:val="left"/>
      </w:pPr>
      <w:r>
        <w:rPr>
          <w:rFonts w:ascii="Aptos" w:hAnsi="Aptos" w:eastAsia="Aptos"/>
          <w:b w:val="0"/>
          <w:i w:val="0"/>
          <w:color w:val="1F2933"/>
          <w:sz w:val="22"/>
        </w:rPr>
        <w:t>Если запрос получен Ignatev Estate, история клиента сохраняется в корпоративной системе независимо от места проживания. Партнёру передаются только данные, необходимые для исполнения и разрешённые применимым основанием или согласием. Источник, партнёр, комиссия, обратная связь, повторный спрос и инвестиционный интерес остаются атрибутированными.</w:t>
      </w:r>
    </w:p>
    <w:p>
      <w:pPr>
        <w:pStyle w:val="Heading2"/>
        <w:keepNext/>
      </w:pPr>
      <w:r>
        <w:t>13.9. Спрос как инструмент привлечения активов</w:t>
      </w:r>
    </w:p>
    <w:p>
      <w:pPr>
        <w:spacing w:before="0" w:after="120" w:line="264" w:lineRule="auto"/>
        <w:jc w:val="left"/>
      </w:pPr>
      <w:r>
        <w:rPr>
          <w:rFonts w:ascii="Aptos" w:hAnsi="Aptos" w:eastAsia="Aptos"/>
          <w:b w:val="0"/>
          <w:i w:val="0"/>
          <w:color w:val="1F2933"/>
          <w:sz w:val="22"/>
        </w:rPr>
        <w:t>Незакрытый или переданный партнёру запрос является сигналом дефицита предложения. Компания анализирует локацию, тип объекта, бюджет, длительность, даты, требования гостей, повторяемость спроса и качество партнёрского исполнения.</w:t>
      </w:r>
    </w:p>
    <w:tbl>
      <w:tblPr>
        <w:tblW w:type="dxa" w:w="9360"/>
        <w:jc w:val="left"/>
        <w:tblLook w:firstColumn="1" w:firstRow="1" w:lastColumn="0" w:lastRow="0" w:noHBand="0" w:noVBand="1" w:val="04A0"/>
        <w:tblInd w:w="120" w:type="dxa"/>
        <w:tblBorders>
          <w:top w:val="single" w:sz="4" w:space="0" w:color="E8EEF5"/>
          <w:left w:val="single" w:sz="4" w:space="0" w:color="E8EEF5"/>
          <w:bottom w:val="single" w:sz="4" w:space="0" w:color="E8EEF5"/>
          <w:right w:val="single" w:sz="4" w:space="0" w:color="E8EEF5"/>
          <w:insideH w:val="single" w:sz="4" w:space="0" w:color="E8EEF5"/>
          <w:insideV w:val="single" w:sz="4" w:space="0" w:color="E8EEF5"/>
        </w:tblBorders>
      </w:tblPr>
      <w:tblGrid>
        <w:gridCol w:w="9360"/>
      </w:tblGrid>
      <w:tr>
        <w:tc>
          <w:tcPr>
            <w:tcW w:type="dxa" w:w="9360"/>
            <w:shd w:fill="E8EEF5"/>
            <w:tcMar>
              <w:top w:w="150" w:type="dxa"/>
              <w:start w:w="180" w:type="dxa"/>
              <w:bottom w:w="150" w:type="dxa"/>
              <w:end w:w="180" w:type="dxa"/>
            </w:tcMar>
          </w:tcPr>
          <w:p>
            <w:pPr>
              <w:spacing w:after="0" w:line="269" w:lineRule="auto"/>
            </w:pPr>
            <w:r>
              <w:rPr>
                <w:rFonts w:ascii="Aptos" w:hAnsi="Aptos" w:eastAsia="Aptos"/>
                <w:b/>
                <w:color w:val="0B2545"/>
                <w:sz w:val="21"/>
              </w:rPr>
              <w:t xml:space="preserve">Маховик роста. </w:t>
            </w:r>
            <w:r>
              <w:rPr>
                <w:rFonts w:ascii="Aptos" w:hAnsi="Aptos" w:eastAsia="Aptos"/>
                <w:color w:val="1F2933"/>
                <w:sz w:val="21"/>
              </w:rPr>
              <w:t>Управляемые активы создают гостевой опыт → прямой спрос формирует клиентскую базу → партнёрский контур закрывает дефицит → данные показывают востребованное предложение → собственники получают доказанный case for management → активы переходят под мандат → контролируемая маржа и прямой спрос растут.</w:t>
            </w:r>
          </w:p>
        </w:tc>
      </w:tr>
    </w:tbl>
    <w:p>
      <w:pPr>
        <w:spacing w:before="0" w:after="40" w:line="264" w:lineRule="auto"/>
        <w:jc w:val="left"/>
      </w:pPr>
    </w:p>
    <w:p>
      <w:pPr>
        <w:spacing w:before="0" w:after="120" w:line="264" w:lineRule="auto"/>
        <w:jc w:val="left"/>
      </w:pPr>
      <w:r>
        <w:rPr>
          <w:rFonts w:ascii="Aptos" w:hAnsi="Aptos" w:eastAsia="Aptos"/>
          <w:b w:val="0"/>
          <w:i w:val="0"/>
          <w:color w:val="1F2933"/>
          <w:sz w:val="22"/>
        </w:rPr>
        <w:t>Если один комплекс регулярно получает запросы, Ignatev Estate обращается к его собственникам не с общим обещанием, а с доказанными данными спроса, потерянной выручки, скорости ответа, жалоб и возможной экономики централизованного управления.</w:t>
      </w:r>
    </w:p>
    <w:p>
      <w:r>
        <w:br w:type="page"/>
      </w:r>
    </w:p>
    <w:p>
      <w:pPr>
        <w:pStyle w:val="Heading2"/>
        <w:keepNext/>
      </w:pPr>
      <w:r>
        <w:t>13.10. Этапы масштабирования</w:t>
      </w:r>
    </w:p>
    <w:tbl>
      <w:tblPr>
        <w:tblW w:type="dxa" w:w="9360"/>
        <w:jc w:val="left"/>
        <w:tblLayout w:type="fixed"/>
        <w:tblLook w:firstColumn="1" w:firstRow="1" w:lastColumn="0" w:lastRow="0" w:noHBand="0" w:noVBand="1" w:val="04A0"/>
        <w:tblInd w:w="120" w:type="dxa"/>
        <w:tblBorders>
          <w:top w:val="single" w:sz="6" w:space="0" w:color="D6DCE2"/>
          <w:left w:val="single" w:sz="6" w:space="0" w:color="D6DCE2"/>
          <w:bottom w:val="single" w:sz="6" w:space="0" w:color="D6DCE2"/>
          <w:right w:val="single" w:sz="6" w:space="0" w:color="D6DCE2"/>
          <w:insideH w:val="single" w:sz="6" w:space="0" w:color="D6DCE2"/>
          <w:insideV w:val="single" w:sz="6" w:space="0" w:color="D6DCE2"/>
        </w:tblBorders>
      </w:tblPr>
      <w:tblGrid>
        <w:gridCol w:w="1740"/>
        <w:gridCol w:w="4560"/>
        <w:gridCol w:w="3060"/>
      </w:tblGrid>
      <w:tr>
        <w:trPr>
          <w:tblHeader w:val="true"/>
          <w:cantSplit/>
        </w:trPr>
        <w:tc>
          <w:tcPr>
            <w:tcW w:type="dxa" w:w="1740"/>
            <w:shd w:fill="0B2545"/>
            <w:tcMar>
              <w:top w:w="100" w:type="dxa"/>
              <w:start w:w="130" w:type="dxa"/>
              <w:bottom w:w="100" w:type="dxa"/>
              <w:end w:w="130" w:type="dxa"/>
            </w:tcMar>
            <w:vAlign w:val="center"/>
          </w:tcPr>
          <w:p>
            <w:pPr>
              <w:spacing w:after="0" w:line="240" w:lineRule="auto"/>
            </w:pPr>
            <w:r>
              <w:rPr>
                <w:rFonts w:ascii="Aptos" w:hAnsi="Aptos" w:eastAsia="Aptos"/>
                <w:b/>
                <w:color w:val="FFFFFF"/>
                <w:sz w:val="19"/>
              </w:rPr>
              <w:t>ЭТАП</w:t>
            </w:r>
          </w:p>
        </w:tc>
        <w:tc>
          <w:tcPr>
            <w:tcW w:type="dxa" w:w="4560"/>
            <w:shd w:fill="0B2545"/>
            <w:tcMar>
              <w:top w:w="100" w:type="dxa"/>
              <w:start w:w="130" w:type="dxa"/>
              <w:bottom w:w="100" w:type="dxa"/>
              <w:end w:w="130" w:type="dxa"/>
            </w:tcMar>
            <w:vAlign w:val="center"/>
          </w:tcPr>
          <w:p>
            <w:pPr>
              <w:spacing w:after="0" w:line="240" w:lineRule="auto"/>
            </w:pPr>
            <w:r>
              <w:rPr>
                <w:rFonts w:ascii="Aptos" w:hAnsi="Aptos" w:eastAsia="Aptos"/>
                <w:b/>
                <w:color w:val="FFFFFF"/>
                <w:sz w:val="19"/>
              </w:rPr>
              <w:t>ЦЕЛЬ</w:t>
            </w:r>
          </w:p>
        </w:tc>
        <w:tc>
          <w:tcPr>
            <w:tcW w:type="dxa" w:w="3060"/>
            <w:shd w:fill="0B2545"/>
            <w:tcMar>
              <w:top w:w="100" w:type="dxa"/>
              <w:start w:w="130" w:type="dxa"/>
              <w:bottom w:w="100" w:type="dxa"/>
              <w:end w:w="130" w:type="dxa"/>
            </w:tcMar>
            <w:vAlign w:val="center"/>
          </w:tcPr>
          <w:p>
            <w:pPr>
              <w:spacing w:after="0" w:line="240" w:lineRule="auto"/>
            </w:pPr>
            <w:r>
              <w:rPr>
                <w:rFonts w:ascii="Aptos" w:hAnsi="Aptos" w:eastAsia="Aptos"/>
                <w:b/>
                <w:color w:val="FFFFFF"/>
                <w:sz w:val="19"/>
              </w:rPr>
              <w:t>КРИТЕРИЙ ПЕРЕХОДА</w:t>
            </w:r>
          </w:p>
        </w:tc>
      </w:tr>
      <w:tr>
        <w:trPr>
          <w:cantSplit/>
        </w:trPr>
        <w:tc>
          <w:tcPr>
            <w:tcW w:type="dxa" w:w="1740"/>
            <w:tcMar>
              <w:top w:w="100" w:type="dxa"/>
              <w:start w:w="130" w:type="dxa"/>
              <w:bottom w:w="100" w:type="dxa"/>
              <w:end w:w="130" w:type="dxa"/>
            </w:tcMar>
            <w:vAlign w:val="center"/>
          </w:tcPr>
          <w:p>
            <w:pPr>
              <w:spacing w:after="0" w:line="252" w:lineRule="auto"/>
            </w:pPr>
            <w:r>
              <w:rPr>
                <w:rFonts w:ascii="Aptos" w:hAnsi="Aptos" w:eastAsia="Aptos"/>
                <w:b/>
                <w:color w:val="0B2545"/>
                <w:sz w:val="19"/>
              </w:rPr>
              <w:t>1. Managed core</w:t>
            </w:r>
          </w:p>
        </w:tc>
        <w:tc>
          <w:tcPr>
            <w:tcW w:type="dxa" w:w="4560"/>
            <w:tcMar>
              <w:top w:w="100" w:type="dxa"/>
              <w:start w:w="130" w:type="dxa"/>
              <w:bottom w:w="100" w:type="dxa"/>
              <w:end w:w="130" w:type="dxa"/>
            </w:tcMar>
            <w:vAlign w:val="center"/>
          </w:tcPr>
          <w:p>
            <w:pPr>
              <w:spacing w:after="0" w:line="252" w:lineRule="auto"/>
            </w:pPr>
            <w:r>
              <w:rPr>
                <w:rFonts w:ascii="Aptos" w:hAnsi="Aptos" w:eastAsia="Aptos"/>
                <w:b w:val="0"/>
                <w:color w:val="1F2933"/>
                <w:sz w:val="19"/>
              </w:rPr>
              <w:t>Стабилизировать первые активы, стандарт myUNO, PMS, отчётность, Party ID и прямой канал.</w:t>
            </w:r>
          </w:p>
        </w:tc>
        <w:tc>
          <w:tcPr>
            <w:tcW w:type="dxa" w:w="3060"/>
            <w:tcMar>
              <w:top w:w="100" w:type="dxa"/>
              <w:start w:w="130" w:type="dxa"/>
              <w:bottom w:w="100" w:type="dxa"/>
              <w:end w:w="130" w:type="dxa"/>
            </w:tcMar>
            <w:vAlign w:val="center"/>
          </w:tcPr>
          <w:p>
            <w:pPr>
              <w:spacing w:after="0" w:line="252" w:lineRule="auto"/>
            </w:pPr>
            <w:r>
              <w:rPr>
                <w:rFonts w:ascii="Aptos" w:hAnsi="Aptos" w:eastAsia="Aptos"/>
                <w:b w:val="0"/>
                <w:color w:val="1F2933"/>
                <w:sz w:val="19"/>
              </w:rPr>
              <w:t>Предсказуемое качество, SLA и положительная unit economics.</w:t>
            </w:r>
          </w:p>
        </w:tc>
      </w:tr>
      <w:tr>
        <w:trPr>
          <w:cantSplit/>
        </w:trPr>
        <w:tc>
          <w:tcPr>
            <w:tcW w:type="dxa" w:w="1740"/>
            <w:tcMar>
              <w:top w:w="100" w:type="dxa"/>
              <w:start w:w="130" w:type="dxa"/>
              <w:bottom w:w="100" w:type="dxa"/>
              <w:end w:w="130" w:type="dxa"/>
            </w:tcMar>
            <w:vAlign w:val="center"/>
            <w:shd w:fill="FAFBFC"/>
          </w:tcPr>
          <w:p>
            <w:pPr>
              <w:spacing w:after="0" w:line="252" w:lineRule="auto"/>
            </w:pPr>
            <w:r>
              <w:rPr>
                <w:rFonts w:ascii="Aptos" w:hAnsi="Aptos" w:eastAsia="Aptos"/>
                <w:b/>
                <w:color w:val="0B2545"/>
                <w:sz w:val="19"/>
              </w:rPr>
              <w:t>2. Density</w:t>
            </w:r>
          </w:p>
        </w:tc>
        <w:tc>
          <w:tcPr>
            <w:tcW w:type="dxa" w:w="456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Добавить юниты в тех же зданиях и кластерах; углублять мандат.</w:t>
            </w:r>
          </w:p>
        </w:tc>
        <w:tc>
          <w:tcPr>
            <w:tcW w:type="dxa" w:w="306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Общие ресурсы снижают стоимость исполнения без потери качества.</w:t>
            </w:r>
          </w:p>
        </w:tc>
      </w:tr>
      <w:tr>
        <w:trPr>
          <w:cantSplit/>
        </w:trPr>
        <w:tc>
          <w:tcPr>
            <w:tcW w:type="dxa" w:w="1740"/>
            <w:tcMar>
              <w:top w:w="100" w:type="dxa"/>
              <w:start w:w="130" w:type="dxa"/>
              <w:bottom w:w="100" w:type="dxa"/>
              <w:end w:w="130" w:type="dxa"/>
            </w:tcMar>
            <w:vAlign w:val="center"/>
          </w:tcPr>
          <w:p>
            <w:pPr>
              <w:spacing w:after="0" w:line="252" w:lineRule="auto"/>
            </w:pPr>
            <w:r>
              <w:rPr>
                <w:rFonts w:ascii="Aptos" w:hAnsi="Aptos" w:eastAsia="Aptos"/>
                <w:b/>
                <w:color w:val="0B2545"/>
                <w:sz w:val="19"/>
              </w:rPr>
              <w:t>3. Verified supply</w:t>
            </w:r>
          </w:p>
        </w:tc>
        <w:tc>
          <w:tcPr>
            <w:tcW w:type="dxa" w:w="4560"/>
            <w:tcMar>
              <w:top w:w="100" w:type="dxa"/>
              <w:start w:w="130" w:type="dxa"/>
              <w:bottom w:w="100" w:type="dxa"/>
              <w:end w:w="130" w:type="dxa"/>
            </w:tcMar>
            <w:vAlign w:val="center"/>
          </w:tcPr>
          <w:p>
            <w:pPr>
              <w:spacing w:after="0" w:line="252" w:lineRule="auto"/>
            </w:pPr>
            <w:r>
              <w:rPr>
                <w:rFonts w:ascii="Aptos" w:hAnsi="Aptos" w:eastAsia="Aptos"/>
                <w:b w:val="0"/>
                <w:color w:val="1F2933"/>
                <w:sz w:val="19"/>
              </w:rPr>
              <w:t>Создать ограниченную сеть партнёров для незакрытого спроса.</w:t>
            </w:r>
          </w:p>
        </w:tc>
        <w:tc>
          <w:tcPr>
            <w:tcW w:type="dxa" w:w="3060"/>
            <w:tcMar>
              <w:top w:w="100" w:type="dxa"/>
              <w:start w:w="130" w:type="dxa"/>
              <w:bottom w:w="100" w:type="dxa"/>
              <w:end w:w="130" w:type="dxa"/>
            </w:tcMar>
            <w:vAlign w:val="center"/>
          </w:tcPr>
          <w:p>
            <w:pPr>
              <w:spacing w:after="0" w:line="252" w:lineRule="auto"/>
            </w:pPr>
            <w:r>
              <w:rPr>
                <w:rFonts w:ascii="Aptos" w:hAnsi="Aptos" w:eastAsia="Aptos"/>
                <w:b w:val="0"/>
                <w:color w:val="1F2933"/>
                <w:sz w:val="19"/>
              </w:rPr>
              <w:t>Проверка, договоры, атрибуция и contribution margin работают системно.</w:t>
            </w:r>
          </w:p>
        </w:tc>
      </w:tr>
      <w:tr>
        <w:trPr>
          <w:cantSplit/>
        </w:trPr>
        <w:tc>
          <w:tcPr>
            <w:tcW w:type="dxa" w:w="1740"/>
            <w:tcMar>
              <w:top w:w="100" w:type="dxa"/>
              <w:start w:w="130" w:type="dxa"/>
              <w:bottom w:w="100" w:type="dxa"/>
              <w:end w:w="130" w:type="dxa"/>
            </w:tcMar>
            <w:vAlign w:val="center"/>
            <w:shd w:fill="FAFBFC"/>
          </w:tcPr>
          <w:p>
            <w:pPr>
              <w:spacing w:after="0" w:line="252" w:lineRule="auto"/>
            </w:pPr>
            <w:r>
              <w:rPr>
                <w:rFonts w:ascii="Aptos" w:hAnsi="Aptos" w:eastAsia="Aptos"/>
                <w:b/>
                <w:color w:val="0B2545"/>
                <w:sz w:val="19"/>
              </w:rPr>
              <w:t>4. Demand conversion</w:t>
            </w:r>
          </w:p>
        </w:tc>
        <w:tc>
          <w:tcPr>
            <w:tcW w:type="dxa" w:w="456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Использовать спрос для привлечения партнёрских и соседних активов.</w:t>
            </w:r>
          </w:p>
        </w:tc>
        <w:tc>
          <w:tcPr>
            <w:tcW w:type="dxa" w:w="306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Измерима конверсия partner-to-managed и guest-to-owner.</w:t>
            </w:r>
          </w:p>
        </w:tc>
      </w:tr>
      <w:tr>
        <w:trPr>
          <w:cantSplit/>
        </w:trPr>
        <w:tc>
          <w:tcPr>
            <w:tcW w:type="dxa" w:w="1740"/>
            <w:tcMar>
              <w:top w:w="100" w:type="dxa"/>
              <w:start w:w="130" w:type="dxa"/>
              <w:bottom w:w="100" w:type="dxa"/>
              <w:end w:w="130" w:type="dxa"/>
            </w:tcMar>
            <w:vAlign w:val="center"/>
          </w:tcPr>
          <w:p>
            <w:pPr>
              <w:spacing w:after="0" w:line="252" w:lineRule="auto"/>
            </w:pPr>
            <w:r>
              <w:rPr>
                <w:rFonts w:ascii="Aptos" w:hAnsi="Aptos" w:eastAsia="Aptos"/>
                <w:b/>
                <w:color w:val="0B2545"/>
                <w:sz w:val="19"/>
              </w:rPr>
              <w:t>5. Full mandates</w:t>
            </w:r>
          </w:p>
        </w:tc>
        <w:tc>
          <w:tcPr>
            <w:tcW w:type="dxa" w:w="4560"/>
            <w:tcMar>
              <w:top w:w="100" w:type="dxa"/>
              <w:start w:w="130" w:type="dxa"/>
              <w:bottom w:w="100" w:type="dxa"/>
              <w:end w:w="130" w:type="dxa"/>
            </w:tcMar>
            <w:vAlign w:val="center"/>
          </w:tcPr>
          <w:p>
            <w:pPr>
              <w:spacing w:after="0" w:line="252" w:lineRule="auto"/>
            </w:pPr>
            <w:r>
              <w:rPr>
                <w:rFonts w:ascii="Aptos" w:hAnsi="Aptos" w:eastAsia="Aptos"/>
                <w:b w:val="0"/>
                <w:color w:val="1F2933"/>
                <w:sz w:val="19"/>
              </w:rPr>
              <w:t>Переходить к пулам, комплексам, резортам и гостиницам целиком.</w:t>
            </w:r>
          </w:p>
        </w:tc>
        <w:tc>
          <w:tcPr>
            <w:tcW w:type="dxa" w:w="3060"/>
            <w:tcMar>
              <w:top w:w="100" w:type="dxa"/>
              <w:start w:w="130" w:type="dxa"/>
              <w:bottom w:w="100" w:type="dxa"/>
              <w:end w:w="130" w:type="dxa"/>
            </w:tcMar>
            <w:vAlign w:val="center"/>
          </w:tcPr>
          <w:p>
            <w:pPr>
              <w:spacing w:after="0" w:line="252" w:lineRule="auto"/>
            </w:pPr>
            <w:r>
              <w:rPr>
                <w:rFonts w:ascii="Aptos" w:hAnsi="Aptos" w:eastAsia="Aptos"/>
                <w:b w:val="0"/>
                <w:color w:val="1F2933"/>
                <w:sz w:val="19"/>
              </w:rPr>
              <w:t>Компания способна управлять GOP / NOI, командой, данными и брендом без зависимости от основателя.</w:t>
            </w:r>
          </w:p>
        </w:tc>
      </w:tr>
    </w:tbl>
    <w:p>
      <w:pPr>
        <w:spacing w:before="0" w:after="40" w:line="264" w:lineRule="auto"/>
        <w:jc w:val="left"/>
      </w:pPr>
    </w:p>
    <w:p>
      <w:pPr>
        <w:pStyle w:val="Heading2"/>
        <w:keepNext/>
      </w:pPr>
      <w:r>
        <w:t>13.11. Метрики и ограничения</w:t>
      </w:r>
    </w:p>
    <w:p>
      <w:pPr>
        <w:pStyle w:val="ListBullet"/>
        <w:spacing w:after="80" w:line="264" w:lineRule="auto"/>
      </w:pPr>
      <w:r>
        <w:rPr>
          <w:rFonts w:ascii="Aptos" w:hAnsi="Aptos" w:eastAsia="Aptos"/>
          <w:color w:val="1F2933"/>
          <w:sz w:val="22"/>
        </w:rPr>
        <w:t>Request fulfilment rate и причины незакрытых запросов.</w:t>
      </w:r>
    </w:p>
    <w:p>
      <w:pPr>
        <w:pStyle w:val="ListBullet"/>
        <w:spacing w:after="80" w:line="264" w:lineRule="auto"/>
      </w:pPr>
      <w:r>
        <w:rPr>
          <w:rFonts w:ascii="Aptos" w:hAnsi="Aptos" w:eastAsia="Aptos"/>
          <w:color w:val="1F2933"/>
          <w:sz w:val="22"/>
        </w:rPr>
        <w:t>Доля бронирований и валовой прибыли управляемого и партнёрского контуров.</w:t>
      </w:r>
    </w:p>
    <w:p>
      <w:pPr>
        <w:pStyle w:val="ListBullet"/>
        <w:spacing w:after="80" w:line="264" w:lineRule="auto"/>
      </w:pPr>
      <w:r>
        <w:rPr>
          <w:rFonts w:ascii="Aptos" w:hAnsi="Aptos" w:eastAsia="Aptos"/>
          <w:color w:val="1F2933"/>
          <w:sz w:val="22"/>
        </w:rPr>
        <w:t>Contribution margin, скорость подтверждения, отмены, возвраты и инциденты по партнёру.</w:t>
      </w:r>
    </w:p>
    <w:p>
      <w:pPr>
        <w:pStyle w:val="ListBullet"/>
        <w:spacing w:after="80" w:line="264" w:lineRule="auto"/>
      </w:pPr>
      <w:r>
        <w:rPr>
          <w:rFonts w:ascii="Aptos" w:hAnsi="Aptos" w:eastAsia="Aptos"/>
          <w:color w:val="1F2933"/>
          <w:sz w:val="22"/>
        </w:rPr>
        <w:t>Повторные прямые обращения, guest-to-owner и partner-to-managed conversion.</w:t>
      </w:r>
    </w:p>
    <w:p>
      <w:pPr>
        <w:pStyle w:val="ListBullet"/>
        <w:spacing w:after="80" w:line="264" w:lineRule="auto"/>
      </w:pPr>
      <w:r>
        <w:rPr>
          <w:rFonts w:ascii="Aptos" w:hAnsi="Aptos" w:eastAsia="Aptos"/>
          <w:color w:val="1F2933"/>
          <w:sz w:val="22"/>
        </w:rPr>
        <w:t>Полнота Asset ID, Party ID, атрибуции источника и согласий.</w:t>
      </w:r>
    </w:p>
    <w:p>
      <w:pPr>
        <w:spacing w:before="0" w:after="120" w:line="264" w:lineRule="auto"/>
        <w:jc w:val="left"/>
      </w:pPr>
      <w:r>
        <w:rPr>
          <w:rFonts w:ascii="Aptos" w:hAnsi="Aptos" w:eastAsia="Aptos"/>
          <w:b w:val="0"/>
          <w:i/>
          <w:color w:val="5E6B75"/>
          <w:sz w:val="22"/>
        </w:rPr>
        <w:t>Партнёрский контур не должен становиться массовым агентством, открытым marketplace или доминирующим источником валовой прибыли без отдельного стратегического решения. Он не использует myUNO, не смешивается с управляемым инвентарём, не получает приоритет над действующими мандатами и не принимается при неясной ответственности или недостаточной марже.</w:t>
      </w:r>
    </w:p>
    <w:p>
      <w:r>
        <w:br w:type="page"/>
      </w:r>
    </w:p>
    <w:p>
      <w:pPr>
        <w:pStyle w:val="Heading1"/>
        <w:keepNext/>
      </w:pPr>
      <w:r>
        <w:t>14. Маркетинговые каналы и система контента</w:t>
      </w:r>
    </w:p>
    <w:p>
      <w:pPr>
        <w:pStyle w:val="Heading2"/>
        <w:keepNext/>
      </w:pPr>
      <w:r>
        <w:t>14.1. Задача маркетинга</w:t>
      </w:r>
    </w:p>
    <w:tbl>
      <w:tblPr>
        <w:tblW w:type="dxa" w:w="9360"/>
        <w:jc w:val="left"/>
        <w:tblLook w:firstColumn="1" w:firstRow="1" w:lastColumn="0" w:lastRow="0" w:noHBand="0" w:noVBand="1" w:val="04A0"/>
        <w:tblInd w:w="120" w:type="dxa"/>
        <w:tblBorders>
          <w:top w:val="single" w:sz="4" w:space="0" w:color="E8EEF5"/>
          <w:left w:val="single" w:sz="4" w:space="0" w:color="E8EEF5"/>
          <w:bottom w:val="single" w:sz="4" w:space="0" w:color="E8EEF5"/>
          <w:right w:val="single" w:sz="4" w:space="0" w:color="E8EEF5"/>
          <w:insideH w:val="single" w:sz="4" w:space="0" w:color="E8EEF5"/>
          <w:insideV w:val="single" w:sz="4" w:space="0" w:color="E8EEF5"/>
        </w:tblBorders>
      </w:tblPr>
      <w:tblGrid>
        <w:gridCol w:w="9360"/>
      </w:tblGrid>
      <w:tr>
        <w:tc>
          <w:tcPr>
            <w:tcW w:type="dxa" w:w="9360"/>
            <w:shd w:fill="E8EEF5"/>
            <w:tcMar>
              <w:top w:w="150" w:type="dxa"/>
              <w:start w:w="180" w:type="dxa"/>
              <w:bottom w:w="150" w:type="dxa"/>
              <w:end w:w="180" w:type="dxa"/>
            </w:tcMar>
          </w:tcPr>
          <w:p>
            <w:pPr>
              <w:spacing w:after="0" w:line="269" w:lineRule="auto"/>
            </w:pPr>
            <w:r>
              <w:rPr>
                <w:rFonts w:ascii="Aptos" w:hAnsi="Aptos" w:eastAsia="Aptos"/>
                <w:b/>
                <w:color w:val="0B2545"/>
                <w:sz w:val="21"/>
              </w:rPr>
              <w:t xml:space="preserve">Маркетинг как инфраструктура доверия. </w:t>
            </w:r>
            <w:r>
              <w:rPr>
                <w:rFonts w:ascii="Aptos" w:hAnsi="Aptos" w:eastAsia="Aptos"/>
                <w:color w:val="1F2933"/>
                <w:sz w:val="21"/>
              </w:rPr>
              <w:t>Ignatev Estate не продаёт охват и не строит медиа ради популярности. Маркетинг должен превращать доказанное суждение, операционный результат и личную ответственность основателя в квалифицированный спрос: мандаты собственников, прямые бронирования, покупателей, девелоперов и партнёров.</w:t>
            </w:r>
          </w:p>
        </w:tc>
      </w:tr>
    </w:tbl>
    <w:p>
      <w:pPr>
        <w:spacing w:before="0" w:after="40" w:line="264" w:lineRule="auto"/>
        <w:jc w:val="left"/>
      </w:pPr>
    </w:p>
    <w:p>
      <w:pPr>
        <w:spacing w:before="0" w:after="120" w:line="264" w:lineRule="auto"/>
        <w:jc w:val="left"/>
      </w:pPr>
      <w:r>
        <w:rPr>
          <w:rFonts w:ascii="Aptos" w:hAnsi="Aptos" w:eastAsia="Aptos"/>
          <w:b w:val="0"/>
          <w:i w:val="0"/>
          <w:color w:val="1F2933"/>
          <w:sz w:val="22"/>
        </w:rPr>
        <w:t>Каждый канал получает конкретную аудиторию, сообщение, предложение и измеримый следующий шаг. Количество подписчиков является вторичным показателем; приоритет имеют содержательные диалоги, бронирования, asset reviews, сделки и подписанные мандаты.</w:t>
      </w:r>
    </w:p>
    <w:p>
      <w:pPr>
        <w:pStyle w:val="Heading2"/>
        <w:keepNext/>
      </w:pPr>
      <w:r>
        <w:t>14.2. Архитектура публичных аккаунтов</w:t>
      </w:r>
    </w:p>
    <w:tbl>
      <w:tblPr>
        <w:tblW w:type="dxa" w:w="9360"/>
        <w:jc w:val="left"/>
        <w:tblLayout w:type="fixed"/>
        <w:tblLook w:firstColumn="1" w:firstRow="1" w:lastColumn="0" w:lastRow="0" w:noHBand="0" w:noVBand="1" w:val="04A0"/>
        <w:tblInd w:w="120" w:type="dxa"/>
        <w:tblBorders>
          <w:top w:val="single" w:sz="6" w:space="0" w:color="D6DCE2"/>
          <w:left w:val="single" w:sz="6" w:space="0" w:color="D6DCE2"/>
          <w:bottom w:val="single" w:sz="6" w:space="0" w:color="D6DCE2"/>
          <w:right w:val="single" w:sz="6" w:space="0" w:color="D6DCE2"/>
          <w:insideH w:val="single" w:sz="6" w:space="0" w:color="D6DCE2"/>
          <w:insideV w:val="single" w:sz="6" w:space="0" w:color="D6DCE2"/>
        </w:tblBorders>
      </w:tblPr>
      <w:tblGrid>
        <w:gridCol w:w="1740"/>
        <w:gridCol w:w="2820"/>
        <w:gridCol w:w="3000"/>
        <w:gridCol w:w="1800"/>
      </w:tblGrid>
      <w:tr>
        <w:trPr>
          <w:tblHeader w:val="true"/>
          <w:cantSplit/>
        </w:trPr>
        <w:tc>
          <w:tcPr>
            <w:tcW w:type="dxa" w:w="1740"/>
            <w:shd w:fill="0B2545"/>
            <w:tcMar>
              <w:top w:w="100" w:type="dxa"/>
              <w:start w:w="130" w:type="dxa"/>
              <w:bottom w:w="100" w:type="dxa"/>
              <w:end w:w="130" w:type="dxa"/>
            </w:tcMar>
            <w:vAlign w:val="center"/>
          </w:tcPr>
          <w:p>
            <w:pPr>
              <w:spacing w:after="0" w:line="240" w:lineRule="auto"/>
            </w:pPr>
            <w:r>
              <w:rPr>
                <w:rFonts w:ascii="Aptos" w:hAnsi="Aptos" w:eastAsia="Aptos"/>
                <w:b/>
                <w:color w:val="FFFFFF"/>
                <w:sz w:val="19"/>
              </w:rPr>
              <w:t>ПОВЕРХНОСТЬ</w:t>
            </w:r>
          </w:p>
        </w:tc>
        <w:tc>
          <w:tcPr>
            <w:tcW w:type="dxa" w:w="2820"/>
            <w:shd w:fill="0B2545"/>
            <w:tcMar>
              <w:top w:w="100" w:type="dxa"/>
              <w:start w:w="130" w:type="dxa"/>
              <w:bottom w:w="100" w:type="dxa"/>
              <w:end w:w="130" w:type="dxa"/>
            </w:tcMar>
            <w:vAlign w:val="center"/>
          </w:tcPr>
          <w:p>
            <w:pPr>
              <w:spacing w:after="0" w:line="240" w:lineRule="auto"/>
            </w:pPr>
            <w:r>
              <w:rPr>
                <w:rFonts w:ascii="Aptos" w:hAnsi="Aptos" w:eastAsia="Aptos"/>
                <w:b/>
                <w:color w:val="FFFFFF"/>
                <w:sz w:val="19"/>
              </w:rPr>
              <w:t>РОЛЬ</w:t>
            </w:r>
          </w:p>
        </w:tc>
        <w:tc>
          <w:tcPr>
            <w:tcW w:type="dxa" w:w="3000"/>
            <w:shd w:fill="0B2545"/>
            <w:tcMar>
              <w:top w:w="100" w:type="dxa"/>
              <w:start w:w="130" w:type="dxa"/>
              <w:bottom w:w="100" w:type="dxa"/>
              <w:end w:w="130" w:type="dxa"/>
            </w:tcMar>
            <w:vAlign w:val="center"/>
          </w:tcPr>
          <w:p>
            <w:pPr>
              <w:spacing w:after="0" w:line="240" w:lineRule="auto"/>
            </w:pPr>
            <w:r>
              <w:rPr>
                <w:rFonts w:ascii="Aptos" w:hAnsi="Aptos" w:eastAsia="Aptos"/>
                <w:b/>
                <w:color w:val="FFFFFF"/>
                <w:sz w:val="19"/>
              </w:rPr>
              <w:t>ОСНОВНАЯ АУДИТОРИЯ</w:t>
            </w:r>
          </w:p>
        </w:tc>
        <w:tc>
          <w:tcPr>
            <w:tcW w:type="dxa" w:w="1800"/>
            <w:shd w:fill="0B2545"/>
            <w:tcMar>
              <w:top w:w="100" w:type="dxa"/>
              <w:start w:w="130" w:type="dxa"/>
              <w:bottom w:w="100" w:type="dxa"/>
              <w:end w:w="130" w:type="dxa"/>
            </w:tcMar>
            <w:vAlign w:val="center"/>
          </w:tcPr>
          <w:p>
            <w:pPr>
              <w:spacing w:after="0" w:line="240" w:lineRule="auto"/>
            </w:pPr>
            <w:r>
              <w:rPr>
                <w:rFonts w:ascii="Aptos" w:hAnsi="Aptos" w:eastAsia="Aptos"/>
                <w:b/>
                <w:color w:val="FFFFFF"/>
                <w:sz w:val="19"/>
              </w:rPr>
              <w:t>КОНВЕРСИЯ</w:t>
            </w:r>
          </w:p>
        </w:tc>
      </w:tr>
      <w:tr>
        <w:trPr>
          <w:cantSplit/>
        </w:trPr>
        <w:tc>
          <w:tcPr>
            <w:tcW w:type="dxa" w:w="1740"/>
            <w:tcMar>
              <w:top w:w="100" w:type="dxa"/>
              <w:start w:w="130" w:type="dxa"/>
              <w:bottom w:w="100" w:type="dxa"/>
              <w:end w:w="130" w:type="dxa"/>
            </w:tcMar>
            <w:vAlign w:val="center"/>
          </w:tcPr>
          <w:p>
            <w:pPr>
              <w:spacing w:after="0" w:line="252" w:lineRule="auto"/>
            </w:pPr>
            <w:r>
              <w:rPr>
                <w:rFonts w:ascii="Aptos" w:hAnsi="Aptos" w:eastAsia="Aptos"/>
                <w:b/>
                <w:color w:val="0B2545"/>
                <w:sz w:val="19"/>
              </w:rPr>
              <w:t>Pavel Ignatev</w:t>
            </w:r>
          </w:p>
        </w:tc>
        <w:tc>
          <w:tcPr>
            <w:tcW w:type="dxa" w:w="2820"/>
            <w:tcMar>
              <w:top w:w="100" w:type="dxa"/>
              <w:start w:w="130" w:type="dxa"/>
              <w:bottom w:w="100" w:type="dxa"/>
              <w:end w:w="130" w:type="dxa"/>
            </w:tcMar>
            <w:vAlign w:val="center"/>
          </w:tcPr>
          <w:p>
            <w:pPr>
              <w:spacing w:after="0" w:line="252" w:lineRule="auto"/>
            </w:pPr>
            <w:r>
              <w:rPr>
                <w:rFonts w:ascii="Aptos" w:hAnsi="Aptos" w:eastAsia="Aptos"/>
                <w:b w:val="0"/>
                <w:color w:val="1F2933"/>
                <w:sz w:val="19"/>
              </w:rPr>
              <w:t>Личное суждение, ответственность, рынок, переговоры и значимые кейсы.</w:t>
            </w:r>
          </w:p>
        </w:tc>
        <w:tc>
          <w:tcPr>
            <w:tcW w:type="dxa" w:w="3000"/>
            <w:tcMar>
              <w:top w:w="100" w:type="dxa"/>
              <w:start w:w="130" w:type="dxa"/>
              <w:bottom w:w="100" w:type="dxa"/>
              <w:end w:w="130" w:type="dxa"/>
            </w:tcMar>
            <w:vAlign w:val="center"/>
          </w:tcPr>
          <w:p>
            <w:pPr>
              <w:spacing w:after="0" w:line="252" w:lineRule="auto"/>
            </w:pPr>
            <w:r>
              <w:rPr>
                <w:rFonts w:ascii="Aptos" w:hAnsi="Aptos" w:eastAsia="Aptos"/>
                <w:b w:val="0"/>
                <w:color w:val="1F2933"/>
                <w:sz w:val="19"/>
              </w:rPr>
              <w:t>Собственники, инвесторы, девелоперы, лидеры мнений и профессиональные партнёры.</w:t>
            </w:r>
          </w:p>
        </w:tc>
        <w:tc>
          <w:tcPr>
            <w:tcW w:type="dxa" w:w="1800"/>
            <w:tcMar>
              <w:top w:w="100" w:type="dxa"/>
              <w:start w:w="130" w:type="dxa"/>
              <w:bottom w:w="100" w:type="dxa"/>
              <w:end w:w="130" w:type="dxa"/>
            </w:tcMar>
            <w:vAlign w:val="center"/>
          </w:tcPr>
          <w:p>
            <w:pPr>
              <w:spacing w:after="0" w:line="252" w:lineRule="auto"/>
            </w:pPr>
            <w:r>
              <w:rPr>
                <w:rFonts w:ascii="Aptos" w:hAnsi="Aptos" w:eastAsia="Aptos"/>
                <w:b w:val="0"/>
                <w:color w:val="1F2933"/>
                <w:sz w:val="19"/>
              </w:rPr>
              <w:t>Разбор актива, встреча, рекомендация.</w:t>
            </w:r>
          </w:p>
        </w:tc>
      </w:tr>
      <w:tr>
        <w:trPr>
          <w:cantSplit/>
        </w:trPr>
        <w:tc>
          <w:tcPr>
            <w:tcW w:type="dxa" w:w="1740"/>
            <w:tcMar>
              <w:top w:w="100" w:type="dxa"/>
              <w:start w:w="130" w:type="dxa"/>
              <w:bottom w:w="100" w:type="dxa"/>
              <w:end w:w="130" w:type="dxa"/>
            </w:tcMar>
            <w:vAlign w:val="center"/>
            <w:shd w:fill="FAFBFC"/>
          </w:tcPr>
          <w:p>
            <w:pPr>
              <w:spacing w:after="0" w:line="252" w:lineRule="auto"/>
            </w:pPr>
            <w:r>
              <w:rPr>
                <w:rFonts w:ascii="Aptos" w:hAnsi="Aptos" w:eastAsia="Aptos"/>
                <w:b/>
                <w:color w:val="0B2545"/>
                <w:sz w:val="19"/>
              </w:rPr>
              <w:t>Ignatev Estate</w:t>
            </w:r>
          </w:p>
        </w:tc>
        <w:tc>
          <w:tcPr>
            <w:tcW w:type="dxa" w:w="282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Корпоративные доказательства, owner-side модель, ClearView, сделки и управляемая экономика.</w:t>
            </w:r>
          </w:p>
        </w:tc>
        <w:tc>
          <w:tcPr>
            <w:tcW w:type="dxa" w:w="300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Собственники, покупатели, девелоперы и рефереры.</w:t>
            </w:r>
          </w:p>
        </w:tc>
        <w:tc>
          <w:tcPr>
            <w:tcW w:type="dxa" w:w="180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Asset review, buyer briefing, pre-opening review.</w:t>
            </w:r>
          </w:p>
        </w:tc>
      </w:tr>
      <w:tr>
        <w:trPr>
          <w:cantSplit/>
        </w:trPr>
        <w:tc>
          <w:tcPr>
            <w:tcW w:type="dxa" w:w="1740"/>
            <w:tcMar>
              <w:top w:w="100" w:type="dxa"/>
              <w:start w:w="130" w:type="dxa"/>
              <w:bottom w:w="100" w:type="dxa"/>
              <w:end w:w="130" w:type="dxa"/>
            </w:tcMar>
            <w:vAlign w:val="center"/>
          </w:tcPr>
          <w:p>
            <w:pPr>
              <w:spacing w:after="0" w:line="252" w:lineRule="auto"/>
            </w:pPr>
            <w:r>
              <w:rPr>
                <w:rFonts w:ascii="Aptos" w:hAnsi="Aptos" w:eastAsia="Aptos"/>
                <w:b/>
                <w:color w:val="0B2545"/>
                <w:sz w:val="19"/>
              </w:rPr>
              <w:t>myUNO</w:t>
            </w:r>
          </w:p>
        </w:tc>
        <w:tc>
          <w:tcPr>
            <w:tcW w:type="dxa" w:w="2820"/>
            <w:tcMar>
              <w:top w:w="100" w:type="dxa"/>
              <w:start w:w="130" w:type="dxa"/>
              <w:bottom w:w="100" w:type="dxa"/>
              <w:end w:w="130" w:type="dxa"/>
            </w:tcMar>
            <w:vAlign w:val="center"/>
          </w:tcPr>
          <w:p>
            <w:pPr>
              <w:spacing w:after="0" w:line="252" w:lineRule="auto"/>
            </w:pPr>
            <w:r>
              <w:rPr>
                <w:rFonts w:ascii="Aptos" w:hAnsi="Aptos" w:eastAsia="Aptos"/>
                <w:b w:val="0"/>
                <w:color w:val="1F2933"/>
                <w:sz w:val="19"/>
              </w:rPr>
              <w:t>Объекты, гостевой опыт, операционный стандарт, прямое бронирование и повторное проживание.</w:t>
            </w:r>
          </w:p>
        </w:tc>
        <w:tc>
          <w:tcPr>
            <w:tcW w:type="dxa" w:w="3000"/>
            <w:tcMar>
              <w:top w:w="100" w:type="dxa"/>
              <w:start w:w="130" w:type="dxa"/>
              <w:bottom w:w="100" w:type="dxa"/>
              <w:end w:w="130" w:type="dxa"/>
            </w:tcMar>
            <w:vAlign w:val="center"/>
          </w:tcPr>
          <w:p>
            <w:pPr>
              <w:spacing w:after="0" w:line="252" w:lineRule="auto"/>
            </w:pPr>
            <w:r>
              <w:rPr>
                <w:rFonts w:ascii="Aptos" w:hAnsi="Aptos" w:eastAsia="Aptos"/>
                <w:b w:val="0"/>
                <w:color w:val="1F2933"/>
                <w:sz w:val="19"/>
              </w:rPr>
              <w:t>Гости, резиденты, агенты и будущие покупатели.</w:t>
            </w:r>
          </w:p>
        </w:tc>
        <w:tc>
          <w:tcPr>
            <w:tcW w:type="dxa" w:w="1800"/>
            <w:tcMar>
              <w:top w:w="100" w:type="dxa"/>
              <w:start w:w="130" w:type="dxa"/>
              <w:bottom w:w="100" w:type="dxa"/>
              <w:end w:w="130" w:type="dxa"/>
            </w:tcMar>
            <w:vAlign w:val="center"/>
          </w:tcPr>
          <w:p>
            <w:pPr>
              <w:spacing w:after="0" w:line="252" w:lineRule="auto"/>
            </w:pPr>
            <w:r>
              <w:rPr>
                <w:rFonts w:ascii="Aptos" w:hAnsi="Aptos" w:eastAsia="Aptos"/>
                <w:b w:val="0"/>
                <w:color w:val="1F2933"/>
                <w:sz w:val="19"/>
              </w:rPr>
              <w:t>Проверка дат, бронирование, продление.</w:t>
            </w:r>
          </w:p>
        </w:tc>
      </w:tr>
      <w:tr>
        <w:trPr>
          <w:cantSplit/>
        </w:trPr>
        <w:tc>
          <w:tcPr>
            <w:tcW w:type="dxa" w:w="1740"/>
            <w:tcMar>
              <w:top w:w="100" w:type="dxa"/>
              <w:start w:w="130" w:type="dxa"/>
              <w:bottom w:w="100" w:type="dxa"/>
              <w:end w:w="130" w:type="dxa"/>
            </w:tcMar>
            <w:vAlign w:val="center"/>
            <w:shd w:fill="FAFBFC"/>
          </w:tcPr>
          <w:p>
            <w:pPr>
              <w:spacing w:after="0" w:line="252" w:lineRule="auto"/>
            </w:pPr>
            <w:r>
              <w:rPr>
                <w:rFonts w:ascii="Aptos" w:hAnsi="Aptos" w:eastAsia="Aptos"/>
                <w:b/>
                <w:color w:val="0B2545"/>
                <w:sz w:val="19"/>
              </w:rPr>
              <w:t>Бренд актива</w:t>
            </w:r>
          </w:p>
        </w:tc>
        <w:tc>
          <w:tcPr>
            <w:tcW w:type="dxa" w:w="282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Самостоятельная коммуникация гостиницы, резорта или комплекса при достаточном масштабе и полном мандате.</w:t>
            </w:r>
          </w:p>
        </w:tc>
        <w:tc>
          <w:tcPr>
            <w:tcW w:type="dxa" w:w="300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Целевая аудитория конкретного актива.</w:t>
            </w:r>
          </w:p>
        </w:tc>
        <w:tc>
          <w:tcPr>
            <w:tcW w:type="dxa" w:w="180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Бронирование на канонической странице актива.</w:t>
            </w:r>
          </w:p>
        </w:tc>
      </w:tr>
    </w:tbl>
    <w:p>
      <w:pPr>
        <w:spacing w:before="0" w:after="40" w:line="264" w:lineRule="auto"/>
        <w:jc w:val="left"/>
      </w:pPr>
    </w:p>
    <w:p>
      <w:pPr>
        <w:spacing w:before="0" w:after="120" w:line="264" w:lineRule="auto"/>
        <w:jc w:val="left"/>
      </w:pPr>
      <w:r>
        <w:rPr>
          <w:rFonts w:ascii="Aptos" w:hAnsi="Aptos" w:eastAsia="Aptos"/>
          <w:b w:val="0"/>
          <w:i/>
          <w:color w:val="5E6B75"/>
          <w:sz w:val="22"/>
        </w:rPr>
        <w:t>Отдельные аккаунты не создаются для каждого юнита или малого кластера. Новый asset-level аккаунт допускается только при сильном существующем бренде, достаточном объёме контента, самостоятельной аудитории и назначенном владельце канала.</w:t>
      </w:r>
    </w:p>
    <w:p>
      <w:pPr>
        <w:pStyle w:val="Heading2"/>
        <w:keepNext/>
      </w:pPr>
      <w:r>
        <w:t>14.3. Роль каналов</w:t>
      </w:r>
    </w:p>
    <w:tbl>
      <w:tblPr>
        <w:tblW w:type="dxa" w:w="9360"/>
        <w:jc w:val="left"/>
        <w:tblLayout w:type="fixed"/>
        <w:tblLook w:firstColumn="1" w:firstRow="1" w:lastColumn="0" w:lastRow="0" w:noHBand="0" w:noVBand="1" w:val="04A0"/>
        <w:tblInd w:w="120" w:type="dxa"/>
        <w:tblBorders>
          <w:top w:val="single" w:sz="6" w:space="0" w:color="D6DCE2"/>
          <w:left w:val="single" w:sz="6" w:space="0" w:color="D6DCE2"/>
          <w:bottom w:val="single" w:sz="6" w:space="0" w:color="D6DCE2"/>
          <w:right w:val="single" w:sz="6" w:space="0" w:color="D6DCE2"/>
          <w:insideH w:val="single" w:sz="6" w:space="0" w:color="D6DCE2"/>
          <w:insideV w:val="single" w:sz="6" w:space="0" w:color="D6DCE2"/>
        </w:tblBorders>
      </w:tblPr>
      <w:tblGrid>
        <w:gridCol w:w="1620"/>
        <w:gridCol w:w="2760"/>
        <w:gridCol w:w="3180"/>
        <w:gridCol w:w="1800"/>
      </w:tblGrid>
      <w:tr>
        <w:trPr>
          <w:tblHeader w:val="true"/>
          <w:cantSplit/>
        </w:trPr>
        <w:tc>
          <w:tcPr>
            <w:tcW w:type="dxa" w:w="1620"/>
            <w:shd w:fill="0B2545"/>
            <w:tcMar>
              <w:top w:w="100" w:type="dxa"/>
              <w:start w:w="130" w:type="dxa"/>
              <w:bottom w:w="100" w:type="dxa"/>
              <w:end w:w="130" w:type="dxa"/>
            </w:tcMar>
            <w:vAlign w:val="center"/>
          </w:tcPr>
          <w:p>
            <w:pPr>
              <w:spacing w:after="0" w:line="240" w:lineRule="auto"/>
            </w:pPr>
            <w:r>
              <w:rPr>
                <w:rFonts w:ascii="Aptos" w:hAnsi="Aptos" w:eastAsia="Aptos"/>
                <w:b/>
                <w:color w:val="FFFFFF"/>
                <w:sz w:val="19"/>
              </w:rPr>
              <w:t>КАНАЛ</w:t>
            </w:r>
          </w:p>
        </w:tc>
        <w:tc>
          <w:tcPr>
            <w:tcW w:type="dxa" w:w="2760"/>
            <w:shd w:fill="0B2545"/>
            <w:tcMar>
              <w:top w:w="100" w:type="dxa"/>
              <w:start w:w="130" w:type="dxa"/>
              <w:bottom w:w="100" w:type="dxa"/>
              <w:end w:w="130" w:type="dxa"/>
            </w:tcMar>
            <w:vAlign w:val="center"/>
          </w:tcPr>
          <w:p>
            <w:pPr>
              <w:spacing w:after="0" w:line="240" w:lineRule="auto"/>
            </w:pPr>
            <w:r>
              <w:rPr>
                <w:rFonts w:ascii="Aptos" w:hAnsi="Aptos" w:eastAsia="Aptos"/>
                <w:b/>
                <w:color w:val="FFFFFF"/>
                <w:sz w:val="19"/>
              </w:rPr>
              <w:t>ФУНКЦИЯ</w:t>
            </w:r>
          </w:p>
        </w:tc>
        <w:tc>
          <w:tcPr>
            <w:tcW w:type="dxa" w:w="3180"/>
            <w:shd w:fill="0B2545"/>
            <w:tcMar>
              <w:top w:w="100" w:type="dxa"/>
              <w:start w:w="130" w:type="dxa"/>
              <w:bottom w:w="100" w:type="dxa"/>
              <w:end w:w="130" w:type="dxa"/>
            </w:tcMar>
            <w:vAlign w:val="center"/>
          </w:tcPr>
          <w:p>
            <w:pPr>
              <w:spacing w:after="0" w:line="240" w:lineRule="auto"/>
            </w:pPr>
            <w:r>
              <w:rPr>
                <w:rFonts w:ascii="Aptos" w:hAnsi="Aptos" w:eastAsia="Aptos"/>
                <w:b/>
                <w:color w:val="FFFFFF"/>
                <w:sz w:val="19"/>
              </w:rPr>
              <w:t>ОСНОВНОЙ КОНТЕНТ</w:t>
            </w:r>
          </w:p>
        </w:tc>
        <w:tc>
          <w:tcPr>
            <w:tcW w:type="dxa" w:w="1800"/>
            <w:shd w:fill="0B2545"/>
            <w:tcMar>
              <w:top w:w="100" w:type="dxa"/>
              <w:start w:w="130" w:type="dxa"/>
              <w:bottom w:w="100" w:type="dxa"/>
              <w:end w:w="130" w:type="dxa"/>
            </w:tcMar>
            <w:vAlign w:val="center"/>
          </w:tcPr>
          <w:p>
            <w:pPr>
              <w:spacing w:after="0" w:line="240" w:lineRule="auto"/>
            </w:pPr>
            <w:r>
              <w:rPr>
                <w:rFonts w:ascii="Aptos" w:hAnsi="Aptos" w:eastAsia="Aptos"/>
                <w:b/>
                <w:color w:val="FFFFFF"/>
                <w:sz w:val="19"/>
              </w:rPr>
              <w:t>CTA</w:t>
            </w:r>
          </w:p>
        </w:tc>
      </w:tr>
      <w:tr>
        <w:trPr>
          <w:cantSplit/>
        </w:trPr>
        <w:tc>
          <w:tcPr>
            <w:tcW w:type="dxa" w:w="1620"/>
            <w:tcMar>
              <w:top w:w="100" w:type="dxa"/>
              <w:start w:w="130" w:type="dxa"/>
              <w:bottom w:w="100" w:type="dxa"/>
              <w:end w:w="130" w:type="dxa"/>
            </w:tcMar>
            <w:vAlign w:val="center"/>
          </w:tcPr>
          <w:p>
            <w:pPr>
              <w:spacing w:after="0" w:line="252" w:lineRule="auto"/>
            </w:pPr>
            <w:r>
              <w:rPr>
                <w:rFonts w:ascii="Aptos" w:hAnsi="Aptos" w:eastAsia="Aptos"/>
                <w:b/>
                <w:color w:val="0B2545"/>
                <w:sz w:val="19"/>
              </w:rPr>
              <w:t>LinkedIn</w:t>
            </w:r>
          </w:p>
        </w:tc>
        <w:tc>
          <w:tcPr>
            <w:tcW w:type="dxa" w:w="2760"/>
            <w:tcMar>
              <w:top w:w="100" w:type="dxa"/>
              <w:start w:w="130" w:type="dxa"/>
              <w:bottom w:w="100" w:type="dxa"/>
              <w:end w:w="130" w:type="dxa"/>
            </w:tcMar>
            <w:vAlign w:val="center"/>
          </w:tcPr>
          <w:p>
            <w:pPr>
              <w:spacing w:after="0" w:line="252" w:lineRule="auto"/>
            </w:pPr>
            <w:r>
              <w:rPr>
                <w:rFonts w:ascii="Aptos" w:hAnsi="Aptos" w:eastAsia="Aptos"/>
                <w:b w:val="0"/>
                <w:color w:val="1F2933"/>
                <w:sz w:val="19"/>
              </w:rPr>
              <w:t>Доверие собственников и B2B-аудитории; founder-led thought leadership.</w:t>
            </w:r>
          </w:p>
        </w:tc>
        <w:tc>
          <w:tcPr>
            <w:tcW w:type="dxa" w:w="3180"/>
            <w:tcMar>
              <w:top w:w="100" w:type="dxa"/>
              <w:start w:w="130" w:type="dxa"/>
              <w:bottom w:w="100" w:type="dxa"/>
              <w:end w:w="130" w:type="dxa"/>
            </w:tcMar>
            <w:vAlign w:val="center"/>
          </w:tcPr>
          <w:p>
            <w:pPr>
              <w:spacing w:after="0" w:line="252" w:lineRule="auto"/>
            </w:pPr>
            <w:r>
              <w:rPr>
                <w:rFonts w:ascii="Aptos" w:hAnsi="Aptos" w:eastAsia="Aptos"/>
                <w:b w:val="0"/>
                <w:color w:val="1F2933"/>
                <w:sz w:val="19"/>
              </w:rPr>
              <w:t>Операционные выводы, кейсы, документы, рынок, управление и сделки.</w:t>
            </w:r>
          </w:p>
        </w:tc>
        <w:tc>
          <w:tcPr>
            <w:tcW w:type="dxa" w:w="1800"/>
            <w:tcMar>
              <w:top w:w="100" w:type="dxa"/>
              <w:start w:w="130" w:type="dxa"/>
              <w:bottom w:w="100" w:type="dxa"/>
              <w:end w:w="130" w:type="dxa"/>
            </w:tcMar>
            <w:vAlign w:val="center"/>
          </w:tcPr>
          <w:p>
            <w:pPr>
              <w:spacing w:after="0" w:line="252" w:lineRule="auto"/>
            </w:pPr>
            <w:r>
              <w:rPr>
                <w:rFonts w:ascii="Aptos" w:hAnsi="Aptos" w:eastAsia="Aptos"/>
                <w:b w:val="0"/>
                <w:color w:val="1F2933"/>
                <w:sz w:val="19"/>
              </w:rPr>
              <w:t>Разбор актива / встреча.</w:t>
            </w:r>
          </w:p>
        </w:tc>
      </w:tr>
      <w:tr>
        <w:trPr>
          <w:cantSplit/>
        </w:trPr>
        <w:tc>
          <w:tcPr>
            <w:tcW w:type="dxa" w:w="1620"/>
            <w:tcMar>
              <w:top w:w="100" w:type="dxa"/>
              <w:start w:w="130" w:type="dxa"/>
              <w:bottom w:w="100" w:type="dxa"/>
              <w:end w:w="130" w:type="dxa"/>
            </w:tcMar>
            <w:vAlign w:val="center"/>
            <w:shd w:fill="FAFBFC"/>
          </w:tcPr>
          <w:p>
            <w:pPr>
              <w:spacing w:after="0" w:line="252" w:lineRule="auto"/>
            </w:pPr>
            <w:r>
              <w:rPr>
                <w:rFonts w:ascii="Aptos" w:hAnsi="Aptos" w:eastAsia="Aptos"/>
                <w:b/>
                <w:color w:val="0B2545"/>
                <w:sz w:val="19"/>
              </w:rPr>
              <w:t>Instagram</w:t>
            </w:r>
          </w:p>
        </w:tc>
        <w:tc>
          <w:tcPr>
            <w:tcW w:type="dxa" w:w="276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Визуальное доказательство объектов, людей, сервиса и локального присутствия.</w:t>
            </w:r>
          </w:p>
        </w:tc>
        <w:tc>
          <w:tcPr>
            <w:tcW w:type="dxa" w:w="318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Reels, карусели, inspections, before/after, короткие объяснения и истории гостей.</w:t>
            </w:r>
          </w:p>
        </w:tc>
        <w:tc>
          <w:tcPr>
            <w:tcW w:type="dxa" w:w="180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Перейти на asset page / написать.</w:t>
            </w:r>
          </w:p>
        </w:tc>
      </w:tr>
      <w:tr>
        <w:trPr>
          <w:cantSplit/>
        </w:trPr>
        <w:tc>
          <w:tcPr>
            <w:tcW w:type="dxa" w:w="1620"/>
            <w:tcMar>
              <w:top w:w="100" w:type="dxa"/>
              <w:start w:w="130" w:type="dxa"/>
              <w:bottom w:w="100" w:type="dxa"/>
              <w:end w:w="130" w:type="dxa"/>
            </w:tcMar>
            <w:vAlign w:val="center"/>
          </w:tcPr>
          <w:p>
            <w:pPr>
              <w:spacing w:after="0" w:line="252" w:lineRule="auto"/>
            </w:pPr>
            <w:r>
              <w:rPr>
                <w:rFonts w:ascii="Aptos" w:hAnsi="Aptos" w:eastAsia="Aptos"/>
                <w:b/>
                <w:color w:val="0B2545"/>
                <w:sz w:val="19"/>
              </w:rPr>
              <w:t>Facebook</w:t>
            </w:r>
          </w:p>
        </w:tc>
        <w:tc>
          <w:tcPr>
            <w:tcW w:type="dxa" w:w="2760"/>
            <w:tcMar>
              <w:top w:w="100" w:type="dxa"/>
              <w:start w:w="130" w:type="dxa"/>
              <w:bottom w:w="100" w:type="dxa"/>
              <w:end w:w="130" w:type="dxa"/>
            </w:tcMar>
            <w:vAlign w:val="center"/>
          </w:tcPr>
          <w:p>
            <w:pPr>
              <w:spacing w:after="0" w:line="252" w:lineRule="auto"/>
            </w:pPr>
            <w:r>
              <w:rPr>
                <w:rFonts w:ascii="Aptos" w:hAnsi="Aptos" w:eastAsia="Aptos"/>
                <w:b w:val="0"/>
                <w:color w:val="1F2933"/>
                <w:sz w:val="19"/>
              </w:rPr>
              <w:t>Сообщества, зрелая аудитория собственников, события и ретаргетинг.</w:t>
            </w:r>
          </w:p>
        </w:tc>
        <w:tc>
          <w:tcPr>
            <w:tcW w:type="dxa" w:w="3180"/>
            <w:tcMar>
              <w:top w:w="100" w:type="dxa"/>
              <w:start w:w="130" w:type="dxa"/>
              <w:bottom w:w="100" w:type="dxa"/>
              <w:end w:w="130" w:type="dxa"/>
            </w:tcMar>
            <w:vAlign w:val="center"/>
          </w:tcPr>
          <w:p>
            <w:pPr>
              <w:spacing w:after="0" w:line="252" w:lineRule="auto"/>
            </w:pPr>
            <w:r>
              <w:rPr>
                <w:rFonts w:ascii="Aptos" w:hAnsi="Aptos" w:eastAsia="Aptos"/>
                <w:b w:val="0"/>
                <w:color w:val="1F2933"/>
                <w:sz w:val="19"/>
              </w:rPr>
              <w:t>Адаптированные кейсы, длинные посты, видео, мероприятия и обсуждения.</w:t>
            </w:r>
          </w:p>
        </w:tc>
        <w:tc>
          <w:tcPr>
            <w:tcW w:type="dxa" w:w="1800"/>
            <w:tcMar>
              <w:top w:w="100" w:type="dxa"/>
              <w:start w:w="130" w:type="dxa"/>
              <w:bottom w:w="100" w:type="dxa"/>
              <w:end w:w="130" w:type="dxa"/>
            </w:tcMar>
            <w:vAlign w:val="center"/>
          </w:tcPr>
          <w:p>
            <w:pPr>
              <w:spacing w:after="0" w:line="252" w:lineRule="auto"/>
            </w:pPr>
            <w:r>
              <w:rPr>
                <w:rFonts w:ascii="Aptos" w:hAnsi="Aptos" w:eastAsia="Aptos"/>
                <w:b w:val="0"/>
                <w:color w:val="1F2933"/>
                <w:sz w:val="19"/>
              </w:rPr>
              <w:t>Получить материал / записаться.</w:t>
            </w:r>
          </w:p>
        </w:tc>
      </w:tr>
      <w:tr>
        <w:trPr>
          <w:cantSplit/>
        </w:trPr>
        <w:tc>
          <w:tcPr>
            <w:tcW w:type="dxa" w:w="1620"/>
            <w:tcMar>
              <w:top w:w="100" w:type="dxa"/>
              <w:start w:w="130" w:type="dxa"/>
              <w:bottom w:w="100" w:type="dxa"/>
              <w:end w:w="130" w:type="dxa"/>
            </w:tcMar>
            <w:vAlign w:val="center"/>
            <w:shd w:fill="FAFBFC"/>
          </w:tcPr>
          <w:p>
            <w:pPr>
              <w:spacing w:after="0" w:line="252" w:lineRule="auto"/>
            </w:pPr>
            <w:r>
              <w:rPr>
                <w:rFonts w:ascii="Aptos" w:hAnsi="Aptos" w:eastAsia="Aptos"/>
                <w:b/>
                <w:color w:val="0B2545"/>
                <w:sz w:val="19"/>
              </w:rPr>
              <w:t>YouTube</w:t>
            </w:r>
          </w:p>
        </w:tc>
        <w:tc>
          <w:tcPr>
            <w:tcW w:type="dxa" w:w="276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Долгосрочный поисковый актив и глубокое объяснение модели.</w:t>
            </w:r>
          </w:p>
        </w:tc>
        <w:tc>
          <w:tcPr>
            <w:tcW w:type="dxa" w:w="318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Разборы активов, интервью, market briefings, walkthroughs и операционные истории.</w:t>
            </w:r>
          </w:p>
        </w:tc>
        <w:tc>
          <w:tcPr>
            <w:tcW w:type="dxa" w:w="180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Подписка / сайт / консультация.</w:t>
            </w:r>
          </w:p>
        </w:tc>
      </w:tr>
      <w:tr>
        <w:trPr>
          <w:cantSplit/>
        </w:trPr>
        <w:tc>
          <w:tcPr>
            <w:tcW w:type="dxa" w:w="1620"/>
            <w:tcMar>
              <w:top w:w="100" w:type="dxa"/>
              <w:start w:w="130" w:type="dxa"/>
              <w:bottom w:w="100" w:type="dxa"/>
              <w:end w:w="130" w:type="dxa"/>
            </w:tcMar>
            <w:vAlign w:val="center"/>
          </w:tcPr>
          <w:p>
            <w:pPr>
              <w:spacing w:after="0" w:line="252" w:lineRule="auto"/>
            </w:pPr>
            <w:r>
              <w:rPr>
                <w:rFonts w:ascii="Aptos" w:hAnsi="Aptos" w:eastAsia="Aptos"/>
                <w:b/>
                <w:color w:val="0B2545"/>
                <w:sz w:val="19"/>
              </w:rPr>
              <w:t>Email</w:t>
            </w:r>
          </w:p>
        </w:tc>
        <w:tc>
          <w:tcPr>
            <w:tcW w:type="dxa" w:w="2760"/>
            <w:tcMar>
              <w:top w:w="100" w:type="dxa"/>
              <w:start w:w="130" w:type="dxa"/>
              <w:bottom w:w="100" w:type="dxa"/>
              <w:end w:w="130" w:type="dxa"/>
            </w:tcMar>
            <w:vAlign w:val="center"/>
          </w:tcPr>
          <w:p>
            <w:pPr>
              <w:spacing w:after="0" w:line="252" w:lineRule="auto"/>
            </w:pPr>
            <w:r>
              <w:rPr>
                <w:rFonts w:ascii="Aptos" w:hAnsi="Aptos" w:eastAsia="Aptos"/>
                <w:b w:val="0"/>
                <w:color w:val="1F2933"/>
                <w:sz w:val="19"/>
              </w:rPr>
              <w:t>Собственный канал удержания и развития отношений.</w:t>
            </w:r>
          </w:p>
        </w:tc>
        <w:tc>
          <w:tcPr>
            <w:tcW w:type="dxa" w:w="3180"/>
            <w:tcMar>
              <w:top w:w="100" w:type="dxa"/>
              <w:start w:w="130" w:type="dxa"/>
              <w:bottom w:w="100" w:type="dxa"/>
              <w:end w:w="130" w:type="dxa"/>
            </w:tcMar>
            <w:vAlign w:val="center"/>
          </w:tcPr>
          <w:p>
            <w:pPr>
              <w:spacing w:after="0" w:line="252" w:lineRule="auto"/>
            </w:pPr>
            <w:r>
              <w:rPr>
                <w:rFonts w:ascii="Aptos" w:hAnsi="Aptos" w:eastAsia="Aptos"/>
                <w:b w:val="0"/>
                <w:color w:val="1F2933"/>
                <w:sz w:val="19"/>
              </w:rPr>
              <w:t>Owner brief, guest lifecycle, market notes, предложения по релевантному событию.</w:t>
            </w:r>
          </w:p>
        </w:tc>
        <w:tc>
          <w:tcPr>
            <w:tcW w:type="dxa" w:w="1800"/>
            <w:tcMar>
              <w:top w:w="100" w:type="dxa"/>
              <w:start w:w="130" w:type="dxa"/>
              <w:bottom w:w="100" w:type="dxa"/>
              <w:end w:w="130" w:type="dxa"/>
            </w:tcMar>
            <w:vAlign w:val="center"/>
          </w:tcPr>
          <w:p>
            <w:pPr>
              <w:spacing w:after="0" w:line="252" w:lineRule="auto"/>
            </w:pPr>
            <w:r>
              <w:rPr>
                <w:rFonts w:ascii="Aptos" w:hAnsi="Aptos" w:eastAsia="Aptos"/>
                <w:b w:val="0"/>
                <w:color w:val="1F2933"/>
                <w:sz w:val="19"/>
              </w:rPr>
              <w:t>Ответить / забронировать / назначить встречу.</w:t>
            </w:r>
          </w:p>
        </w:tc>
      </w:tr>
      <w:tr>
        <w:trPr>
          <w:cantSplit/>
        </w:trPr>
        <w:tc>
          <w:tcPr>
            <w:tcW w:type="dxa" w:w="1620"/>
            <w:tcMar>
              <w:top w:w="100" w:type="dxa"/>
              <w:start w:w="130" w:type="dxa"/>
              <w:bottom w:w="100" w:type="dxa"/>
              <w:end w:w="130" w:type="dxa"/>
            </w:tcMar>
            <w:vAlign w:val="center"/>
            <w:shd w:fill="FAFBFC"/>
          </w:tcPr>
          <w:p>
            <w:pPr>
              <w:spacing w:after="0" w:line="252" w:lineRule="auto"/>
            </w:pPr>
            <w:r>
              <w:rPr>
                <w:rFonts w:ascii="Aptos" w:hAnsi="Aptos" w:eastAsia="Aptos"/>
                <w:b/>
                <w:color w:val="0B2545"/>
                <w:sz w:val="19"/>
              </w:rPr>
              <w:t>WhatsApp / Telegram</w:t>
            </w:r>
          </w:p>
        </w:tc>
        <w:tc>
          <w:tcPr>
            <w:tcW w:type="dxa" w:w="276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Персональная коммуникация и закрытые обновления, не массовый спам.</w:t>
            </w:r>
          </w:p>
        </w:tc>
        <w:tc>
          <w:tcPr>
            <w:tcW w:type="dxa" w:w="318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Подтверждения, shortlist, alerts, приглашения и сервисные сообщения.</w:t>
            </w:r>
          </w:p>
        </w:tc>
        <w:tc>
          <w:tcPr>
            <w:tcW w:type="dxa" w:w="180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Подтвердить следующий шаг.</w:t>
            </w:r>
          </w:p>
        </w:tc>
      </w:tr>
    </w:tbl>
    <w:p>
      <w:pPr>
        <w:spacing w:before="0" w:after="40" w:line="264" w:lineRule="auto"/>
        <w:jc w:val="left"/>
      </w:pPr>
    </w:p>
    <w:p>
      <w:pPr>
        <w:pStyle w:val="Heading2"/>
        <w:keepNext/>
      </w:pPr>
      <w:r>
        <w:t>14.4. Архитектура сообщений</w:t>
      </w:r>
    </w:p>
    <w:tbl>
      <w:tblPr>
        <w:tblW w:type="dxa" w:w="9360"/>
        <w:jc w:val="left"/>
        <w:tblLayout w:type="fixed"/>
        <w:tblLook w:firstColumn="1" w:firstRow="1" w:lastColumn="0" w:lastRow="0" w:noHBand="0" w:noVBand="1" w:val="04A0"/>
        <w:tblInd w:w="120" w:type="dxa"/>
        <w:tblBorders>
          <w:top w:val="single" w:sz="6" w:space="0" w:color="D6DCE2"/>
          <w:left w:val="single" w:sz="6" w:space="0" w:color="D6DCE2"/>
          <w:bottom w:val="single" w:sz="6" w:space="0" w:color="D6DCE2"/>
          <w:right w:val="single" w:sz="6" w:space="0" w:color="D6DCE2"/>
          <w:insideH w:val="single" w:sz="6" w:space="0" w:color="D6DCE2"/>
          <w:insideV w:val="single" w:sz="6" w:space="0" w:color="D6DCE2"/>
        </w:tblBorders>
      </w:tblPr>
      <w:tblGrid>
        <w:gridCol w:w="2040"/>
        <w:gridCol w:w="4560"/>
        <w:gridCol w:w="2760"/>
      </w:tblGrid>
      <w:tr>
        <w:trPr>
          <w:tblHeader w:val="true"/>
          <w:cantSplit/>
        </w:trPr>
        <w:tc>
          <w:tcPr>
            <w:tcW w:type="dxa" w:w="2040"/>
            <w:shd w:fill="0B2545"/>
            <w:tcMar>
              <w:top w:w="100" w:type="dxa"/>
              <w:start w:w="130" w:type="dxa"/>
              <w:bottom w:w="100" w:type="dxa"/>
              <w:end w:w="130" w:type="dxa"/>
            </w:tcMar>
            <w:vAlign w:val="center"/>
          </w:tcPr>
          <w:p>
            <w:pPr>
              <w:spacing w:after="0" w:line="240" w:lineRule="auto"/>
            </w:pPr>
            <w:r>
              <w:rPr>
                <w:rFonts w:ascii="Aptos" w:hAnsi="Aptos" w:eastAsia="Aptos"/>
                <w:b/>
                <w:color w:val="FFFFFF"/>
                <w:sz w:val="19"/>
              </w:rPr>
              <w:t>АУДИТОРИЯ</w:t>
            </w:r>
          </w:p>
        </w:tc>
        <w:tc>
          <w:tcPr>
            <w:tcW w:type="dxa" w:w="4560"/>
            <w:shd w:fill="0B2545"/>
            <w:tcMar>
              <w:top w:w="100" w:type="dxa"/>
              <w:start w:w="130" w:type="dxa"/>
              <w:bottom w:w="100" w:type="dxa"/>
              <w:end w:w="130" w:type="dxa"/>
            </w:tcMar>
            <w:vAlign w:val="center"/>
          </w:tcPr>
          <w:p>
            <w:pPr>
              <w:spacing w:after="0" w:line="240" w:lineRule="auto"/>
            </w:pPr>
            <w:r>
              <w:rPr>
                <w:rFonts w:ascii="Aptos" w:hAnsi="Aptos" w:eastAsia="Aptos"/>
                <w:b/>
                <w:color w:val="FFFFFF"/>
                <w:sz w:val="19"/>
              </w:rPr>
              <w:t>ГЛАВНЫЙ ПОСЫЛ</w:t>
            </w:r>
          </w:p>
        </w:tc>
        <w:tc>
          <w:tcPr>
            <w:tcW w:type="dxa" w:w="2760"/>
            <w:shd w:fill="0B2545"/>
            <w:tcMar>
              <w:top w:w="100" w:type="dxa"/>
              <w:start w:w="130" w:type="dxa"/>
              <w:bottom w:w="100" w:type="dxa"/>
              <w:end w:w="130" w:type="dxa"/>
            </w:tcMar>
            <w:vAlign w:val="center"/>
          </w:tcPr>
          <w:p>
            <w:pPr>
              <w:spacing w:after="0" w:line="240" w:lineRule="auto"/>
            </w:pPr>
            <w:r>
              <w:rPr>
                <w:rFonts w:ascii="Aptos" w:hAnsi="Aptos" w:eastAsia="Aptos"/>
                <w:b/>
                <w:color w:val="FFFFFF"/>
                <w:sz w:val="19"/>
              </w:rPr>
              <w:t>ДОКАЗАТЕЛЬСТВО</w:t>
            </w:r>
          </w:p>
        </w:tc>
      </w:tr>
      <w:tr>
        <w:trPr>
          <w:cantSplit/>
        </w:trPr>
        <w:tc>
          <w:tcPr>
            <w:tcW w:type="dxa" w:w="2040"/>
            <w:tcMar>
              <w:top w:w="100" w:type="dxa"/>
              <w:start w:w="130" w:type="dxa"/>
              <w:bottom w:w="100" w:type="dxa"/>
              <w:end w:w="130" w:type="dxa"/>
            </w:tcMar>
            <w:vAlign w:val="center"/>
          </w:tcPr>
          <w:p>
            <w:pPr>
              <w:spacing w:after="0" w:line="252" w:lineRule="auto"/>
            </w:pPr>
            <w:r>
              <w:rPr>
                <w:rFonts w:ascii="Aptos" w:hAnsi="Aptos" w:eastAsia="Aptos"/>
                <w:b/>
                <w:color w:val="0B2545"/>
                <w:sz w:val="19"/>
              </w:rPr>
              <w:t>Собственник</w:t>
            </w:r>
          </w:p>
        </w:tc>
        <w:tc>
          <w:tcPr>
            <w:tcW w:type="dxa" w:w="4560"/>
            <w:tcMar>
              <w:top w:w="100" w:type="dxa"/>
              <w:start w:w="130" w:type="dxa"/>
              <w:bottom w:w="100" w:type="dxa"/>
              <w:end w:w="130" w:type="dxa"/>
            </w:tcMar>
            <w:vAlign w:val="center"/>
          </w:tcPr>
          <w:p>
            <w:pPr>
              <w:spacing w:after="0" w:line="252" w:lineRule="auto"/>
            </w:pPr>
            <w:r>
              <w:rPr>
                <w:rFonts w:ascii="Aptos" w:hAnsi="Aptos" w:eastAsia="Aptos"/>
                <w:b w:val="0"/>
                <w:color w:val="1F2933"/>
                <w:sz w:val="19"/>
              </w:rPr>
              <w:t>Вы владеете активом; Ignatev Estate обеспечивает локальный контроль, прозрачную экономику и подготовленный выход.</w:t>
            </w:r>
          </w:p>
        </w:tc>
        <w:tc>
          <w:tcPr>
            <w:tcW w:type="dxa" w:w="2760"/>
            <w:tcMar>
              <w:top w:w="100" w:type="dxa"/>
              <w:start w:w="130" w:type="dxa"/>
              <w:bottom w:w="100" w:type="dxa"/>
              <w:end w:w="130" w:type="dxa"/>
            </w:tcMar>
            <w:vAlign w:val="center"/>
          </w:tcPr>
          <w:p>
            <w:pPr>
              <w:spacing w:after="0" w:line="252" w:lineRule="auto"/>
            </w:pPr>
            <w:r>
              <w:rPr>
                <w:rFonts w:ascii="Aptos" w:hAnsi="Aptos" w:eastAsia="Aptos"/>
                <w:b w:val="0"/>
                <w:color w:val="1F2933"/>
                <w:sz w:val="19"/>
              </w:rPr>
              <w:t>Owner report, P&amp;L, SLA, кейс улучшения, сохранность актива.</w:t>
            </w:r>
          </w:p>
        </w:tc>
      </w:tr>
      <w:tr>
        <w:trPr>
          <w:cantSplit/>
        </w:trPr>
        <w:tc>
          <w:tcPr>
            <w:tcW w:type="dxa" w:w="2040"/>
            <w:tcMar>
              <w:top w:w="100" w:type="dxa"/>
              <w:start w:w="130" w:type="dxa"/>
              <w:bottom w:w="100" w:type="dxa"/>
              <w:end w:w="130" w:type="dxa"/>
            </w:tcMar>
            <w:vAlign w:val="center"/>
            <w:shd w:fill="FAFBFC"/>
          </w:tcPr>
          <w:p>
            <w:pPr>
              <w:spacing w:after="0" w:line="252" w:lineRule="auto"/>
            </w:pPr>
            <w:r>
              <w:rPr>
                <w:rFonts w:ascii="Aptos" w:hAnsi="Aptos" w:eastAsia="Aptos"/>
                <w:b/>
                <w:color w:val="0B2545"/>
                <w:sz w:val="19"/>
              </w:rPr>
              <w:t>Гость / резидент</w:t>
            </w:r>
          </w:p>
        </w:tc>
        <w:tc>
          <w:tcPr>
            <w:tcW w:type="dxa" w:w="456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Проверенное проживание, понятная цена и прямой контакт с фактическим оператором.</w:t>
            </w:r>
          </w:p>
        </w:tc>
        <w:tc>
          <w:tcPr>
            <w:tcW w:type="dxa" w:w="276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Живые условия, время ответа, отзывы, правила и Managed / Operated by myUNO.</w:t>
            </w:r>
          </w:p>
        </w:tc>
      </w:tr>
      <w:tr>
        <w:trPr>
          <w:cantSplit/>
        </w:trPr>
        <w:tc>
          <w:tcPr>
            <w:tcW w:type="dxa" w:w="2040"/>
            <w:tcMar>
              <w:top w:w="100" w:type="dxa"/>
              <w:start w:w="130" w:type="dxa"/>
              <w:bottom w:w="100" w:type="dxa"/>
              <w:end w:w="130" w:type="dxa"/>
            </w:tcMar>
            <w:vAlign w:val="center"/>
          </w:tcPr>
          <w:p>
            <w:pPr>
              <w:spacing w:after="0" w:line="252" w:lineRule="auto"/>
            </w:pPr>
            <w:r>
              <w:rPr>
                <w:rFonts w:ascii="Aptos" w:hAnsi="Aptos" w:eastAsia="Aptos"/>
                <w:b/>
                <w:color w:val="0B2545"/>
                <w:sz w:val="19"/>
              </w:rPr>
              <w:t>Покупатель</w:t>
            </w:r>
          </w:p>
        </w:tc>
        <w:tc>
          <w:tcPr>
            <w:tcW w:type="dxa" w:w="4560"/>
            <w:tcMar>
              <w:top w:w="100" w:type="dxa"/>
              <w:start w:w="130" w:type="dxa"/>
              <w:bottom w:w="100" w:type="dxa"/>
              <w:end w:w="130" w:type="dxa"/>
            </w:tcMar>
            <w:vAlign w:val="center"/>
          </w:tcPr>
          <w:p>
            <w:pPr>
              <w:spacing w:after="0" w:line="252" w:lineRule="auto"/>
            </w:pPr>
            <w:r>
              <w:rPr>
                <w:rFonts w:ascii="Aptos" w:hAnsi="Aptos" w:eastAsia="Aptos"/>
                <w:b w:val="0"/>
                <w:color w:val="1F2933"/>
                <w:sz w:val="19"/>
              </w:rPr>
              <w:t>Покупайте актив, который можно проверить, эксплуатировать и впоследствии продать.</w:t>
            </w:r>
          </w:p>
        </w:tc>
        <w:tc>
          <w:tcPr>
            <w:tcW w:type="dxa" w:w="2760"/>
            <w:tcMar>
              <w:top w:w="100" w:type="dxa"/>
              <w:start w:w="130" w:type="dxa"/>
              <w:bottom w:w="100" w:type="dxa"/>
              <w:end w:w="130" w:type="dxa"/>
            </w:tcMar>
            <w:vAlign w:val="center"/>
          </w:tcPr>
          <w:p>
            <w:pPr>
              <w:spacing w:after="0" w:line="252" w:lineRule="auto"/>
            </w:pPr>
            <w:r>
              <w:rPr>
                <w:rFonts w:ascii="Aptos" w:hAnsi="Aptos" w:eastAsia="Aptos"/>
                <w:b w:val="0"/>
                <w:color w:val="1F2933"/>
                <w:sz w:val="19"/>
              </w:rPr>
              <w:t>ClearView, операционная история, data room и готовность управлять.</w:t>
            </w:r>
          </w:p>
        </w:tc>
      </w:tr>
      <w:tr>
        <w:trPr>
          <w:cantSplit/>
        </w:trPr>
        <w:tc>
          <w:tcPr>
            <w:tcW w:type="dxa" w:w="2040"/>
            <w:tcMar>
              <w:top w:w="100" w:type="dxa"/>
              <w:start w:w="130" w:type="dxa"/>
              <w:bottom w:w="100" w:type="dxa"/>
              <w:end w:w="130" w:type="dxa"/>
            </w:tcMar>
            <w:vAlign w:val="center"/>
            <w:shd w:fill="FAFBFC"/>
          </w:tcPr>
          <w:p>
            <w:pPr>
              <w:spacing w:after="0" w:line="252" w:lineRule="auto"/>
            </w:pPr>
            <w:r>
              <w:rPr>
                <w:rFonts w:ascii="Aptos" w:hAnsi="Aptos" w:eastAsia="Aptos"/>
                <w:b/>
                <w:color w:val="0B2545"/>
                <w:sz w:val="19"/>
              </w:rPr>
              <w:t>Девелопер / hotel owner</w:t>
            </w:r>
          </w:p>
        </w:tc>
        <w:tc>
          <w:tcPr>
            <w:tcW w:type="dxa" w:w="456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Оператор превращает недвижимость в доказуемый продукт и исправляет разрыв между обещанием и исполнением.</w:t>
            </w:r>
          </w:p>
        </w:tc>
        <w:tc>
          <w:tcPr>
            <w:tcW w:type="dxa" w:w="276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Pre-opening review, turnaround plan, модель GOP / NOI и стандарты.</w:t>
            </w:r>
          </w:p>
        </w:tc>
      </w:tr>
      <w:tr>
        <w:trPr>
          <w:cantSplit/>
        </w:trPr>
        <w:tc>
          <w:tcPr>
            <w:tcW w:type="dxa" w:w="2040"/>
            <w:tcMar>
              <w:top w:w="100" w:type="dxa"/>
              <w:start w:w="130" w:type="dxa"/>
              <w:bottom w:w="100" w:type="dxa"/>
              <w:end w:w="130" w:type="dxa"/>
            </w:tcMar>
            <w:vAlign w:val="center"/>
          </w:tcPr>
          <w:p>
            <w:pPr>
              <w:spacing w:after="0" w:line="252" w:lineRule="auto"/>
            </w:pPr>
            <w:r>
              <w:rPr>
                <w:rFonts w:ascii="Aptos" w:hAnsi="Aptos" w:eastAsia="Aptos"/>
                <w:b/>
                <w:color w:val="0B2545"/>
                <w:sz w:val="19"/>
              </w:rPr>
              <w:t>Агент / партнёр</w:t>
            </w:r>
          </w:p>
        </w:tc>
        <w:tc>
          <w:tcPr>
            <w:tcW w:type="dxa" w:w="4560"/>
            <w:tcMar>
              <w:top w:w="100" w:type="dxa"/>
              <w:start w:w="130" w:type="dxa"/>
              <w:bottom w:w="100" w:type="dxa"/>
              <w:end w:w="130" w:type="dxa"/>
            </w:tcMar>
            <w:vAlign w:val="center"/>
          </w:tcPr>
          <w:p>
            <w:pPr>
              <w:spacing w:after="0" w:line="252" w:lineRule="auto"/>
            </w:pPr>
            <w:r>
              <w:rPr>
                <w:rFonts w:ascii="Aptos" w:hAnsi="Aptos" w:eastAsia="Aptos"/>
                <w:b w:val="0"/>
                <w:color w:val="1F2933"/>
                <w:sz w:val="19"/>
              </w:rPr>
              <w:t>Достоверный инвентарь, быстрые подтверждения и прозрачная комиссия.</w:t>
            </w:r>
          </w:p>
        </w:tc>
        <w:tc>
          <w:tcPr>
            <w:tcW w:type="dxa" w:w="2760"/>
            <w:tcMar>
              <w:top w:w="100" w:type="dxa"/>
              <w:start w:w="130" w:type="dxa"/>
              <w:bottom w:w="100" w:type="dxa"/>
              <w:end w:w="130" w:type="dxa"/>
            </w:tcMar>
            <w:vAlign w:val="center"/>
          </w:tcPr>
          <w:p>
            <w:pPr>
              <w:spacing w:after="0" w:line="252" w:lineRule="auto"/>
            </w:pPr>
            <w:r>
              <w:rPr>
                <w:rFonts w:ascii="Aptos" w:hAnsi="Aptos" w:eastAsia="Aptos"/>
                <w:b w:val="0"/>
                <w:color w:val="1F2933"/>
                <w:sz w:val="19"/>
              </w:rPr>
              <w:t>Актуальный sales pack, SLA, provenance и расчёты.</w:t>
            </w:r>
          </w:p>
        </w:tc>
      </w:tr>
    </w:tbl>
    <w:p>
      <w:pPr>
        <w:spacing w:before="0" w:after="40" w:line="264" w:lineRule="auto"/>
        <w:jc w:val="left"/>
      </w:pPr>
    </w:p>
    <w:p>
      <w:pPr>
        <w:pStyle w:val="Heading2"/>
        <w:keepNext/>
      </w:pPr>
      <w:r>
        <w:t>14.5. Контентные направления</w:t>
      </w:r>
    </w:p>
    <w:p>
      <w:pPr>
        <w:pStyle w:val="ListBullet"/>
        <w:spacing w:after="80" w:line="264" w:lineRule="auto"/>
      </w:pPr>
      <w:r>
        <w:rPr>
          <w:rFonts w:ascii="Aptos" w:hAnsi="Aptos" w:eastAsia="Aptos"/>
          <w:color w:val="1F2933"/>
          <w:sz w:val="22"/>
        </w:rPr>
        <w:t>Owner economics: доход, расходы, GOP / NOI, отклонения, CAPEX и решения без раскрытия конфиденциальных данных.</w:t>
      </w:r>
    </w:p>
    <w:p>
      <w:pPr>
        <w:pStyle w:val="ListBullet"/>
        <w:spacing w:after="80" w:line="264" w:lineRule="auto"/>
      </w:pPr>
      <w:r>
        <w:rPr>
          <w:rFonts w:ascii="Aptos" w:hAnsi="Aptos" w:eastAsia="Aptos"/>
          <w:color w:val="1F2933"/>
          <w:sz w:val="22"/>
        </w:rPr>
        <w:t>Operations in evidence: inspections, стандарты, реакция на инциденты, revenue management и сохранность актива.</w:t>
      </w:r>
    </w:p>
    <w:p>
      <w:pPr>
        <w:pStyle w:val="ListBullet"/>
        <w:spacing w:after="80" w:line="264" w:lineRule="auto"/>
      </w:pPr>
      <w:r>
        <w:rPr>
          <w:rFonts w:ascii="Aptos" w:hAnsi="Aptos" w:eastAsia="Aptos"/>
          <w:color w:val="1F2933"/>
          <w:sz w:val="22"/>
        </w:rPr>
        <w:t>ClearView and market truth: проверка проектов, provenance, риски, ликвидность и отличие факта от прогноза.</w:t>
      </w:r>
    </w:p>
    <w:p>
      <w:pPr>
        <w:pStyle w:val="ListBullet"/>
        <w:spacing w:after="80" w:line="264" w:lineRule="auto"/>
      </w:pPr>
      <w:r>
        <w:rPr>
          <w:rFonts w:ascii="Aptos" w:hAnsi="Aptos" w:eastAsia="Aptos"/>
          <w:color w:val="1F2933"/>
          <w:sz w:val="22"/>
        </w:rPr>
        <w:t>Asset stories: объект, команда, район, сценарии проживания и причина бронировать напрямую.</w:t>
      </w:r>
    </w:p>
    <w:p>
      <w:pPr>
        <w:pStyle w:val="ListBullet"/>
        <w:spacing w:after="80" w:line="264" w:lineRule="auto"/>
      </w:pPr>
      <w:r>
        <w:rPr>
          <w:rFonts w:ascii="Aptos" w:hAnsi="Aptos" w:eastAsia="Aptos"/>
          <w:color w:val="1F2933"/>
          <w:sz w:val="22"/>
        </w:rPr>
        <w:t>Founder judgement: позиция Павла по рынку, сложным решениям, переговорам и ответственности.</w:t>
      </w:r>
    </w:p>
    <w:p>
      <w:pPr>
        <w:pStyle w:val="ListBullet"/>
        <w:spacing w:after="80" w:line="264" w:lineRule="auto"/>
      </w:pPr>
      <w:r>
        <w:rPr>
          <w:rFonts w:ascii="Aptos" w:hAnsi="Aptos" w:eastAsia="Aptos"/>
          <w:color w:val="1F2933"/>
          <w:sz w:val="22"/>
        </w:rPr>
        <w:t>Guest proof: реальные вопросы гостей, отзывы, повторные визиты и улучшения после обратной связи.</w:t>
      </w:r>
    </w:p>
    <w:p>
      <w:pPr>
        <w:pStyle w:val="ListBullet"/>
        <w:spacing w:after="80" w:line="264" w:lineRule="auto"/>
      </w:pPr>
      <w:r>
        <w:rPr>
          <w:rFonts w:ascii="Aptos" w:hAnsi="Aptos" w:eastAsia="Aptos"/>
          <w:color w:val="1F2933"/>
          <w:sz w:val="22"/>
        </w:rPr>
        <w:t>Developer and partner readiness: что требуется для открытия, управления, передачи спроса и прозрачной совместной работы.</w:t>
      </w:r>
    </w:p>
    <w:p>
      <w:pPr>
        <w:pStyle w:val="Heading2"/>
        <w:keepNext/>
      </w:pPr>
      <w:r>
        <w:t>14.6. Производственный ритм</w:t>
      </w:r>
    </w:p>
    <w:p>
      <w:pPr>
        <w:spacing w:before="0" w:after="120" w:line="264" w:lineRule="auto"/>
        <w:jc w:val="left"/>
      </w:pPr>
      <w:r>
        <w:rPr>
          <w:rFonts w:ascii="Aptos" w:hAnsi="Aptos" w:eastAsia="Aptos"/>
          <w:b w:val="0"/>
          <w:i w:val="0"/>
          <w:color w:val="1F2933"/>
          <w:sz w:val="22"/>
        </w:rPr>
        <w:t>Начальный ритм вводится после назначения ответственного редактора и может корректироваться по данным. Один первичный материал перерабатывается под формат каждого канала, но не копируется механически.</w:t>
      </w:r>
    </w:p>
    <w:tbl>
      <w:tblPr>
        <w:tblW w:type="dxa" w:w="9360"/>
        <w:jc w:val="left"/>
        <w:tblLayout w:type="fixed"/>
        <w:tblLook w:firstColumn="1" w:firstRow="1" w:lastColumn="0" w:lastRow="0" w:noHBand="0" w:noVBand="1" w:val="04A0"/>
        <w:tblInd w:w="120" w:type="dxa"/>
        <w:tblBorders>
          <w:top w:val="single" w:sz="6" w:space="0" w:color="D6DCE2"/>
          <w:left w:val="single" w:sz="6" w:space="0" w:color="D6DCE2"/>
          <w:bottom w:val="single" w:sz="6" w:space="0" w:color="D6DCE2"/>
          <w:right w:val="single" w:sz="6" w:space="0" w:color="D6DCE2"/>
          <w:insideH w:val="single" w:sz="6" w:space="0" w:color="D6DCE2"/>
          <w:insideV w:val="single" w:sz="6" w:space="0" w:color="D6DCE2"/>
        </w:tblBorders>
      </w:tblPr>
      <w:tblGrid>
        <w:gridCol w:w="2460"/>
        <w:gridCol w:w="3180"/>
        <w:gridCol w:w="3720"/>
      </w:tblGrid>
      <w:tr>
        <w:trPr>
          <w:tblHeader w:val="true"/>
          <w:cantSplit/>
        </w:trPr>
        <w:tc>
          <w:tcPr>
            <w:tcW w:type="dxa" w:w="2460"/>
            <w:shd w:fill="0B2545"/>
            <w:tcMar>
              <w:top w:w="100" w:type="dxa"/>
              <w:start w:w="130" w:type="dxa"/>
              <w:bottom w:w="100" w:type="dxa"/>
              <w:end w:w="130" w:type="dxa"/>
            </w:tcMar>
            <w:vAlign w:val="center"/>
          </w:tcPr>
          <w:p>
            <w:pPr>
              <w:spacing w:after="0" w:line="240" w:lineRule="auto"/>
            </w:pPr>
            <w:r>
              <w:rPr>
                <w:rFonts w:ascii="Aptos" w:hAnsi="Aptos" w:eastAsia="Aptos"/>
                <w:b/>
                <w:color w:val="FFFFFF"/>
                <w:sz w:val="19"/>
              </w:rPr>
              <w:t>ПОВЕРХНОСТЬ</w:t>
            </w:r>
          </w:p>
        </w:tc>
        <w:tc>
          <w:tcPr>
            <w:tcW w:type="dxa" w:w="3180"/>
            <w:shd w:fill="0B2545"/>
            <w:tcMar>
              <w:top w:w="100" w:type="dxa"/>
              <w:start w:w="130" w:type="dxa"/>
              <w:bottom w:w="100" w:type="dxa"/>
              <w:end w:w="130" w:type="dxa"/>
            </w:tcMar>
            <w:vAlign w:val="center"/>
          </w:tcPr>
          <w:p>
            <w:pPr>
              <w:spacing w:after="0" w:line="240" w:lineRule="auto"/>
            </w:pPr>
            <w:r>
              <w:rPr>
                <w:rFonts w:ascii="Aptos" w:hAnsi="Aptos" w:eastAsia="Aptos"/>
                <w:b/>
                <w:color w:val="FFFFFF"/>
                <w:sz w:val="19"/>
              </w:rPr>
              <w:t>МИНИМАЛЬНЫЙ РИТМ</w:t>
            </w:r>
          </w:p>
        </w:tc>
        <w:tc>
          <w:tcPr>
            <w:tcW w:type="dxa" w:w="3720"/>
            <w:shd w:fill="0B2545"/>
            <w:tcMar>
              <w:top w:w="100" w:type="dxa"/>
              <w:start w:w="130" w:type="dxa"/>
              <w:bottom w:w="100" w:type="dxa"/>
              <w:end w:w="130" w:type="dxa"/>
            </w:tcMar>
            <w:vAlign w:val="center"/>
          </w:tcPr>
          <w:p>
            <w:pPr>
              <w:spacing w:after="0" w:line="240" w:lineRule="auto"/>
            </w:pPr>
            <w:r>
              <w:rPr>
                <w:rFonts w:ascii="Aptos" w:hAnsi="Aptos" w:eastAsia="Aptos"/>
                <w:b/>
                <w:color w:val="FFFFFF"/>
                <w:sz w:val="19"/>
              </w:rPr>
              <w:t>ОСНОВНОЙ ФОРМАТ</w:t>
            </w:r>
          </w:p>
        </w:tc>
      </w:tr>
      <w:tr>
        <w:trPr>
          <w:cantSplit/>
        </w:trPr>
        <w:tc>
          <w:tcPr>
            <w:tcW w:type="dxa" w:w="2460"/>
            <w:tcMar>
              <w:top w:w="100" w:type="dxa"/>
              <w:start w:w="130" w:type="dxa"/>
              <w:bottom w:w="100" w:type="dxa"/>
              <w:end w:w="130" w:type="dxa"/>
            </w:tcMar>
            <w:vAlign w:val="center"/>
          </w:tcPr>
          <w:p>
            <w:pPr>
              <w:spacing w:after="0" w:line="252" w:lineRule="auto"/>
            </w:pPr>
            <w:r>
              <w:rPr>
                <w:rFonts w:ascii="Aptos" w:hAnsi="Aptos" w:eastAsia="Aptos"/>
                <w:b/>
                <w:color w:val="0B2545"/>
                <w:sz w:val="19"/>
              </w:rPr>
              <w:t>Pavel · LinkedIn</w:t>
            </w:r>
          </w:p>
        </w:tc>
        <w:tc>
          <w:tcPr>
            <w:tcW w:type="dxa" w:w="3180"/>
            <w:tcMar>
              <w:top w:w="100" w:type="dxa"/>
              <w:start w:w="130" w:type="dxa"/>
              <w:bottom w:w="100" w:type="dxa"/>
              <w:end w:w="130" w:type="dxa"/>
            </w:tcMar>
            <w:vAlign w:val="center"/>
          </w:tcPr>
          <w:p>
            <w:pPr>
              <w:spacing w:after="0" w:line="252" w:lineRule="auto"/>
            </w:pPr>
            <w:r>
              <w:rPr>
                <w:rFonts w:ascii="Aptos" w:hAnsi="Aptos" w:eastAsia="Aptos"/>
                <w:b w:val="0"/>
                <w:color w:val="1F2933"/>
                <w:sz w:val="19"/>
              </w:rPr>
              <w:t>2–3 публикации в неделю</w:t>
            </w:r>
          </w:p>
        </w:tc>
        <w:tc>
          <w:tcPr>
            <w:tcW w:type="dxa" w:w="3720"/>
            <w:tcMar>
              <w:top w:w="100" w:type="dxa"/>
              <w:start w:w="130" w:type="dxa"/>
              <w:bottom w:w="100" w:type="dxa"/>
              <w:end w:w="130" w:type="dxa"/>
            </w:tcMar>
            <w:vAlign w:val="center"/>
          </w:tcPr>
          <w:p>
            <w:pPr>
              <w:spacing w:after="0" w:line="252" w:lineRule="auto"/>
            </w:pPr>
            <w:r>
              <w:rPr>
                <w:rFonts w:ascii="Aptos" w:hAnsi="Aptos" w:eastAsia="Aptos"/>
                <w:b w:val="0"/>
                <w:color w:val="1F2933"/>
                <w:sz w:val="19"/>
              </w:rPr>
              <w:t>Суждение, кейс, документ, короткое видео.</w:t>
            </w:r>
          </w:p>
        </w:tc>
      </w:tr>
      <w:tr>
        <w:trPr>
          <w:cantSplit/>
        </w:trPr>
        <w:tc>
          <w:tcPr>
            <w:tcW w:type="dxa" w:w="2460"/>
            <w:tcMar>
              <w:top w:w="100" w:type="dxa"/>
              <w:start w:w="130" w:type="dxa"/>
              <w:bottom w:w="100" w:type="dxa"/>
              <w:end w:w="130" w:type="dxa"/>
            </w:tcMar>
            <w:vAlign w:val="center"/>
            <w:shd w:fill="FAFBFC"/>
          </w:tcPr>
          <w:p>
            <w:pPr>
              <w:spacing w:after="0" w:line="252" w:lineRule="auto"/>
            </w:pPr>
            <w:r>
              <w:rPr>
                <w:rFonts w:ascii="Aptos" w:hAnsi="Aptos" w:eastAsia="Aptos"/>
                <w:b/>
                <w:color w:val="0B2545"/>
                <w:sz w:val="19"/>
              </w:rPr>
              <w:t>Ignatev Estate · LinkedIn / Facebook</w:t>
            </w:r>
          </w:p>
        </w:tc>
        <w:tc>
          <w:tcPr>
            <w:tcW w:type="dxa" w:w="318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1–2 содержательные публикации в неделю</w:t>
            </w:r>
          </w:p>
        </w:tc>
        <w:tc>
          <w:tcPr>
            <w:tcW w:type="dxa" w:w="372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Owner evidence, ClearView, B2B-кейс.</w:t>
            </w:r>
          </w:p>
        </w:tc>
      </w:tr>
      <w:tr>
        <w:trPr>
          <w:cantSplit/>
        </w:trPr>
        <w:tc>
          <w:tcPr>
            <w:tcW w:type="dxa" w:w="2460"/>
            <w:tcMar>
              <w:top w:w="100" w:type="dxa"/>
              <w:start w:w="130" w:type="dxa"/>
              <w:bottom w:w="100" w:type="dxa"/>
              <w:end w:w="130" w:type="dxa"/>
            </w:tcMar>
            <w:vAlign w:val="center"/>
          </w:tcPr>
          <w:p>
            <w:pPr>
              <w:spacing w:after="0" w:line="252" w:lineRule="auto"/>
            </w:pPr>
            <w:r>
              <w:rPr>
                <w:rFonts w:ascii="Aptos" w:hAnsi="Aptos" w:eastAsia="Aptos"/>
                <w:b/>
                <w:color w:val="0B2545"/>
                <w:sz w:val="19"/>
              </w:rPr>
              <w:t>myUNO · Instagram / Facebook</w:t>
            </w:r>
          </w:p>
        </w:tc>
        <w:tc>
          <w:tcPr>
            <w:tcW w:type="dxa" w:w="3180"/>
            <w:tcMar>
              <w:top w:w="100" w:type="dxa"/>
              <w:start w:w="130" w:type="dxa"/>
              <w:bottom w:w="100" w:type="dxa"/>
              <w:end w:w="130" w:type="dxa"/>
            </w:tcMar>
            <w:vAlign w:val="center"/>
          </w:tcPr>
          <w:p>
            <w:pPr>
              <w:spacing w:after="0" w:line="252" w:lineRule="auto"/>
            </w:pPr>
            <w:r>
              <w:rPr>
                <w:rFonts w:ascii="Aptos" w:hAnsi="Aptos" w:eastAsia="Aptos"/>
                <w:b w:val="0"/>
                <w:color w:val="1F2933"/>
                <w:sz w:val="19"/>
              </w:rPr>
              <w:t>3–5 публикаций или Reels в неделю; Stories по факту операций</w:t>
            </w:r>
          </w:p>
        </w:tc>
        <w:tc>
          <w:tcPr>
            <w:tcW w:type="dxa" w:w="3720"/>
            <w:tcMar>
              <w:top w:w="100" w:type="dxa"/>
              <w:start w:w="130" w:type="dxa"/>
              <w:bottom w:w="100" w:type="dxa"/>
              <w:end w:w="130" w:type="dxa"/>
            </w:tcMar>
            <w:vAlign w:val="center"/>
          </w:tcPr>
          <w:p>
            <w:pPr>
              <w:spacing w:after="0" w:line="252" w:lineRule="auto"/>
            </w:pPr>
            <w:r>
              <w:rPr>
                <w:rFonts w:ascii="Aptos" w:hAnsi="Aptos" w:eastAsia="Aptos"/>
                <w:b w:val="0"/>
                <w:color w:val="1F2933"/>
                <w:sz w:val="19"/>
              </w:rPr>
              <w:t>Объекты, команда, сервис, stay offer.</w:t>
            </w:r>
          </w:p>
        </w:tc>
      </w:tr>
      <w:tr>
        <w:trPr>
          <w:cantSplit/>
        </w:trPr>
        <w:tc>
          <w:tcPr>
            <w:tcW w:type="dxa" w:w="2460"/>
            <w:tcMar>
              <w:top w:w="100" w:type="dxa"/>
              <w:start w:w="130" w:type="dxa"/>
              <w:bottom w:w="100" w:type="dxa"/>
              <w:end w:w="130" w:type="dxa"/>
            </w:tcMar>
            <w:vAlign w:val="center"/>
            <w:shd w:fill="FAFBFC"/>
          </w:tcPr>
          <w:p>
            <w:pPr>
              <w:spacing w:after="0" w:line="252" w:lineRule="auto"/>
            </w:pPr>
            <w:r>
              <w:rPr>
                <w:rFonts w:ascii="Aptos" w:hAnsi="Aptos" w:eastAsia="Aptos"/>
                <w:b/>
                <w:color w:val="0B2545"/>
                <w:sz w:val="19"/>
              </w:rPr>
              <w:t>YouTube</w:t>
            </w:r>
          </w:p>
        </w:tc>
        <w:tc>
          <w:tcPr>
            <w:tcW w:type="dxa" w:w="318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2 глубоких материала в месяц плюс производные shorts</w:t>
            </w:r>
          </w:p>
        </w:tc>
        <w:tc>
          <w:tcPr>
            <w:tcW w:type="dxa" w:w="372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Разбор, интервью, walkthrough, briefing.</w:t>
            </w:r>
          </w:p>
        </w:tc>
      </w:tr>
      <w:tr>
        <w:trPr>
          <w:cantSplit/>
        </w:trPr>
        <w:tc>
          <w:tcPr>
            <w:tcW w:type="dxa" w:w="2460"/>
            <w:tcMar>
              <w:top w:w="100" w:type="dxa"/>
              <w:start w:w="130" w:type="dxa"/>
              <w:bottom w:w="100" w:type="dxa"/>
              <w:end w:w="130" w:type="dxa"/>
            </w:tcMar>
            <w:vAlign w:val="center"/>
          </w:tcPr>
          <w:p>
            <w:pPr>
              <w:spacing w:after="0" w:line="252" w:lineRule="auto"/>
            </w:pPr>
            <w:r>
              <w:rPr>
                <w:rFonts w:ascii="Aptos" w:hAnsi="Aptos" w:eastAsia="Aptos"/>
                <w:b/>
                <w:color w:val="0B2545"/>
                <w:sz w:val="19"/>
              </w:rPr>
              <w:t>Email</w:t>
            </w:r>
          </w:p>
        </w:tc>
        <w:tc>
          <w:tcPr>
            <w:tcW w:type="dxa" w:w="3180"/>
            <w:tcMar>
              <w:top w:w="100" w:type="dxa"/>
              <w:start w:w="130" w:type="dxa"/>
              <w:bottom w:w="100" w:type="dxa"/>
              <w:end w:w="130" w:type="dxa"/>
            </w:tcMar>
            <w:vAlign w:val="center"/>
          </w:tcPr>
          <w:p>
            <w:pPr>
              <w:spacing w:after="0" w:line="252" w:lineRule="auto"/>
            </w:pPr>
            <w:r>
              <w:rPr>
                <w:rFonts w:ascii="Aptos" w:hAnsi="Aptos" w:eastAsia="Aptos"/>
                <w:b w:val="0"/>
                <w:color w:val="1F2933"/>
                <w:sz w:val="19"/>
              </w:rPr>
              <w:t>Owner brief ежемесячно; guest lifecycle по событию</w:t>
            </w:r>
          </w:p>
        </w:tc>
        <w:tc>
          <w:tcPr>
            <w:tcW w:type="dxa" w:w="3720"/>
            <w:tcMar>
              <w:top w:w="100" w:type="dxa"/>
              <w:start w:w="130" w:type="dxa"/>
              <w:bottom w:w="100" w:type="dxa"/>
              <w:end w:w="130" w:type="dxa"/>
            </w:tcMar>
            <w:vAlign w:val="center"/>
          </w:tcPr>
          <w:p>
            <w:pPr>
              <w:spacing w:after="0" w:line="252" w:lineRule="auto"/>
            </w:pPr>
            <w:r>
              <w:rPr>
                <w:rFonts w:ascii="Aptos" w:hAnsi="Aptos" w:eastAsia="Aptos"/>
                <w:b w:val="0"/>
                <w:color w:val="1F2933"/>
                <w:sz w:val="19"/>
              </w:rPr>
              <w:t>Персонализированный digest и автоматические цепочки.</w:t>
            </w:r>
          </w:p>
        </w:tc>
      </w:tr>
    </w:tbl>
    <w:p>
      <w:pPr>
        <w:spacing w:before="0" w:after="40" w:line="264" w:lineRule="auto"/>
        <w:jc w:val="left"/>
      </w:pPr>
    </w:p>
    <w:p>
      <w:pPr>
        <w:pStyle w:val="Heading2"/>
        <w:keepNext/>
      </w:pPr>
      <w:r>
        <w:t>14.7. Конверсионная архитектура</w:t>
      </w:r>
    </w:p>
    <w:p>
      <w:pPr>
        <w:spacing w:before="0" w:after="120" w:line="264" w:lineRule="auto"/>
        <w:jc w:val="left"/>
      </w:pPr>
      <w:r>
        <w:rPr>
          <w:rFonts w:ascii="Aptos" w:hAnsi="Aptos" w:eastAsia="Aptos"/>
          <w:b w:val="0"/>
          <w:i w:val="0"/>
          <w:color w:val="1F2933"/>
          <w:sz w:val="22"/>
        </w:rPr>
        <w:t>Социальная сеть не является местом хранения клиентских отношений. Каждый содержательный контакт переводится на каноническую поверхность компании и связывается с Party ID.</w:t>
      </w:r>
    </w:p>
    <w:tbl>
      <w:tblPr>
        <w:tblW w:type="dxa" w:w="9360"/>
        <w:jc w:val="left"/>
        <w:tblLook w:firstColumn="1" w:firstRow="1" w:lastColumn="0" w:lastRow="0" w:noHBand="0" w:noVBand="1" w:val="04A0"/>
        <w:tblInd w:w="120" w:type="dxa"/>
        <w:tblBorders>
          <w:top w:val="single" w:sz="4" w:space="0" w:color="E8EEF5"/>
          <w:left w:val="single" w:sz="4" w:space="0" w:color="E8EEF5"/>
          <w:bottom w:val="single" w:sz="4" w:space="0" w:color="E8EEF5"/>
          <w:right w:val="single" w:sz="4" w:space="0" w:color="E8EEF5"/>
          <w:insideH w:val="single" w:sz="4" w:space="0" w:color="E8EEF5"/>
          <w:insideV w:val="single" w:sz="4" w:space="0" w:color="E8EEF5"/>
        </w:tblBorders>
      </w:tblPr>
      <w:tblGrid>
        <w:gridCol w:w="9360"/>
      </w:tblGrid>
      <w:tr>
        <w:tc>
          <w:tcPr>
            <w:tcW w:type="dxa" w:w="9360"/>
            <w:shd w:fill="E8EEF5"/>
            <w:tcMar>
              <w:top w:w="150" w:type="dxa"/>
              <w:start w:w="180" w:type="dxa"/>
              <w:bottom w:w="150" w:type="dxa"/>
              <w:end w:w="180" w:type="dxa"/>
            </w:tcMar>
          </w:tcPr>
          <w:p>
            <w:pPr>
              <w:spacing w:after="0" w:line="269" w:lineRule="auto"/>
            </w:pPr>
            <w:r>
              <w:rPr>
                <w:rFonts w:ascii="Aptos" w:hAnsi="Aptos" w:eastAsia="Aptos"/>
                <w:b/>
                <w:color w:val="0B2545"/>
                <w:sz w:val="21"/>
              </w:rPr>
              <w:t xml:space="preserve">Основной маршрут. </w:t>
            </w:r>
            <w:r>
              <w:rPr>
                <w:rFonts w:ascii="Aptos" w:hAnsi="Aptos" w:eastAsia="Aptos"/>
                <w:color w:val="1F2933"/>
                <w:sz w:val="21"/>
              </w:rPr>
              <w:t>Контент → аудитория и намерение → профильная landing page → измеримый CTA → Party ID и источник → квалификация → бронирование, asset review, buyer briefing или partner onboarding → nurture и повторный контакт.</w:t>
            </w:r>
          </w:p>
        </w:tc>
      </w:tr>
    </w:tbl>
    <w:p>
      <w:pPr>
        <w:spacing w:before="0" w:after="40" w:line="264" w:lineRule="auto"/>
        <w:jc w:val="left"/>
      </w:pPr>
    </w:p>
    <w:p>
      <w:pPr>
        <w:pStyle w:val="ListBullet"/>
        <w:spacing w:after="80" w:line="264" w:lineRule="auto"/>
      </w:pPr>
      <w:r>
        <w:rPr>
          <w:rFonts w:ascii="Aptos" w:hAnsi="Aptos" w:eastAsia="Aptos"/>
          <w:color w:val="1F2933"/>
          <w:sz w:val="22"/>
        </w:rPr>
        <w:t>В каждом материале используется один CTA, соответствующий аудитории и стадии решения.</w:t>
      </w:r>
    </w:p>
    <w:p>
      <w:pPr>
        <w:pStyle w:val="ListBullet"/>
        <w:spacing w:after="80" w:line="264" w:lineRule="auto"/>
      </w:pPr>
      <w:r>
        <w:rPr>
          <w:rFonts w:ascii="Aptos" w:hAnsi="Aptos" w:eastAsia="Aptos"/>
          <w:color w:val="1F2933"/>
          <w:sz w:val="22"/>
        </w:rPr>
        <w:t>Все ссылки получают UTM-разметку; формы, звонки, сообщения и бронирования передают источник в CRM.</w:t>
      </w:r>
    </w:p>
    <w:p>
      <w:pPr>
        <w:pStyle w:val="ListBullet"/>
        <w:spacing w:after="80" w:line="264" w:lineRule="auto"/>
      </w:pPr>
      <w:r>
        <w:rPr>
          <w:rFonts w:ascii="Aptos" w:hAnsi="Aptos" w:eastAsia="Aptos"/>
          <w:color w:val="1F2933"/>
          <w:sz w:val="22"/>
        </w:rPr>
        <w:t>DM используется для начала разговора, но существенный контекст и следующий шаг фиксируются в корпоративной системе.</w:t>
      </w:r>
    </w:p>
    <w:p>
      <w:pPr>
        <w:pStyle w:val="ListBullet"/>
        <w:spacing w:after="80" w:line="264" w:lineRule="auto"/>
      </w:pPr>
      <w:r>
        <w:rPr>
          <w:rFonts w:ascii="Aptos" w:hAnsi="Aptos" w:eastAsia="Aptos"/>
          <w:color w:val="1F2933"/>
          <w:sz w:val="22"/>
        </w:rPr>
        <w:t>Lead magnet допускается только если он помогает принять решение: owner report, market briefing, checklist или проверенный shortlist.</w:t>
      </w:r>
    </w:p>
    <w:p>
      <w:pPr>
        <w:pStyle w:val="Heading2"/>
        <w:keepNext/>
      </w:pPr>
      <w:r>
        <w:t>14.8. Платное продвижение</w:t>
      </w:r>
    </w:p>
    <w:p>
      <w:pPr>
        <w:spacing w:before="0" w:after="120" w:line="264" w:lineRule="auto"/>
        <w:jc w:val="left"/>
      </w:pPr>
      <w:r>
        <w:rPr>
          <w:rFonts w:ascii="Aptos" w:hAnsi="Aptos" w:eastAsia="Aptos"/>
          <w:b w:val="0"/>
          <w:i w:val="0"/>
          <w:color w:val="1F2933"/>
          <w:sz w:val="22"/>
        </w:rPr>
        <w:t>Платный трафик масштабирует только доказанную поверхность. Сначала компания подтверждает качество предложения, конверсию страницы и обработку лида, затем увеличивает бюджет.</w:t>
      </w:r>
    </w:p>
    <w:p>
      <w:pPr>
        <w:pStyle w:val="ListBullet"/>
        <w:spacing w:after="80" w:line="264" w:lineRule="auto"/>
      </w:pPr>
      <w:r>
        <w:rPr>
          <w:rFonts w:ascii="Aptos" w:hAnsi="Aptos" w:eastAsia="Aptos"/>
          <w:color w:val="1F2933"/>
          <w:sz w:val="22"/>
        </w:rPr>
        <w:t>Meta: ретаргетинг посетителей и вовлечённых аудиторий, lead campaigns для конкретного оффера, сообщения и selective prospecting.</w:t>
      </w:r>
    </w:p>
    <w:p>
      <w:pPr>
        <w:pStyle w:val="ListBullet"/>
        <w:spacing w:after="80" w:line="264" w:lineRule="auto"/>
      </w:pPr>
      <w:r>
        <w:rPr>
          <w:rFonts w:ascii="Aptos" w:hAnsi="Aptos" w:eastAsia="Aptos"/>
          <w:color w:val="1F2933"/>
          <w:sz w:val="22"/>
        </w:rPr>
        <w:t>Google: высокоинтентный поиск собственников, покупателей и гостей; защита брендовых запросов; hotel campaigns для подходящих активов.</w:t>
      </w:r>
    </w:p>
    <w:p>
      <w:pPr>
        <w:pStyle w:val="ListBullet"/>
        <w:spacing w:after="80" w:line="264" w:lineRule="auto"/>
      </w:pPr>
      <w:r>
        <w:rPr>
          <w:rFonts w:ascii="Aptos" w:hAnsi="Aptos" w:eastAsia="Aptos"/>
          <w:color w:val="1F2933"/>
          <w:sz w:val="22"/>
        </w:rPr>
        <w:t>LinkedIn: выборочное продвижение founder content, документов и B2B-предложений только при высокой ценности мандата.</w:t>
      </w:r>
    </w:p>
    <w:p>
      <w:pPr>
        <w:pStyle w:val="ListBullet"/>
        <w:spacing w:after="80" w:line="264" w:lineRule="auto"/>
      </w:pPr>
      <w:r>
        <w:rPr>
          <w:rFonts w:ascii="Aptos" w:hAnsi="Aptos" w:eastAsia="Aptos"/>
          <w:color w:val="1F2933"/>
          <w:sz w:val="22"/>
        </w:rPr>
        <w:t>Запрещено оптимизировать кампанию только по дешёвому лиду: учитываются квалификация, contribution margin, signed mandate и payback.</w:t>
      </w:r>
    </w:p>
    <w:p>
      <w:pPr>
        <w:pStyle w:val="Heading2"/>
        <w:keepNext/>
      </w:pPr>
      <w:r>
        <w:t>14.9. Управление контентом и репутацией</w:t>
      </w:r>
    </w:p>
    <w:p>
      <w:pPr>
        <w:spacing w:before="0" w:after="120" w:line="264" w:lineRule="auto"/>
        <w:jc w:val="left"/>
      </w:pPr>
      <w:r>
        <w:rPr>
          <w:rFonts w:ascii="Aptos" w:hAnsi="Aptos" w:eastAsia="Aptos"/>
          <w:b w:val="0"/>
          <w:i w:val="0"/>
          <w:color w:val="1F2933"/>
          <w:sz w:val="22"/>
        </w:rPr>
        <w:t>Компания ведёт единый editorial calendar, библиотеку исходных материалов и реестр разрешений. У каждого факта есть источник, дата и статус; у каждого изображения — объект, право использования и срок. Отзывы получают ответ, жалобы переходят в операционный incident workflow, а существенные обещания проходят проверку владельца функции.</w:t>
      </w:r>
    </w:p>
    <w:p>
      <w:pPr>
        <w:pStyle w:val="ListBullet"/>
        <w:spacing w:after="80" w:line="264" w:lineRule="auto"/>
      </w:pPr>
      <w:r>
        <w:rPr>
          <w:rFonts w:ascii="Aptos" w:hAnsi="Aptos" w:eastAsia="Aptos"/>
          <w:color w:val="1F2933"/>
          <w:sz w:val="22"/>
        </w:rPr>
        <w:t>Не публиковать гарантированную доходность, непроверенную цену, чужой объект как управляемый или результат без определения периода и базы.</w:t>
      </w:r>
    </w:p>
    <w:p>
      <w:pPr>
        <w:pStyle w:val="ListBullet"/>
        <w:spacing w:after="80" w:line="264" w:lineRule="auto"/>
      </w:pPr>
      <w:r>
        <w:rPr>
          <w:rFonts w:ascii="Aptos" w:hAnsi="Aptos" w:eastAsia="Aptos"/>
          <w:color w:val="1F2933"/>
          <w:sz w:val="22"/>
        </w:rPr>
        <w:t>Не раскрывать гостевые данные, конфиденциальный owner report, спор или изображение человека без необходимого основания.</w:t>
      </w:r>
    </w:p>
    <w:p>
      <w:pPr>
        <w:pStyle w:val="ListBullet"/>
        <w:spacing w:after="80" w:line="264" w:lineRule="auto"/>
      </w:pPr>
      <w:r>
        <w:rPr>
          <w:rFonts w:ascii="Aptos" w:hAnsi="Aptos" w:eastAsia="Aptos"/>
          <w:color w:val="1F2933"/>
          <w:sz w:val="22"/>
        </w:rPr>
        <w:t>Не создавать искусственную активность, не покупать аудиторию и не использовать массовые нерелевантные рассылки.</w:t>
      </w:r>
    </w:p>
    <w:p>
      <w:pPr>
        <w:pStyle w:val="Heading2"/>
        <w:keepNext/>
      </w:pPr>
      <w:r>
        <w:t>14.10. План ускорения на 90 дней</w:t>
      </w:r>
    </w:p>
    <w:tbl>
      <w:tblPr>
        <w:tblW w:type="dxa" w:w="9360"/>
        <w:jc w:val="left"/>
        <w:tblLayout w:type="fixed"/>
        <w:tblLook w:firstColumn="1" w:firstRow="1" w:lastColumn="0" w:lastRow="0" w:noHBand="0" w:noVBand="1" w:val="04A0"/>
        <w:tblInd w:w="120" w:type="dxa"/>
        <w:tblBorders>
          <w:top w:val="single" w:sz="6" w:space="0" w:color="D6DCE2"/>
          <w:left w:val="single" w:sz="6" w:space="0" w:color="D6DCE2"/>
          <w:bottom w:val="single" w:sz="6" w:space="0" w:color="D6DCE2"/>
          <w:right w:val="single" w:sz="6" w:space="0" w:color="D6DCE2"/>
          <w:insideH w:val="single" w:sz="6" w:space="0" w:color="D6DCE2"/>
          <w:insideV w:val="single" w:sz="6" w:space="0" w:color="D6DCE2"/>
        </w:tblBorders>
      </w:tblPr>
      <w:tblGrid>
        <w:gridCol w:w="1800"/>
        <w:gridCol w:w="4860"/>
        <w:gridCol w:w="2700"/>
      </w:tblGrid>
      <w:tr>
        <w:trPr>
          <w:tblHeader w:val="true"/>
          <w:cantSplit/>
        </w:trPr>
        <w:tc>
          <w:tcPr>
            <w:tcW w:type="dxa" w:w="1800"/>
            <w:shd w:fill="0B2545"/>
            <w:tcMar>
              <w:top w:w="100" w:type="dxa"/>
              <w:start w:w="130" w:type="dxa"/>
              <w:bottom w:w="100" w:type="dxa"/>
              <w:end w:w="130" w:type="dxa"/>
            </w:tcMar>
            <w:vAlign w:val="center"/>
          </w:tcPr>
          <w:p>
            <w:pPr>
              <w:spacing w:after="0" w:line="240" w:lineRule="auto"/>
            </w:pPr>
            <w:r>
              <w:rPr>
                <w:rFonts w:ascii="Aptos" w:hAnsi="Aptos" w:eastAsia="Aptos"/>
                <w:b/>
                <w:color w:val="FFFFFF"/>
                <w:sz w:val="19"/>
              </w:rPr>
              <w:t>ПЕРИОД</w:t>
            </w:r>
          </w:p>
        </w:tc>
        <w:tc>
          <w:tcPr>
            <w:tcW w:type="dxa" w:w="4860"/>
            <w:shd w:fill="0B2545"/>
            <w:tcMar>
              <w:top w:w="100" w:type="dxa"/>
              <w:start w:w="130" w:type="dxa"/>
              <w:bottom w:w="100" w:type="dxa"/>
              <w:end w:w="130" w:type="dxa"/>
            </w:tcMar>
            <w:vAlign w:val="center"/>
          </w:tcPr>
          <w:p>
            <w:pPr>
              <w:spacing w:after="0" w:line="240" w:lineRule="auto"/>
            </w:pPr>
            <w:r>
              <w:rPr>
                <w:rFonts w:ascii="Aptos" w:hAnsi="Aptos" w:eastAsia="Aptos"/>
                <w:b/>
                <w:color w:val="FFFFFF"/>
                <w:sz w:val="19"/>
              </w:rPr>
              <w:t>ПРИОРИТЕТ</w:t>
            </w:r>
          </w:p>
        </w:tc>
        <w:tc>
          <w:tcPr>
            <w:tcW w:type="dxa" w:w="2700"/>
            <w:shd w:fill="0B2545"/>
            <w:tcMar>
              <w:top w:w="100" w:type="dxa"/>
              <w:start w:w="130" w:type="dxa"/>
              <w:bottom w:w="100" w:type="dxa"/>
              <w:end w:w="130" w:type="dxa"/>
            </w:tcMar>
            <w:vAlign w:val="center"/>
          </w:tcPr>
          <w:p>
            <w:pPr>
              <w:spacing w:after="0" w:line="240" w:lineRule="auto"/>
            </w:pPr>
            <w:r>
              <w:rPr>
                <w:rFonts w:ascii="Aptos" w:hAnsi="Aptos" w:eastAsia="Aptos"/>
                <w:b/>
                <w:color w:val="FFFFFF"/>
                <w:sz w:val="19"/>
              </w:rPr>
              <w:t>РЕЗУЛЬТАТ</w:t>
            </w:r>
          </w:p>
        </w:tc>
      </w:tr>
      <w:tr>
        <w:trPr>
          <w:cantSplit/>
        </w:trPr>
        <w:tc>
          <w:tcPr>
            <w:tcW w:type="dxa" w:w="1800"/>
            <w:tcMar>
              <w:top w:w="100" w:type="dxa"/>
              <w:start w:w="130" w:type="dxa"/>
              <w:bottom w:w="100" w:type="dxa"/>
              <w:end w:w="130" w:type="dxa"/>
            </w:tcMar>
            <w:vAlign w:val="center"/>
          </w:tcPr>
          <w:p>
            <w:pPr>
              <w:spacing w:after="0" w:line="252" w:lineRule="auto"/>
            </w:pPr>
            <w:r>
              <w:rPr>
                <w:rFonts w:ascii="Aptos" w:hAnsi="Aptos" w:eastAsia="Aptos"/>
                <w:b/>
                <w:color w:val="0B2545"/>
                <w:sz w:val="19"/>
              </w:rPr>
              <w:t>0–30 дней</w:t>
            </w:r>
          </w:p>
        </w:tc>
        <w:tc>
          <w:tcPr>
            <w:tcW w:type="dxa" w:w="4860"/>
            <w:tcMar>
              <w:top w:w="100" w:type="dxa"/>
              <w:start w:w="130" w:type="dxa"/>
              <w:bottom w:w="100" w:type="dxa"/>
              <w:end w:w="130" w:type="dxa"/>
            </w:tcMar>
            <w:vAlign w:val="center"/>
          </w:tcPr>
          <w:p>
            <w:pPr>
              <w:spacing w:after="0" w:line="252" w:lineRule="auto"/>
            </w:pPr>
            <w:r>
              <w:rPr>
                <w:rFonts w:ascii="Aptos" w:hAnsi="Aptos" w:eastAsia="Aptos"/>
                <w:b w:val="0"/>
                <w:color w:val="1F2933"/>
                <w:sz w:val="19"/>
              </w:rPr>
              <w:t>Закрепить аккаунты и роли; настроить аналитику, UTM, CRM-routing, шаблоны и production calendar; собрать asset media library.</w:t>
            </w:r>
          </w:p>
        </w:tc>
        <w:tc>
          <w:tcPr>
            <w:tcW w:type="dxa" w:w="2700"/>
            <w:tcMar>
              <w:top w:w="100" w:type="dxa"/>
              <w:start w:w="130" w:type="dxa"/>
              <w:bottom w:w="100" w:type="dxa"/>
              <w:end w:w="130" w:type="dxa"/>
            </w:tcMar>
            <w:vAlign w:val="center"/>
          </w:tcPr>
          <w:p>
            <w:pPr>
              <w:spacing w:after="0" w:line="252" w:lineRule="auto"/>
            </w:pPr>
            <w:r>
              <w:rPr>
                <w:rFonts w:ascii="Aptos" w:hAnsi="Aptos" w:eastAsia="Aptos"/>
                <w:b w:val="0"/>
                <w:color w:val="1F2933"/>
                <w:sz w:val="19"/>
              </w:rPr>
              <w:t>Единая измеримая основа и первые четыре недели контента.</w:t>
            </w:r>
          </w:p>
        </w:tc>
      </w:tr>
      <w:tr>
        <w:trPr>
          <w:cantSplit/>
        </w:trPr>
        <w:tc>
          <w:tcPr>
            <w:tcW w:type="dxa" w:w="1800"/>
            <w:tcMar>
              <w:top w:w="100" w:type="dxa"/>
              <w:start w:w="130" w:type="dxa"/>
              <w:bottom w:w="100" w:type="dxa"/>
              <w:end w:w="130" w:type="dxa"/>
            </w:tcMar>
            <w:vAlign w:val="center"/>
            <w:shd w:fill="FAFBFC"/>
          </w:tcPr>
          <w:p>
            <w:pPr>
              <w:spacing w:after="0" w:line="252" w:lineRule="auto"/>
            </w:pPr>
            <w:r>
              <w:rPr>
                <w:rFonts w:ascii="Aptos" w:hAnsi="Aptos" w:eastAsia="Aptos"/>
                <w:b/>
                <w:color w:val="0B2545"/>
                <w:sz w:val="19"/>
              </w:rPr>
              <w:t>31–60 дней</w:t>
            </w:r>
          </w:p>
        </w:tc>
        <w:tc>
          <w:tcPr>
            <w:tcW w:type="dxa" w:w="486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Запустить owner evidence, myUNO stay content, email lifecycle, retargeting и профильные landing pages.</w:t>
            </w:r>
          </w:p>
        </w:tc>
        <w:tc>
          <w:tcPr>
            <w:tcW w:type="dxa" w:w="270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Первые атрибутированные диалоги, бронирования и asset reviews.</w:t>
            </w:r>
          </w:p>
        </w:tc>
      </w:tr>
      <w:tr>
        <w:trPr>
          <w:cantSplit/>
        </w:trPr>
        <w:tc>
          <w:tcPr>
            <w:tcW w:type="dxa" w:w="1800"/>
            <w:tcMar>
              <w:top w:w="100" w:type="dxa"/>
              <w:start w:w="130" w:type="dxa"/>
              <w:bottom w:w="100" w:type="dxa"/>
              <w:end w:w="130" w:type="dxa"/>
            </w:tcMar>
            <w:vAlign w:val="center"/>
          </w:tcPr>
          <w:p>
            <w:pPr>
              <w:spacing w:after="0" w:line="252" w:lineRule="auto"/>
            </w:pPr>
            <w:r>
              <w:rPr>
                <w:rFonts w:ascii="Aptos" w:hAnsi="Aptos" w:eastAsia="Aptos"/>
                <w:b/>
                <w:color w:val="0B2545"/>
                <w:sz w:val="19"/>
              </w:rPr>
              <w:t>61–90 дней</w:t>
            </w:r>
          </w:p>
        </w:tc>
        <w:tc>
          <w:tcPr>
            <w:tcW w:type="dxa" w:w="4860"/>
            <w:tcMar>
              <w:top w:w="100" w:type="dxa"/>
              <w:start w:w="130" w:type="dxa"/>
              <w:bottom w:w="100" w:type="dxa"/>
              <w:end w:w="130" w:type="dxa"/>
            </w:tcMar>
            <w:vAlign w:val="center"/>
          </w:tcPr>
          <w:p>
            <w:pPr>
              <w:spacing w:after="0" w:line="252" w:lineRule="auto"/>
            </w:pPr>
            <w:r>
              <w:rPr>
                <w:rFonts w:ascii="Aptos" w:hAnsi="Aptos" w:eastAsia="Aptos"/>
                <w:b w:val="0"/>
                <w:color w:val="1F2933"/>
                <w:sz w:val="19"/>
              </w:rPr>
              <w:t>Усилить выигравшие темы, Google intent campaigns, партнёрские публикации, YouTube и repeat-guest mechanics.</w:t>
            </w:r>
          </w:p>
        </w:tc>
        <w:tc>
          <w:tcPr>
            <w:tcW w:type="dxa" w:w="2700"/>
            <w:tcMar>
              <w:top w:w="100" w:type="dxa"/>
              <w:start w:w="130" w:type="dxa"/>
              <w:bottom w:w="100" w:type="dxa"/>
              <w:end w:w="130" w:type="dxa"/>
            </w:tcMar>
            <w:vAlign w:val="center"/>
          </w:tcPr>
          <w:p>
            <w:pPr>
              <w:spacing w:after="0" w:line="252" w:lineRule="auto"/>
            </w:pPr>
            <w:r>
              <w:rPr>
                <w:rFonts w:ascii="Aptos" w:hAnsi="Aptos" w:eastAsia="Aptos"/>
                <w:b w:val="0"/>
                <w:color w:val="1F2933"/>
                <w:sz w:val="19"/>
              </w:rPr>
              <w:t>Понятна экономика каналов и утверждён квартальный scale plan.</w:t>
            </w:r>
          </w:p>
        </w:tc>
      </w:tr>
    </w:tbl>
    <w:p>
      <w:pPr>
        <w:spacing w:before="0" w:after="40" w:line="264" w:lineRule="auto"/>
        <w:jc w:val="left"/>
      </w:pPr>
    </w:p>
    <w:p>
      <w:pPr>
        <w:pStyle w:val="Heading2"/>
        <w:keepNext/>
      </w:pPr>
      <w:r>
        <w:t>14.11. Метрики маркетинга</w:t>
      </w:r>
    </w:p>
    <w:p>
      <w:pPr>
        <w:pStyle w:val="ListBullet"/>
        <w:spacing w:after="80" w:line="264" w:lineRule="auto"/>
      </w:pPr>
      <w:r>
        <w:rPr>
          <w:rFonts w:ascii="Aptos" w:hAnsi="Aptos" w:eastAsia="Aptos"/>
          <w:color w:val="1F2933"/>
          <w:sz w:val="22"/>
        </w:rPr>
        <w:t>Qualified owner conversations, asset reviews, proposals, signed mandates и content-assisted pipeline.</w:t>
      </w:r>
    </w:p>
    <w:p>
      <w:pPr>
        <w:pStyle w:val="ListBullet"/>
        <w:spacing w:after="80" w:line="264" w:lineRule="auto"/>
      </w:pPr>
      <w:r>
        <w:rPr>
          <w:rFonts w:ascii="Aptos" w:hAnsi="Aptos" w:eastAsia="Aptos"/>
          <w:color w:val="1F2933"/>
          <w:sz w:val="22"/>
        </w:rPr>
        <w:t>Прямой трафик, booking intent, бронирования, buyer briefings и partner inquiries по источнику.</w:t>
      </w:r>
    </w:p>
    <w:p>
      <w:pPr>
        <w:pStyle w:val="ListBullet"/>
        <w:spacing w:after="80" w:line="264" w:lineRule="auto"/>
      </w:pPr>
      <w:r>
        <w:rPr>
          <w:rFonts w:ascii="Aptos" w:hAnsi="Aptos" w:eastAsia="Aptos"/>
          <w:color w:val="1F2933"/>
          <w:sz w:val="22"/>
        </w:rPr>
        <w:t>Conversion rate по landing page, CAC, contribution margin, payback и lifetime value.</w:t>
      </w:r>
    </w:p>
    <w:p>
      <w:pPr>
        <w:pStyle w:val="ListBullet"/>
        <w:spacing w:after="80" w:line="264" w:lineRule="auto"/>
      </w:pPr>
      <w:r>
        <w:rPr>
          <w:rFonts w:ascii="Aptos" w:hAnsi="Aptos" w:eastAsia="Aptos"/>
          <w:color w:val="1F2933"/>
          <w:sz w:val="22"/>
        </w:rPr>
        <w:t>Сохранения, пересылки, содержательные комментарии и доля целевой аудитории; reach и follower count — диагностические, не итоговые метрики.</w:t>
      </w:r>
    </w:p>
    <w:p>
      <w:pPr>
        <w:pStyle w:val="ListBullet"/>
        <w:spacing w:after="80" w:line="264" w:lineRule="auto"/>
      </w:pPr>
      <w:r>
        <w:rPr>
          <w:rFonts w:ascii="Aptos" w:hAnsi="Aptos" w:eastAsia="Aptos"/>
          <w:color w:val="1F2933"/>
          <w:sz w:val="22"/>
        </w:rPr>
        <w:t>Скорость ответа, полнота Party ID, доля лидов со следующим шагом и отсутствие потерянных обращений.</w:t>
      </w:r>
    </w:p>
    <w:p>
      <w:r>
        <w:br w:type="page"/>
      </w:r>
    </w:p>
    <w:p>
      <w:pPr>
        <w:pStyle w:val="Heading1"/>
        <w:keepNext/>
      </w:pPr>
      <w:r>
        <w:t>15. Гостевая дистрибуция и цифровые активы</w:t>
      </w:r>
    </w:p>
    <w:p>
      <w:pPr>
        <w:pStyle w:val="Heading2"/>
        <w:keepNext/>
      </w:pPr>
      <w:r>
        <w:t>15.1. Цель дистрибуции</w:t>
      </w:r>
    </w:p>
    <w:tbl>
      <w:tblPr>
        <w:tblW w:type="dxa" w:w="9360"/>
        <w:jc w:val="left"/>
        <w:tblLook w:firstColumn="1" w:firstRow="1" w:lastColumn="0" w:lastRow="0" w:noHBand="0" w:noVBand="1" w:val="04A0"/>
        <w:tblInd w:w="120" w:type="dxa"/>
        <w:tblBorders>
          <w:top w:val="single" w:sz="4" w:space="0" w:color="E8EEF5"/>
          <w:left w:val="single" w:sz="4" w:space="0" w:color="E8EEF5"/>
          <w:bottom w:val="single" w:sz="4" w:space="0" w:color="E8EEF5"/>
          <w:right w:val="single" w:sz="4" w:space="0" w:color="E8EEF5"/>
          <w:insideH w:val="single" w:sz="4" w:space="0" w:color="E8EEF5"/>
          <w:insideV w:val="single" w:sz="4" w:space="0" w:color="E8EEF5"/>
        </w:tblBorders>
      </w:tblPr>
      <w:tblGrid>
        <w:gridCol w:w="9360"/>
      </w:tblGrid>
      <w:tr>
        <w:tc>
          <w:tcPr>
            <w:tcW w:type="dxa" w:w="9360"/>
            <w:shd w:fill="E8EEF5"/>
            <w:tcMar>
              <w:top w:w="150" w:type="dxa"/>
              <w:start w:w="180" w:type="dxa"/>
              <w:bottom w:w="150" w:type="dxa"/>
              <w:end w:w="180" w:type="dxa"/>
            </w:tcMar>
          </w:tcPr>
          <w:p>
            <w:pPr>
              <w:spacing w:after="0" w:line="269" w:lineRule="auto"/>
            </w:pPr>
            <w:r>
              <w:rPr>
                <w:rFonts w:ascii="Aptos" w:hAnsi="Aptos" w:eastAsia="Aptos"/>
                <w:b/>
                <w:color w:val="0B2545"/>
                <w:sz w:val="21"/>
              </w:rPr>
              <w:t xml:space="preserve">Коммерческий принцип. </w:t>
            </w:r>
            <w:r>
              <w:rPr>
                <w:rFonts w:ascii="Aptos" w:hAnsi="Aptos" w:eastAsia="Aptos"/>
                <w:color w:val="1F2933"/>
                <w:sz w:val="21"/>
              </w:rPr>
              <w:t>Дистрибуция должна максимизировать не валовые бронирования, а Net RevPAR / contribution margin, прямые отношения и lifetime value гостя при сохранении загрузки, цены и качества. Собственные каналы строятся как актив компании; внешние каналы используются как оплачиваемый доступ к спросу.</w:t>
            </w:r>
          </w:p>
        </w:tc>
      </w:tr>
    </w:tbl>
    <w:p>
      <w:pPr>
        <w:spacing w:before="0" w:after="40" w:line="264" w:lineRule="auto"/>
        <w:jc w:val="left"/>
      </w:pPr>
    </w:p>
    <w:p>
      <w:pPr>
        <w:spacing w:before="0" w:after="120" w:line="264" w:lineRule="auto"/>
        <w:jc w:val="left"/>
      </w:pPr>
      <w:r>
        <w:rPr>
          <w:rFonts w:ascii="Aptos" w:hAnsi="Aptos" w:eastAsia="Aptos"/>
          <w:b w:val="0"/>
          <w:i w:val="0"/>
          <w:color w:val="1F2933"/>
          <w:sz w:val="22"/>
        </w:rPr>
        <w:t>Для каждого управляемого объекта компания определяет целевой channel mix. Прямой канал является приоритетом, но не самоцелью: отказ от эффективного OTA, агента или корпоративного канала недопустим, если после всех расходов он создаёт положительную маржу и нужный спрос.</w:t>
      </w:r>
    </w:p>
    <w:p>
      <w:pPr>
        <w:pStyle w:val="Heading2"/>
        <w:keepNext/>
      </w:pPr>
      <w:r>
        <w:t>15.2. Слои гостевого спроса</w:t>
      </w:r>
    </w:p>
    <w:tbl>
      <w:tblPr>
        <w:tblW w:type="dxa" w:w="9360"/>
        <w:jc w:val="left"/>
        <w:tblLayout w:type="fixed"/>
        <w:tblLook w:firstColumn="1" w:firstRow="1" w:lastColumn="0" w:lastRow="0" w:noHBand="0" w:noVBand="1" w:val="04A0"/>
        <w:tblInd w:w="120" w:type="dxa"/>
        <w:tblBorders>
          <w:top w:val="single" w:sz="6" w:space="0" w:color="D6DCE2"/>
          <w:left w:val="single" w:sz="6" w:space="0" w:color="D6DCE2"/>
          <w:bottom w:val="single" w:sz="6" w:space="0" w:color="D6DCE2"/>
          <w:right w:val="single" w:sz="6" w:space="0" w:color="D6DCE2"/>
          <w:insideH w:val="single" w:sz="6" w:space="0" w:color="D6DCE2"/>
          <w:insideV w:val="single" w:sz="6" w:space="0" w:color="D6DCE2"/>
        </w:tblBorders>
      </w:tblPr>
      <w:tblGrid>
        <w:gridCol w:w="1800"/>
        <w:gridCol w:w="3960"/>
        <w:gridCol w:w="3600"/>
      </w:tblGrid>
      <w:tr>
        <w:trPr>
          <w:tblHeader w:val="true"/>
          <w:cantSplit/>
        </w:trPr>
        <w:tc>
          <w:tcPr>
            <w:tcW w:type="dxa" w:w="1800"/>
            <w:shd w:fill="0B2545"/>
            <w:tcMar>
              <w:top w:w="100" w:type="dxa"/>
              <w:start w:w="130" w:type="dxa"/>
              <w:bottom w:w="100" w:type="dxa"/>
              <w:end w:w="130" w:type="dxa"/>
            </w:tcMar>
            <w:vAlign w:val="center"/>
          </w:tcPr>
          <w:p>
            <w:pPr>
              <w:spacing w:after="0" w:line="240" w:lineRule="auto"/>
            </w:pPr>
            <w:r>
              <w:rPr>
                <w:rFonts w:ascii="Aptos" w:hAnsi="Aptos" w:eastAsia="Aptos"/>
                <w:b/>
                <w:color w:val="FFFFFF"/>
                <w:sz w:val="19"/>
              </w:rPr>
              <w:t>СЛОЙ</w:t>
            </w:r>
          </w:p>
        </w:tc>
        <w:tc>
          <w:tcPr>
            <w:tcW w:type="dxa" w:w="3960"/>
            <w:shd w:fill="0B2545"/>
            <w:tcMar>
              <w:top w:w="100" w:type="dxa"/>
              <w:start w:w="130" w:type="dxa"/>
              <w:bottom w:w="100" w:type="dxa"/>
              <w:end w:w="130" w:type="dxa"/>
            </w:tcMar>
            <w:vAlign w:val="center"/>
          </w:tcPr>
          <w:p>
            <w:pPr>
              <w:spacing w:after="0" w:line="240" w:lineRule="auto"/>
            </w:pPr>
            <w:r>
              <w:rPr>
                <w:rFonts w:ascii="Aptos" w:hAnsi="Aptos" w:eastAsia="Aptos"/>
                <w:b/>
                <w:color w:val="FFFFFF"/>
                <w:sz w:val="19"/>
              </w:rPr>
              <w:t>КАНАЛЫ</w:t>
            </w:r>
          </w:p>
        </w:tc>
        <w:tc>
          <w:tcPr>
            <w:tcW w:type="dxa" w:w="3600"/>
            <w:shd w:fill="0B2545"/>
            <w:tcMar>
              <w:top w:w="100" w:type="dxa"/>
              <w:start w:w="130" w:type="dxa"/>
              <w:bottom w:w="100" w:type="dxa"/>
              <w:end w:w="130" w:type="dxa"/>
            </w:tcMar>
            <w:vAlign w:val="center"/>
          </w:tcPr>
          <w:p>
            <w:pPr>
              <w:spacing w:after="0" w:line="240" w:lineRule="auto"/>
            </w:pPr>
            <w:r>
              <w:rPr>
                <w:rFonts w:ascii="Aptos" w:hAnsi="Aptos" w:eastAsia="Aptos"/>
                <w:b/>
                <w:color w:val="FFFFFF"/>
                <w:sz w:val="19"/>
              </w:rPr>
              <w:t>РОЛЬ</w:t>
            </w:r>
          </w:p>
        </w:tc>
      </w:tr>
      <w:tr>
        <w:trPr>
          <w:cantSplit/>
        </w:trPr>
        <w:tc>
          <w:tcPr>
            <w:tcW w:type="dxa" w:w="1800"/>
            <w:tcMar>
              <w:top w:w="100" w:type="dxa"/>
              <w:start w:w="130" w:type="dxa"/>
              <w:bottom w:w="100" w:type="dxa"/>
              <w:end w:w="130" w:type="dxa"/>
            </w:tcMar>
            <w:vAlign w:val="center"/>
          </w:tcPr>
          <w:p>
            <w:pPr>
              <w:spacing w:after="0" w:line="252" w:lineRule="auto"/>
            </w:pPr>
            <w:r>
              <w:rPr>
                <w:rFonts w:ascii="Aptos" w:hAnsi="Aptos" w:eastAsia="Aptos"/>
                <w:b/>
                <w:color w:val="0B2545"/>
                <w:sz w:val="19"/>
              </w:rPr>
              <w:t>Owned direct</w:t>
            </w:r>
          </w:p>
        </w:tc>
        <w:tc>
          <w:tcPr>
            <w:tcW w:type="dxa" w:w="3960"/>
            <w:tcMar>
              <w:top w:w="100" w:type="dxa"/>
              <w:start w:w="130" w:type="dxa"/>
              <w:bottom w:w="100" w:type="dxa"/>
              <w:end w:w="130" w:type="dxa"/>
            </w:tcMar>
            <w:vAlign w:val="center"/>
          </w:tcPr>
          <w:p>
            <w:pPr>
              <w:spacing w:after="0" w:line="252" w:lineRule="auto"/>
            </w:pPr>
            <w:r>
              <w:rPr>
                <w:rFonts w:ascii="Aptos" w:hAnsi="Aptos" w:eastAsia="Aptos"/>
                <w:b w:val="0"/>
                <w:color w:val="1F2933"/>
                <w:sz w:val="19"/>
              </w:rPr>
              <w:t>myUNO.com, asset pages, email, WhatsApp, repeat guests, referrals.</w:t>
            </w:r>
          </w:p>
        </w:tc>
        <w:tc>
          <w:tcPr>
            <w:tcW w:type="dxa" w:w="3600"/>
            <w:tcMar>
              <w:top w:w="100" w:type="dxa"/>
              <w:start w:w="130" w:type="dxa"/>
              <w:bottom w:w="100" w:type="dxa"/>
              <w:end w:w="130" w:type="dxa"/>
            </w:tcMar>
            <w:vAlign w:val="center"/>
          </w:tcPr>
          <w:p>
            <w:pPr>
              <w:spacing w:after="0" w:line="252" w:lineRule="auto"/>
            </w:pPr>
            <w:r>
              <w:rPr>
                <w:rFonts w:ascii="Aptos" w:hAnsi="Aptos" w:eastAsia="Aptos"/>
                <w:b w:val="0"/>
                <w:color w:val="1F2933"/>
                <w:sz w:val="19"/>
              </w:rPr>
              <w:t>Самая полная клиентская связь, данные и возможность повторной продажи.</w:t>
            </w:r>
          </w:p>
        </w:tc>
      </w:tr>
      <w:tr>
        <w:trPr>
          <w:cantSplit/>
        </w:trPr>
        <w:tc>
          <w:tcPr>
            <w:tcW w:type="dxa" w:w="1800"/>
            <w:tcMar>
              <w:top w:w="100" w:type="dxa"/>
              <w:start w:w="130" w:type="dxa"/>
              <w:bottom w:w="100" w:type="dxa"/>
              <w:end w:w="130" w:type="dxa"/>
            </w:tcMar>
            <w:vAlign w:val="center"/>
            <w:shd w:fill="FAFBFC"/>
          </w:tcPr>
          <w:p>
            <w:pPr>
              <w:spacing w:after="0" w:line="252" w:lineRule="auto"/>
            </w:pPr>
            <w:r>
              <w:rPr>
                <w:rFonts w:ascii="Aptos" w:hAnsi="Aptos" w:eastAsia="Aptos"/>
                <w:b/>
                <w:color w:val="0B2545"/>
                <w:sz w:val="19"/>
              </w:rPr>
              <w:t>Search and maps</w:t>
            </w:r>
          </w:p>
        </w:tc>
        <w:tc>
          <w:tcPr>
            <w:tcW w:type="dxa" w:w="396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Organic search, Google Business Profile, free booking links, Hotel Ads или vacation-rental surfaces при доступности.</w:t>
            </w:r>
          </w:p>
        </w:tc>
        <w:tc>
          <w:tcPr>
            <w:tcW w:type="dxa" w:w="360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Перехват существующего намерения и переход на прямую booking page.</w:t>
            </w:r>
          </w:p>
        </w:tc>
      </w:tr>
      <w:tr>
        <w:trPr>
          <w:cantSplit/>
        </w:trPr>
        <w:tc>
          <w:tcPr>
            <w:tcW w:type="dxa" w:w="1800"/>
            <w:tcMar>
              <w:top w:w="100" w:type="dxa"/>
              <w:start w:w="130" w:type="dxa"/>
              <w:bottom w:w="100" w:type="dxa"/>
              <w:end w:w="130" w:type="dxa"/>
            </w:tcMar>
            <w:vAlign w:val="center"/>
          </w:tcPr>
          <w:p>
            <w:pPr>
              <w:spacing w:after="0" w:line="252" w:lineRule="auto"/>
            </w:pPr>
            <w:r>
              <w:rPr>
                <w:rFonts w:ascii="Aptos" w:hAnsi="Aptos" w:eastAsia="Aptos"/>
                <w:b/>
                <w:color w:val="0B2545"/>
                <w:sz w:val="19"/>
              </w:rPr>
              <w:t>Social and paid</w:t>
            </w:r>
          </w:p>
        </w:tc>
        <w:tc>
          <w:tcPr>
            <w:tcW w:type="dxa" w:w="3960"/>
            <w:tcMar>
              <w:top w:w="100" w:type="dxa"/>
              <w:start w:w="130" w:type="dxa"/>
              <w:bottom w:w="100" w:type="dxa"/>
              <w:end w:w="130" w:type="dxa"/>
            </w:tcMar>
            <w:vAlign w:val="center"/>
          </w:tcPr>
          <w:p>
            <w:pPr>
              <w:spacing w:after="0" w:line="252" w:lineRule="auto"/>
            </w:pPr>
            <w:r>
              <w:rPr>
                <w:rFonts w:ascii="Aptos" w:hAnsi="Aptos" w:eastAsia="Aptos"/>
                <w:b w:val="0"/>
                <w:color w:val="1F2933"/>
                <w:sz w:val="19"/>
              </w:rPr>
              <w:t>Instagram, Facebook, YouTube, Meta Ads, Google Search и ретаргетинг.</w:t>
            </w:r>
          </w:p>
        </w:tc>
        <w:tc>
          <w:tcPr>
            <w:tcW w:type="dxa" w:w="3600"/>
            <w:tcMar>
              <w:top w:w="100" w:type="dxa"/>
              <w:start w:w="130" w:type="dxa"/>
              <w:bottom w:w="100" w:type="dxa"/>
              <w:end w:w="130" w:type="dxa"/>
            </w:tcMar>
            <w:vAlign w:val="center"/>
          </w:tcPr>
          <w:p>
            <w:pPr>
              <w:spacing w:after="0" w:line="252" w:lineRule="auto"/>
            </w:pPr>
            <w:r>
              <w:rPr>
                <w:rFonts w:ascii="Aptos" w:hAnsi="Aptos" w:eastAsia="Aptos"/>
                <w:b w:val="0"/>
                <w:color w:val="1F2933"/>
                <w:sz w:val="19"/>
              </w:rPr>
              <w:t>Создание и возврат спроса на каноническую страницу объекта.</w:t>
            </w:r>
          </w:p>
        </w:tc>
      </w:tr>
      <w:tr>
        <w:trPr>
          <w:cantSplit/>
        </w:trPr>
        <w:tc>
          <w:tcPr>
            <w:tcW w:type="dxa" w:w="1800"/>
            <w:tcMar>
              <w:top w:w="100" w:type="dxa"/>
              <w:start w:w="130" w:type="dxa"/>
              <w:bottom w:w="100" w:type="dxa"/>
              <w:end w:w="130" w:type="dxa"/>
            </w:tcMar>
            <w:vAlign w:val="center"/>
            <w:shd w:fill="FAFBFC"/>
          </w:tcPr>
          <w:p>
            <w:pPr>
              <w:spacing w:after="0" w:line="252" w:lineRule="auto"/>
            </w:pPr>
            <w:r>
              <w:rPr>
                <w:rFonts w:ascii="Aptos" w:hAnsi="Aptos" w:eastAsia="Aptos"/>
                <w:b/>
                <w:color w:val="0B2545"/>
                <w:sz w:val="19"/>
              </w:rPr>
              <w:t>Professional distribution</w:t>
            </w:r>
          </w:p>
        </w:tc>
        <w:tc>
          <w:tcPr>
            <w:tcW w:type="dxa" w:w="396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Travel agents, DMC, relocation, corporate, event, wedding и long-stay partners.</w:t>
            </w:r>
          </w:p>
        </w:tc>
        <w:tc>
          <w:tcPr>
            <w:tcW w:type="dxa" w:w="360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Доступ к сегментам, которые не бронируют через открытый direct channel.</w:t>
            </w:r>
          </w:p>
        </w:tc>
      </w:tr>
      <w:tr>
        <w:trPr>
          <w:cantSplit/>
        </w:trPr>
        <w:tc>
          <w:tcPr>
            <w:tcW w:type="dxa" w:w="1800"/>
            <w:tcMar>
              <w:top w:w="100" w:type="dxa"/>
              <w:start w:w="130" w:type="dxa"/>
              <w:bottom w:w="100" w:type="dxa"/>
              <w:end w:w="130" w:type="dxa"/>
            </w:tcMar>
            <w:vAlign w:val="center"/>
          </w:tcPr>
          <w:p>
            <w:pPr>
              <w:spacing w:after="0" w:line="252" w:lineRule="auto"/>
            </w:pPr>
            <w:r>
              <w:rPr>
                <w:rFonts w:ascii="Aptos" w:hAnsi="Aptos" w:eastAsia="Aptos"/>
                <w:b/>
                <w:color w:val="0B2545"/>
                <w:sz w:val="19"/>
              </w:rPr>
              <w:t>OTA / wholesale</w:t>
            </w:r>
          </w:p>
        </w:tc>
        <w:tc>
          <w:tcPr>
            <w:tcW w:type="dxa" w:w="3960"/>
            <w:tcMar>
              <w:top w:w="100" w:type="dxa"/>
              <w:start w:w="130" w:type="dxa"/>
              <w:bottom w:w="100" w:type="dxa"/>
              <w:end w:w="130" w:type="dxa"/>
            </w:tcMar>
            <w:vAlign w:val="center"/>
          </w:tcPr>
          <w:p>
            <w:pPr>
              <w:spacing w:after="0" w:line="252" w:lineRule="auto"/>
            </w:pPr>
            <w:r>
              <w:rPr>
                <w:rFonts w:ascii="Aptos" w:hAnsi="Aptos" w:eastAsia="Aptos"/>
                <w:b w:val="0"/>
                <w:color w:val="1F2933"/>
                <w:sz w:val="19"/>
              </w:rPr>
              <w:t>Подходящие внешние площадки для законно допускаемого инвентаря.</w:t>
            </w:r>
          </w:p>
        </w:tc>
        <w:tc>
          <w:tcPr>
            <w:tcW w:type="dxa" w:w="3600"/>
            <w:tcMar>
              <w:top w:w="100" w:type="dxa"/>
              <w:start w:w="130" w:type="dxa"/>
              <w:bottom w:w="100" w:type="dxa"/>
              <w:end w:w="130" w:type="dxa"/>
            </w:tcMar>
            <w:vAlign w:val="center"/>
          </w:tcPr>
          <w:p>
            <w:pPr>
              <w:spacing w:after="0" w:line="252" w:lineRule="auto"/>
            </w:pPr>
            <w:r>
              <w:rPr>
                <w:rFonts w:ascii="Aptos" w:hAnsi="Aptos" w:eastAsia="Aptos"/>
                <w:b w:val="0"/>
                <w:color w:val="1F2933"/>
                <w:sz w:val="19"/>
              </w:rPr>
              <w:t>Охват и заполнение спроса с известной полной стоимостью канала.</w:t>
            </w:r>
          </w:p>
        </w:tc>
      </w:tr>
      <w:tr>
        <w:trPr>
          <w:cantSplit/>
        </w:trPr>
        <w:tc>
          <w:tcPr>
            <w:tcW w:type="dxa" w:w="1800"/>
            <w:tcMar>
              <w:top w:w="100" w:type="dxa"/>
              <w:start w:w="130" w:type="dxa"/>
              <w:bottom w:w="100" w:type="dxa"/>
              <w:end w:w="130" w:type="dxa"/>
            </w:tcMar>
            <w:vAlign w:val="center"/>
            <w:shd w:fill="FAFBFC"/>
          </w:tcPr>
          <w:p>
            <w:pPr>
              <w:spacing w:after="0" w:line="252" w:lineRule="auto"/>
            </w:pPr>
            <w:r>
              <w:rPr>
                <w:rFonts w:ascii="Aptos" w:hAnsi="Aptos" w:eastAsia="Aptos"/>
                <w:b/>
                <w:color w:val="0B2545"/>
                <w:sz w:val="19"/>
              </w:rPr>
              <w:t>Partner inventory</w:t>
            </w:r>
          </w:p>
        </w:tc>
        <w:tc>
          <w:tcPr>
            <w:tcW w:type="dxa" w:w="396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Verified partner properties вне управляемого портфеля.</w:t>
            </w:r>
          </w:p>
        </w:tc>
        <w:tc>
          <w:tcPr>
            <w:tcW w:type="dxa" w:w="360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Закрытие дефицита предложения без использования бренда myUNO.</w:t>
            </w:r>
          </w:p>
        </w:tc>
      </w:tr>
    </w:tbl>
    <w:p>
      <w:pPr>
        <w:spacing w:before="0" w:after="40" w:line="264" w:lineRule="auto"/>
        <w:jc w:val="left"/>
      </w:pPr>
    </w:p>
    <w:p>
      <w:pPr>
        <w:pStyle w:val="Heading2"/>
        <w:keepNext/>
      </w:pPr>
      <w:r>
        <w:t>15.3. Технологическое ядро</w:t>
      </w:r>
    </w:p>
    <w:p>
      <w:pPr>
        <w:spacing w:before="0" w:after="120" w:line="264" w:lineRule="auto"/>
        <w:jc w:val="left"/>
      </w:pPr>
      <w:r>
        <w:rPr>
          <w:rFonts w:ascii="Aptos" w:hAnsi="Aptos" w:eastAsia="Aptos"/>
          <w:b w:val="0"/>
          <w:i w:val="0"/>
          <w:color w:val="1F2933"/>
          <w:sz w:val="22"/>
        </w:rPr>
        <w:t>Компания не строит собственный PMS или channel manager. Она покупает зрелое транзакционное ядро и строит поверх него собственные бренд, данные, конверсию и отношения с гостем.</w:t>
      </w:r>
    </w:p>
    <w:tbl>
      <w:tblPr>
        <w:tblW w:type="dxa" w:w="9360"/>
        <w:jc w:val="left"/>
        <w:tblLayout w:type="fixed"/>
        <w:tblLook w:firstColumn="1" w:firstRow="1" w:lastColumn="0" w:lastRow="0" w:noHBand="0" w:noVBand="1" w:val="04A0"/>
        <w:tblInd w:w="120" w:type="dxa"/>
        <w:tblBorders>
          <w:top w:val="single" w:sz="6" w:space="0" w:color="D6DCE2"/>
          <w:left w:val="single" w:sz="6" w:space="0" w:color="D6DCE2"/>
          <w:bottom w:val="single" w:sz="6" w:space="0" w:color="D6DCE2"/>
          <w:right w:val="single" w:sz="6" w:space="0" w:color="D6DCE2"/>
          <w:insideH w:val="single" w:sz="6" w:space="0" w:color="D6DCE2"/>
          <w:insideV w:val="single" w:sz="6" w:space="0" w:color="D6DCE2"/>
        </w:tblBorders>
      </w:tblPr>
      <w:tblGrid>
        <w:gridCol w:w="2040"/>
        <w:gridCol w:w="4140"/>
        <w:gridCol w:w="3180"/>
      </w:tblGrid>
      <w:tr>
        <w:trPr>
          <w:tblHeader w:val="true"/>
          <w:cantSplit/>
        </w:trPr>
        <w:tc>
          <w:tcPr>
            <w:tcW w:type="dxa" w:w="2040"/>
            <w:shd w:fill="0B2545"/>
            <w:tcMar>
              <w:top w:w="100" w:type="dxa"/>
              <w:start w:w="130" w:type="dxa"/>
              <w:bottom w:w="100" w:type="dxa"/>
              <w:end w:w="130" w:type="dxa"/>
            </w:tcMar>
            <w:vAlign w:val="center"/>
          </w:tcPr>
          <w:p>
            <w:pPr>
              <w:spacing w:after="0" w:line="240" w:lineRule="auto"/>
            </w:pPr>
            <w:r>
              <w:rPr>
                <w:rFonts w:ascii="Aptos" w:hAnsi="Aptos" w:eastAsia="Aptos"/>
                <w:b/>
                <w:color w:val="FFFFFF"/>
                <w:sz w:val="19"/>
              </w:rPr>
              <w:t>СЛОЙ</w:t>
            </w:r>
          </w:p>
        </w:tc>
        <w:tc>
          <w:tcPr>
            <w:tcW w:type="dxa" w:w="4140"/>
            <w:shd w:fill="0B2545"/>
            <w:tcMar>
              <w:top w:w="100" w:type="dxa"/>
              <w:start w:w="130" w:type="dxa"/>
              <w:bottom w:w="100" w:type="dxa"/>
              <w:end w:w="130" w:type="dxa"/>
            </w:tcMar>
            <w:vAlign w:val="center"/>
          </w:tcPr>
          <w:p>
            <w:pPr>
              <w:spacing w:after="0" w:line="240" w:lineRule="auto"/>
            </w:pPr>
            <w:r>
              <w:rPr>
                <w:rFonts w:ascii="Aptos" w:hAnsi="Aptos" w:eastAsia="Aptos"/>
                <w:b/>
                <w:color w:val="FFFFFF"/>
                <w:sz w:val="19"/>
              </w:rPr>
              <w:t>ФУНКЦИЯ</w:t>
            </w:r>
          </w:p>
        </w:tc>
        <w:tc>
          <w:tcPr>
            <w:tcW w:type="dxa" w:w="3180"/>
            <w:shd w:fill="0B2545"/>
            <w:tcMar>
              <w:top w:w="100" w:type="dxa"/>
              <w:start w:w="130" w:type="dxa"/>
              <w:bottom w:w="100" w:type="dxa"/>
              <w:end w:w="130" w:type="dxa"/>
            </w:tcMar>
            <w:vAlign w:val="center"/>
          </w:tcPr>
          <w:p>
            <w:pPr>
              <w:spacing w:after="0" w:line="240" w:lineRule="auto"/>
            </w:pPr>
            <w:r>
              <w:rPr>
                <w:rFonts w:ascii="Aptos" w:hAnsi="Aptos" w:eastAsia="Aptos"/>
                <w:b/>
                <w:color w:val="FFFFFF"/>
                <w:sz w:val="19"/>
              </w:rPr>
              <w:t>ПРАВИЛО</w:t>
            </w:r>
          </w:p>
        </w:tc>
      </w:tr>
      <w:tr>
        <w:trPr>
          <w:cantSplit/>
        </w:trPr>
        <w:tc>
          <w:tcPr>
            <w:tcW w:type="dxa" w:w="2040"/>
            <w:tcMar>
              <w:top w:w="100" w:type="dxa"/>
              <w:start w:w="130" w:type="dxa"/>
              <w:bottom w:w="100" w:type="dxa"/>
              <w:end w:w="130" w:type="dxa"/>
            </w:tcMar>
            <w:vAlign w:val="center"/>
          </w:tcPr>
          <w:p>
            <w:pPr>
              <w:spacing w:after="0" w:line="252" w:lineRule="auto"/>
            </w:pPr>
            <w:r>
              <w:rPr>
                <w:rFonts w:ascii="Aptos" w:hAnsi="Aptos" w:eastAsia="Aptos"/>
                <w:b/>
                <w:color w:val="0B2545"/>
                <w:sz w:val="19"/>
              </w:rPr>
              <w:t>PMS</w:t>
            </w:r>
          </w:p>
        </w:tc>
        <w:tc>
          <w:tcPr>
            <w:tcW w:type="dxa" w:w="4140"/>
            <w:tcMar>
              <w:top w:w="100" w:type="dxa"/>
              <w:start w:w="130" w:type="dxa"/>
              <w:bottom w:w="100" w:type="dxa"/>
              <w:end w:w="130" w:type="dxa"/>
            </w:tcMar>
            <w:vAlign w:val="center"/>
          </w:tcPr>
          <w:p>
            <w:pPr>
              <w:spacing w:after="0" w:line="252" w:lineRule="auto"/>
            </w:pPr>
            <w:r>
              <w:rPr>
                <w:rFonts w:ascii="Aptos" w:hAnsi="Aptos" w:eastAsia="Aptos"/>
                <w:b w:val="0"/>
                <w:color w:val="1F2933"/>
                <w:sz w:val="19"/>
              </w:rPr>
              <w:t>Бронирование, профиль проживания, фолио, задачи и статус гостя.</w:t>
            </w:r>
          </w:p>
        </w:tc>
        <w:tc>
          <w:tcPr>
            <w:tcW w:type="dxa" w:w="3180"/>
            <w:tcMar>
              <w:top w:w="100" w:type="dxa"/>
              <w:start w:w="130" w:type="dxa"/>
              <w:bottom w:w="100" w:type="dxa"/>
              <w:end w:w="130" w:type="dxa"/>
            </w:tcMar>
            <w:vAlign w:val="center"/>
          </w:tcPr>
          <w:p>
            <w:pPr>
              <w:spacing w:after="0" w:line="252" w:lineRule="auto"/>
            </w:pPr>
            <w:r>
              <w:rPr>
                <w:rFonts w:ascii="Aptos" w:hAnsi="Aptos" w:eastAsia="Aptos"/>
                <w:b w:val="0"/>
                <w:color w:val="1F2933"/>
                <w:sz w:val="19"/>
              </w:rPr>
              <w:t>Операционный source of truth по stay.</w:t>
            </w:r>
          </w:p>
        </w:tc>
      </w:tr>
      <w:tr>
        <w:trPr>
          <w:cantSplit/>
        </w:trPr>
        <w:tc>
          <w:tcPr>
            <w:tcW w:type="dxa" w:w="2040"/>
            <w:tcMar>
              <w:top w:w="100" w:type="dxa"/>
              <w:start w:w="130" w:type="dxa"/>
              <w:bottom w:w="100" w:type="dxa"/>
              <w:end w:w="130" w:type="dxa"/>
            </w:tcMar>
            <w:vAlign w:val="center"/>
            <w:shd w:fill="FAFBFC"/>
          </w:tcPr>
          <w:p>
            <w:pPr>
              <w:spacing w:after="0" w:line="252" w:lineRule="auto"/>
            </w:pPr>
            <w:r>
              <w:rPr>
                <w:rFonts w:ascii="Aptos" w:hAnsi="Aptos" w:eastAsia="Aptos"/>
                <w:b/>
                <w:color w:val="0B2545"/>
                <w:sz w:val="19"/>
              </w:rPr>
              <w:t>Channel Manager</w:t>
            </w:r>
          </w:p>
        </w:tc>
        <w:tc>
          <w:tcPr>
            <w:tcW w:type="dxa" w:w="414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Двусторонняя синхронизация доступности, тарифов, ограничений и бронирований.</w:t>
            </w:r>
          </w:p>
        </w:tc>
        <w:tc>
          <w:tcPr>
            <w:tcW w:type="dxa" w:w="318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Никаких параллельных ручных календарей.</w:t>
            </w:r>
          </w:p>
        </w:tc>
      </w:tr>
      <w:tr>
        <w:trPr>
          <w:cantSplit/>
        </w:trPr>
        <w:tc>
          <w:tcPr>
            <w:tcW w:type="dxa" w:w="2040"/>
            <w:tcMar>
              <w:top w:w="100" w:type="dxa"/>
              <w:start w:w="130" w:type="dxa"/>
              <w:bottom w:w="100" w:type="dxa"/>
              <w:end w:w="130" w:type="dxa"/>
            </w:tcMar>
            <w:vAlign w:val="center"/>
          </w:tcPr>
          <w:p>
            <w:pPr>
              <w:spacing w:after="0" w:line="252" w:lineRule="auto"/>
            </w:pPr>
            <w:r>
              <w:rPr>
                <w:rFonts w:ascii="Aptos" w:hAnsi="Aptos" w:eastAsia="Aptos"/>
                <w:b/>
                <w:color w:val="0B2545"/>
                <w:sz w:val="19"/>
              </w:rPr>
              <w:t>Booking Engine</w:t>
            </w:r>
          </w:p>
        </w:tc>
        <w:tc>
          <w:tcPr>
            <w:tcW w:type="dxa" w:w="4140"/>
            <w:tcMar>
              <w:top w:w="100" w:type="dxa"/>
              <w:start w:w="130" w:type="dxa"/>
              <w:bottom w:w="100" w:type="dxa"/>
              <w:end w:w="130" w:type="dxa"/>
            </w:tcMar>
            <w:vAlign w:val="center"/>
          </w:tcPr>
          <w:p>
            <w:pPr>
              <w:spacing w:after="0" w:line="252" w:lineRule="auto"/>
            </w:pPr>
            <w:r>
              <w:rPr>
                <w:rFonts w:ascii="Aptos" w:hAnsi="Aptos" w:eastAsia="Aptos"/>
                <w:b w:val="0"/>
                <w:color w:val="1F2933"/>
                <w:sz w:val="19"/>
              </w:rPr>
              <w:t>Живые цены, условия, оплата и мгновенное подтверждение на собственной поверхности.</w:t>
            </w:r>
          </w:p>
        </w:tc>
        <w:tc>
          <w:tcPr>
            <w:tcW w:type="dxa" w:w="3180"/>
            <w:tcMar>
              <w:top w:w="100" w:type="dxa"/>
              <w:start w:w="130" w:type="dxa"/>
              <w:bottom w:w="100" w:type="dxa"/>
              <w:end w:w="130" w:type="dxa"/>
            </w:tcMar>
            <w:vAlign w:val="center"/>
          </w:tcPr>
          <w:p>
            <w:pPr>
              <w:spacing w:after="0" w:line="252" w:lineRule="auto"/>
            </w:pPr>
            <w:r>
              <w:rPr>
                <w:rFonts w:ascii="Aptos" w:hAnsi="Aptos" w:eastAsia="Aptos"/>
                <w:b w:val="0"/>
                <w:color w:val="1F2933"/>
                <w:sz w:val="19"/>
              </w:rPr>
              <w:t>Встраивается в каноническую asset page.</w:t>
            </w:r>
          </w:p>
        </w:tc>
      </w:tr>
      <w:tr>
        <w:trPr>
          <w:cantSplit/>
        </w:trPr>
        <w:tc>
          <w:tcPr>
            <w:tcW w:type="dxa" w:w="2040"/>
            <w:tcMar>
              <w:top w:w="100" w:type="dxa"/>
              <w:start w:w="130" w:type="dxa"/>
              <w:bottom w:w="100" w:type="dxa"/>
              <w:end w:w="130" w:type="dxa"/>
            </w:tcMar>
            <w:vAlign w:val="center"/>
            <w:shd w:fill="FAFBFC"/>
          </w:tcPr>
          <w:p>
            <w:pPr>
              <w:spacing w:after="0" w:line="252" w:lineRule="auto"/>
            </w:pPr>
            <w:r>
              <w:rPr>
                <w:rFonts w:ascii="Aptos" w:hAnsi="Aptos" w:eastAsia="Aptos"/>
                <w:b/>
                <w:color w:val="0B2545"/>
                <w:sz w:val="19"/>
              </w:rPr>
              <w:t>Website / CMS</w:t>
            </w:r>
          </w:p>
        </w:tc>
        <w:tc>
          <w:tcPr>
            <w:tcW w:type="dxa" w:w="414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Бренд, контент, SEO, asset pages, Owners и Buy.</w:t>
            </w:r>
          </w:p>
        </w:tc>
        <w:tc>
          <w:tcPr>
            <w:tcW w:type="dxa" w:w="318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Один основной домен и канонические URL.</w:t>
            </w:r>
          </w:p>
        </w:tc>
      </w:tr>
      <w:tr>
        <w:trPr>
          <w:cantSplit/>
        </w:trPr>
        <w:tc>
          <w:tcPr>
            <w:tcW w:type="dxa" w:w="2040"/>
            <w:tcMar>
              <w:top w:w="100" w:type="dxa"/>
              <w:start w:w="130" w:type="dxa"/>
              <w:bottom w:w="100" w:type="dxa"/>
              <w:end w:w="130" w:type="dxa"/>
            </w:tcMar>
            <w:vAlign w:val="center"/>
          </w:tcPr>
          <w:p>
            <w:pPr>
              <w:spacing w:after="0" w:line="252" w:lineRule="auto"/>
            </w:pPr>
            <w:r>
              <w:rPr>
                <w:rFonts w:ascii="Aptos" w:hAnsi="Aptos" w:eastAsia="Aptos"/>
                <w:b/>
                <w:color w:val="0B2545"/>
                <w:sz w:val="19"/>
              </w:rPr>
              <w:t>CRM / Party ID</w:t>
            </w:r>
          </w:p>
        </w:tc>
        <w:tc>
          <w:tcPr>
            <w:tcW w:type="dxa" w:w="4140"/>
            <w:tcMar>
              <w:top w:w="100" w:type="dxa"/>
              <w:start w:w="130" w:type="dxa"/>
              <w:bottom w:w="100" w:type="dxa"/>
              <w:end w:w="130" w:type="dxa"/>
            </w:tcMar>
            <w:vAlign w:val="center"/>
          </w:tcPr>
          <w:p>
            <w:pPr>
              <w:spacing w:after="0" w:line="252" w:lineRule="auto"/>
            </w:pPr>
            <w:r>
              <w:rPr>
                <w:rFonts w:ascii="Aptos" w:hAnsi="Aptos" w:eastAsia="Aptos"/>
                <w:b w:val="0"/>
                <w:color w:val="1F2933"/>
                <w:sz w:val="19"/>
              </w:rPr>
              <w:t>Единая история гостя, собственника, покупателя и партнёра.</w:t>
            </w:r>
          </w:p>
        </w:tc>
        <w:tc>
          <w:tcPr>
            <w:tcW w:type="dxa" w:w="3180"/>
            <w:tcMar>
              <w:top w:w="100" w:type="dxa"/>
              <w:start w:w="130" w:type="dxa"/>
              <w:bottom w:w="100" w:type="dxa"/>
              <w:end w:w="130" w:type="dxa"/>
            </w:tcMar>
            <w:vAlign w:val="center"/>
          </w:tcPr>
          <w:p>
            <w:pPr>
              <w:spacing w:after="0" w:line="252" w:lineRule="auto"/>
            </w:pPr>
            <w:r>
              <w:rPr>
                <w:rFonts w:ascii="Aptos" w:hAnsi="Aptos" w:eastAsia="Aptos"/>
                <w:b w:val="0"/>
                <w:color w:val="1F2933"/>
                <w:sz w:val="19"/>
              </w:rPr>
              <w:t>Источник и согласия сохраняются независимо от канала брони.</w:t>
            </w:r>
          </w:p>
        </w:tc>
      </w:tr>
      <w:tr>
        <w:trPr>
          <w:cantSplit/>
        </w:trPr>
        <w:tc>
          <w:tcPr>
            <w:tcW w:type="dxa" w:w="2040"/>
            <w:tcMar>
              <w:top w:w="100" w:type="dxa"/>
              <w:start w:w="130" w:type="dxa"/>
              <w:bottom w:w="100" w:type="dxa"/>
              <w:end w:w="130" w:type="dxa"/>
            </w:tcMar>
            <w:vAlign w:val="center"/>
            <w:shd w:fill="FAFBFC"/>
          </w:tcPr>
          <w:p>
            <w:pPr>
              <w:spacing w:after="0" w:line="252" w:lineRule="auto"/>
            </w:pPr>
            <w:r>
              <w:rPr>
                <w:rFonts w:ascii="Aptos" w:hAnsi="Aptos" w:eastAsia="Aptos"/>
                <w:b/>
                <w:color w:val="0B2545"/>
                <w:sz w:val="19"/>
              </w:rPr>
              <w:t>Marketing Automation</w:t>
            </w:r>
          </w:p>
        </w:tc>
        <w:tc>
          <w:tcPr>
            <w:tcW w:type="dxa" w:w="414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Pre-stay, in-stay, post-stay, repeat, win-back и guest-to-owner lifecycle.</w:t>
            </w:r>
          </w:p>
        </w:tc>
        <w:tc>
          <w:tcPr>
            <w:tcW w:type="dxa" w:w="318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Событийная коммуникация с frequency control.</w:t>
            </w:r>
          </w:p>
        </w:tc>
      </w:tr>
      <w:tr>
        <w:trPr>
          <w:cantSplit/>
        </w:trPr>
        <w:tc>
          <w:tcPr>
            <w:tcW w:type="dxa" w:w="2040"/>
            <w:tcMar>
              <w:top w:w="100" w:type="dxa"/>
              <w:start w:w="130" w:type="dxa"/>
              <w:bottom w:w="100" w:type="dxa"/>
              <w:end w:w="130" w:type="dxa"/>
            </w:tcMar>
            <w:vAlign w:val="center"/>
          </w:tcPr>
          <w:p>
            <w:pPr>
              <w:spacing w:after="0" w:line="252" w:lineRule="auto"/>
            </w:pPr>
            <w:r>
              <w:rPr>
                <w:rFonts w:ascii="Aptos" w:hAnsi="Aptos" w:eastAsia="Aptos"/>
                <w:b/>
                <w:color w:val="0B2545"/>
                <w:sz w:val="19"/>
              </w:rPr>
              <w:t>Payments</w:t>
            </w:r>
          </w:p>
        </w:tc>
        <w:tc>
          <w:tcPr>
            <w:tcW w:type="dxa" w:w="4140"/>
            <w:tcMar>
              <w:top w:w="100" w:type="dxa"/>
              <w:start w:w="130" w:type="dxa"/>
              <w:bottom w:w="100" w:type="dxa"/>
              <w:end w:w="130" w:type="dxa"/>
            </w:tcMar>
            <w:vAlign w:val="center"/>
          </w:tcPr>
          <w:p>
            <w:pPr>
              <w:spacing w:after="0" w:line="252" w:lineRule="auto"/>
            </w:pPr>
            <w:r>
              <w:rPr>
                <w:rFonts w:ascii="Aptos" w:hAnsi="Aptos" w:eastAsia="Aptos"/>
                <w:b w:val="0"/>
                <w:color w:val="1F2933"/>
                <w:sz w:val="19"/>
              </w:rPr>
              <w:t>Оплата, возврат, депозит и сверка.</w:t>
            </w:r>
          </w:p>
        </w:tc>
        <w:tc>
          <w:tcPr>
            <w:tcW w:type="dxa" w:w="3180"/>
            <w:tcMar>
              <w:top w:w="100" w:type="dxa"/>
              <w:start w:w="130" w:type="dxa"/>
              <w:bottom w:w="100" w:type="dxa"/>
              <w:end w:w="130" w:type="dxa"/>
            </w:tcMar>
            <w:vAlign w:val="center"/>
          </w:tcPr>
          <w:p>
            <w:pPr>
              <w:spacing w:after="0" w:line="252" w:lineRule="auto"/>
            </w:pPr>
            <w:r>
              <w:rPr>
                <w:rFonts w:ascii="Aptos" w:hAnsi="Aptos" w:eastAsia="Aptos"/>
                <w:b w:val="0"/>
                <w:color w:val="1F2933"/>
                <w:sz w:val="19"/>
              </w:rPr>
              <w:t>Связь с booking ID и финансовым контуром.</w:t>
            </w:r>
          </w:p>
        </w:tc>
      </w:tr>
      <w:tr>
        <w:trPr>
          <w:cantSplit/>
        </w:trPr>
        <w:tc>
          <w:tcPr>
            <w:tcW w:type="dxa" w:w="2040"/>
            <w:tcMar>
              <w:top w:w="100" w:type="dxa"/>
              <w:start w:w="130" w:type="dxa"/>
              <w:bottom w:w="100" w:type="dxa"/>
              <w:end w:w="130" w:type="dxa"/>
            </w:tcMar>
            <w:vAlign w:val="center"/>
            <w:shd w:fill="FAFBFC"/>
          </w:tcPr>
          <w:p>
            <w:pPr>
              <w:spacing w:after="0" w:line="252" w:lineRule="auto"/>
            </w:pPr>
            <w:r>
              <w:rPr>
                <w:rFonts w:ascii="Aptos" w:hAnsi="Aptos" w:eastAsia="Aptos"/>
                <w:b/>
                <w:color w:val="0B2545"/>
                <w:sz w:val="19"/>
              </w:rPr>
              <w:t>Analytics</w:t>
            </w:r>
          </w:p>
        </w:tc>
        <w:tc>
          <w:tcPr>
            <w:tcW w:type="dxa" w:w="414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UTM, funnel, channel cost, revenue, margin и cohort performance.</w:t>
            </w:r>
          </w:p>
        </w:tc>
        <w:tc>
          <w:tcPr>
            <w:tcW w:type="dxa" w:w="318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Один управленческий отчёт по источнику.</w:t>
            </w:r>
          </w:p>
        </w:tc>
      </w:tr>
      <w:tr>
        <w:trPr>
          <w:cantSplit/>
        </w:trPr>
        <w:tc>
          <w:tcPr>
            <w:tcW w:type="dxa" w:w="2040"/>
            <w:tcMar>
              <w:top w:w="100" w:type="dxa"/>
              <w:start w:w="130" w:type="dxa"/>
              <w:bottom w:w="100" w:type="dxa"/>
              <w:end w:w="130" w:type="dxa"/>
            </w:tcMar>
            <w:vAlign w:val="center"/>
          </w:tcPr>
          <w:p>
            <w:pPr>
              <w:spacing w:after="0" w:line="252" w:lineRule="auto"/>
            </w:pPr>
            <w:r>
              <w:rPr>
                <w:rFonts w:ascii="Aptos" w:hAnsi="Aptos" w:eastAsia="Aptos"/>
                <w:b/>
                <w:color w:val="0B2545"/>
                <w:sz w:val="19"/>
              </w:rPr>
              <w:t>DAM / Reputation</w:t>
            </w:r>
          </w:p>
        </w:tc>
        <w:tc>
          <w:tcPr>
            <w:tcW w:type="dxa" w:w="4140"/>
            <w:tcMar>
              <w:top w:w="100" w:type="dxa"/>
              <w:start w:w="130" w:type="dxa"/>
              <w:bottom w:w="100" w:type="dxa"/>
              <w:end w:w="130" w:type="dxa"/>
            </w:tcMar>
            <w:vAlign w:val="center"/>
          </w:tcPr>
          <w:p>
            <w:pPr>
              <w:spacing w:after="0" w:line="252" w:lineRule="auto"/>
            </w:pPr>
            <w:r>
              <w:rPr>
                <w:rFonts w:ascii="Aptos" w:hAnsi="Aptos" w:eastAsia="Aptos"/>
                <w:b w:val="0"/>
                <w:color w:val="1F2933"/>
                <w:sz w:val="19"/>
              </w:rPr>
              <w:t>Фото, видео, права, отзывы и ответы.</w:t>
            </w:r>
          </w:p>
        </w:tc>
        <w:tc>
          <w:tcPr>
            <w:tcW w:type="dxa" w:w="3180"/>
            <w:tcMar>
              <w:top w:w="100" w:type="dxa"/>
              <w:start w:w="130" w:type="dxa"/>
              <w:bottom w:w="100" w:type="dxa"/>
              <w:end w:w="130" w:type="dxa"/>
            </w:tcMar>
            <w:vAlign w:val="center"/>
          </w:tcPr>
          <w:p>
            <w:pPr>
              <w:spacing w:after="0" w:line="252" w:lineRule="auto"/>
            </w:pPr>
            <w:r>
              <w:rPr>
                <w:rFonts w:ascii="Aptos" w:hAnsi="Aptos" w:eastAsia="Aptos"/>
                <w:b w:val="0"/>
                <w:color w:val="1F2933"/>
                <w:sz w:val="19"/>
              </w:rPr>
              <w:t>Один утверждённый источник материалов и обратной связи.</w:t>
            </w:r>
          </w:p>
        </w:tc>
      </w:tr>
    </w:tbl>
    <w:p>
      <w:pPr>
        <w:spacing w:before="0" w:after="40" w:line="264" w:lineRule="auto"/>
        <w:jc w:val="left"/>
      </w:pPr>
    </w:p>
    <w:p>
      <w:pPr>
        <w:pStyle w:val="Heading2"/>
        <w:keepNext/>
      </w:pPr>
      <w:r>
        <w:t>15.4. Архитектура домена и страниц</w:t>
      </w:r>
    </w:p>
    <w:p>
      <w:pPr>
        <w:spacing w:before="0" w:after="120" w:line="264" w:lineRule="auto"/>
        <w:jc w:val="left"/>
      </w:pPr>
      <w:r>
        <w:rPr>
          <w:rFonts w:ascii="Aptos" w:hAnsi="Aptos" w:eastAsia="Aptos"/>
          <w:b w:val="0"/>
          <w:i w:val="0"/>
          <w:color w:val="1F2933"/>
          <w:sz w:val="22"/>
        </w:rPr>
        <w:t>Базовая модель — один домен myUNO.com и страницы в подкаталогах, а не множество слабых сайтов и микродоменов.</w:t>
      </w:r>
    </w:p>
    <w:p>
      <w:pPr>
        <w:pStyle w:val="ListBullet"/>
        <w:spacing w:after="80" w:line="264" w:lineRule="auto"/>
      </w:pPr>
      <w:r>
        <w:rPr>
          <w:rFonts w:ascii="Aptos" w:hAnsi="Aptos" w:eastAsia="Aptos"/>
          <w:color w:val="1F2933"/>
          <w:sz w:val="22"/>
        </w:rPr>
        <w:t>myUNO.com/stay/villas/[asset] — законно допускаемые краткосрочные объекты.</w:t>
      </w:r>
    </w:p>
    <w:p>
      <w:pPr>
        <w:pStyle w:val="ListBullet"/>
        <w:spacing w:after="80" w:line="264" w:lineRule="auto"/>
      </w:pPr>
      <w:r>
        <w:rPr>
          <w:rFonts w:ascii="Aptos" w:hAnsi="Aptos" w:eastAsia="Aptos"/>
          <w:color w:val="1F2933"/>
          <w:sz w:val="22"/>
        </w:rPr>
        <w:t>myUNO.com/stay/residences/[asset] — управляемые резиденции с допустимым минимальным сроком.</w:t>
      </w:r>
    </w:p>
    <w:p>
      <w:pPr>
        <w:pStyle w:val="ListBullet"/>
        <w:spacing w:after="80" w:line="264" w:lineRule="auto"/>
      </w:pPr>
      <w:r>
        <w:rPr>
          <w:rFonts w:ascii="Aptos" w:hAnsi="Aptos" w:eastAsia="Aptos"/>
          <w:color w:val="1F2933"/>
          <w:sz w:val="22"/>
        </w:rPr>
        <w:t>myUNO.com/owners — мандат, стандарт, отчётность и asset review.</w:t>
      </w:r>
    </w:p>
    <w:p>
      <w:pPr>
        <w:pStyle w:val="ListBullet"/>
        <w:spacing w:after="80" w:line="264" w:lineRule="auto"/>
      </w:pPr>
      <w:r>
        <w:rPr>
          <w:rFonts w:ascii="Aptos" w:hAnsi="Aptos" w:eastAsia="Aptos"/>
          <w:color w:val="1F2933"/>
          <w:sz w:val="22"/>
        </w:rPr>
        <w:t>myUNO.com/buy — только проверяемые объекты, которые компания готова защищать и управлять.</w:t>
      </w:r>
    </w:p>
    <w:p>
      <w:pPr>
        <w:spacing w:before="0" w:after="120" w:line="264" w:lineRule="auto"/>
        <w:jc w:val="left"/>
      </w:pPr>
      <w:r>
        <w:rPr>
          <w:rFonts w:ascii="Aptos" w:hAnsi="Aptos" w:eastAsia="Aptos"/>
          <w:b w:val="0"/>
          <w:i w:val="0"/>
          <w:color w:val="1F2933"/>
          <w:sz w:val="22"/>
        </w:rPr>
        <w:t>Гостиница или резорт с сильным существующим брендом может сохранить собственный домен. Его booking engine, аналитика, CRM и каналы синхронизируются с общим ядром, а роль myUNO обозначается согласно мандату. Отдельный домен не должен создавать отдельную неуправляемую базу данных.</w:t>
      </w:r>
    </w:p>
    <w:p>
      <w:pPr>
        <w:pStyle w:val="Heading2"/>
        <w:keepNext/>
      </w:pPr>
      <w:r>
        <w:t>15.5. Стандарт asset page</w:t>
      </w:r>
    </w:p>
    <w:p>
      <w:pPr>
        <w:pStyle w:val="ListBullet"/>
        <w:spacing w:after="80" w:line="264" w:lineRule="auto"/>
      </w:pPr>
      <w:r>
        <w:rPr>
          <w:rFonts w:ascii="Aptos" w:hAnsi="Aptos" w:eastAsia="Aptos"/>
          <w:color w:val="1F2933"/>
          <w:sz w:val="22"/>
        </w:rPr>
        <w:t>Живой календарь, окончательная цена, налоги и обязательные доплаты.</w:t>
      </w:r>
    </w:p>
    <w:p>
      <w:pPr>
        <w:pStyle w:val="ListBullet"/>
        <w:spacing w:after="80" w:line="264" w:lineRule="auto"/>
      </w:pPr>
      <w:r>
        <w:rPr>
          <w:rFonts w:ascii="Aptos" w:hAnsi="Aptos" w:eastAsia="Aptos"/>
          <w:color w:val="1F2933"/>
          <w:sz w:val="22"/>
        </w:rPr>
        <w:t>Тип, площадь, вместимость, спальни, фактические фотографии, точная локация и существенные ограничения.</w:t>
      </w:r>
    </w:p>
    <w:p>
      <w:pPr>
        <w:pStyle w:val="ListBullet"/>
        <w:spacing w:after="80" w:line="264" w:lineRule="auto"/>
      </w:pPr>
      <w:r>
        <w:rPr>
          <w:rFonts w:ascii="Aptos" w:hAnsi="Aptos" w:eastAsia="Aptos"/>
          <w:color w:val="1F2933"/>
          <w:sz w:val="22"/>
        </w:rPr>
        <w:t>Что включено, правила, минимальный срок, отмена, депозит и ответственность.</w:t>
      </w:r>
    </w:p>
    <w:p>
      <w:pPr>
        <w:pStyle w:val="ListBullet"/>
        <w:spacing w:after="80" w:line="264" w:lineRule="auto"/>
      </w:pPr>
      <w:r>
        <w:rPr>
          <w:rFonts w:ascii="Aptos" w:hAnsi="Aptos" w:eastAsia="Aptos"/>
          <w:color w:val="1F2933"/>
          <w:sz w:val="22"/>
        </w:rPr>
        <w:t>Фактическое время ответа, оператор и маркировка Managed / Operated by myUNO.</w:t>
      </w:r>
    </w:p>
    <w:p>
      <w:pPr>
        <w:pStyle w:val="ListBullet"/>
        <w:spacing w:after="80" w:line="264" w:lineRule="auto"/>
      </w:pPr>
      <w:r>
        <w:rPr>
          <w:rFonts w:ascii="Aptos" w:hAnsi="Aptos" w:eastAsia="Aptos"/>
          <w:color w:val="1F2933"/>
          <w:sz w:val="22"/>
        </w:rPr>
        <w:t>Причина бронировать напрямую: цена либо измеримая ценность — условия, контакт, включения, гибкость или привилегия повторного гостя.</w:t>
      </w:r>
    </w:p>
    <w:p>
      <w:pPr>
        <w:pStyle w:val="ListBullet"/>
        <w:spacing w:after="80" w:line="264" w:lineRule="auto"/>
      </w:pPr>
      <w:r>
        <w:rPr>
          <w:rFonts w:ascii="Aptos" w:hAnsi="Aptos" w:eastAsia="Aptos"/>
          <w:color w:val="1F2933"/>
          <w:sz w:val="22"/>
        </w:rPr>
        <w:t>Отзывы, дата обновления, provenance существенных фактов и один CTA «Проверить даты».</w:t>
      </w:r>
    </w:p>
    <w:p>
      <w:pPr>
        <w:pStyle w:val="Heading2"/>
        <w:keepNext/>
      </w:pPr>
      <w:r>
        <w:t>15.6. Прямой booking flow</w:t>
      </w:r>
    </w:p>
    <w:tbl>
      <w:tblPr>
        <w:tblW w:type="dxa" w:w="9360"/>
        <w:jc w:val="left"/>
        <w:tblLayout w:type="fixed"/>
        <w:tblLook w:firstColumn="1" w:firstRow="1" w:lastColumn="0" w:lastRow="0" w:noHBand="0" w:noVBand="1" w:val="04A0"/>
        <w:tblInd w:w="120" w:type="dxa"/>
        <w:tblBorders>
          <w:top w:val="single" w:sz="6" w:space="0" w:color="D6DCE2"/>
          <w:left w:val="single" w:sz="6" w:space="0" w:color="D6DCE2"/>
          <w:bottom w:val="single" w:sz="6" w:space="0" w:color="D6DCE2"/>
          <w:right w:val="single" w:sz="6" w:space="0" w:color="D6DCE2"/>
          <w:insideH w:val="single" w:sz="6" w:space="0" w:color="D6DCE2"/>
          <w:insideV w:val="single" w:sz="6" w:space="0" w:color="D6DCE2"/>
        </w:tblBorders>
      </w:tblPr>
      <w:tblGrid>
        <w:gridCol w:w="1560"/>
        <w:gridCol w:w="4440"/>
        <w:gridCol w:w="3360"/>
      </w:tblGrid>
      <w:tr>
        <w:trPr>
          <w:tblHeader w:val="true"/>
          <w:cantSplit/>
        </w:trPr>
        <w:tc>
          <w:tcPr>
            <w:tcW w:type="dxa" w:w="1560"/>
            <w:shd w:fill="0B2545"/>
            <w:tcMar>
              <w:top w:w="100" w:type="dxa"/>
              <w:start w:w="130" w:type="dxa"/>
              <w:bottom w:w="100" w:type="dxa"/>
              <w:end w:w="130" w:type="dxa"/>
            </w:tcMar>
            <w:vAlign w:val="center"/>
          </w:tcPr>
          <w:p>
            <w:pPr>
              <w:spacing w:after="0" w:line="240" w:lineRule="auto"/>
            </w:pPr>
            <w:r>
              <w:rPr>
                <w:rFonts w:ascii="Aptos" w:hAnsi="Aptos" w:eastAsia="Aptos"/>
                <w:b/>
                <w:color w:val="FFFFFF"/>
                <w:sz w:val="19"/>
              </w:rPr>
              <w:t>ШАГ</w:t>
            </w:r>
          </w:p>
        </w:tc>
        <w:tc>
          <w:tcPr>
            <w:tcW w:type="dxa" w:w="4440"/>
            <w:shd w:fill="0B2545"/>
            <w:tcMar>
              <w:top w:w="100" w:type="dxa"/>
              <w:start w:w="130" w:type="dxa"/>
              <w:bottom w:w="100" w:type="dxa"/>
              <w:end w:w="130" w:type="dxa"/>
            </w:tcMar>
            <w:vAlign w:val="center"/>
          </w:tcPr>
          <w:p>
            <w:pPr>
              <w:spacing w:after="0" w:line="240" w:lineRule="auto"/>
            </w:pPr>
            <w:r>
              <w:rPr>
                <w:rFonts w:ascii="Aptos" w:hAnsi="Aptos" w:eastAsia="Aptos"/>
                <w:b/>
                <w:color w:val="FFFFFF"/>
                <w:sz w:val="19"/>
              </w:rPr>
              <w:t>ДЕЙСТВИЕ</w:t>
            </w:r>
          </w:p>
        </w:tc>
        <w:tc>
          <w:tcPr>
            <w:tcW w:type="dxa" w:w="3360"/>
            <w:shd w:fill="0B2545"/>
            <w:tcMar>
              <w:top w:w="100" w:type="dxa"/>
              <w:start w:w="130" w:type="dxa"/>
              <w:bottom w:w="100" w:type="dxa"/>
              <w:end w:w="130" w:type="dxa"/>
            </w:tcMar>
            <w:vAlign w:val="center"/>
          </w:tcPr>
          <w:p>
            <w:pPr>
              <w:spacing w:after="0" w:line="240" w:lineRule="auto"/>
            </w:pPr>
            <w:r>
              <w:rPr>
                <w:rFonts w:ascii="Aptos" w:hAnsi="Aptos" w:eastAsia="Aptos"/>
                <w:b/>
                <w:color w:val="FFFFFF"/>
                <w:sz w:val="19"/>
              </w:rPr>
              <w:t>КОНТРОЛЬ</w:t>
            </w:r>
          </w:p>
        </w:tc>
      </w:tr>
      <w:tr>
        <w:trPr>
          <w:cantSplit/>
        </w:trPr>
        <w:tc>
          <w:tcPr>
            <w:tcW w:type="dxa" w:w="1560"/>
            <w:tcMar>
              <w:top w:w="100" w:type="dxa"/>
              <w:start w:w="130" w:type="dxa"/>
              <w:bottom w:w="100" w:type="dxa"/>
              <w:end w:w="130" w:type="dxa"/>
            </w:tcMar>
            <w:vAlign w:val="center"/>
          </w:tcPr>
          <w:p>
            <w:pPr>
              <w:spacing w:after="0" w:line="252" w:lineRule="auto"/>
            </w:pPr>
            <w:r>
              <w:rPr>
                <w:rFonts w:ascii="Aptos" w:hAnsi="Aptos" w:eastAsia="Aptos"/>
                <w:b/>
                <w:color w:val="0B2545"/>
                <w:sz w:val="19"/>
              </w:rPr>
              <w:t>1. Intent</w:t>
            </w:r>
          </w:p>
        </w:tc>
        <w:tc>
          <w:tcPr>
            <w:tcW w:type="dxa" w:w="4440"/>
            <w:tcMar>
              <w:top w:w="100" w:type="dxa"/>
              <w:start w:w="130" w:type="dxa"/>
              <w:bottom w:w="100" w:type="dxa"/>
              <w:end w:w="130" w:type="dxa"/>
            </w:tcMar>
            <w:vAlign w:val="center"/>
          </w:tcPr>
          <w:p>
            <w:pPr>
              <w:spacing w:after="0" w:line="252" w:lineRule="auto"/>
            </w:pPr>
            <w:r>
              <w:rPr>
                <w:rFonts w:ascii="Aptos" w:hAnsi="Aptos" w:eastAsia="Aptos"/>
                <w:b w:val="0"/>
                <w:color w:val="1F2933"/>
                <w:sz w:val="19"/>
              </w:rPr>
              <w:t>Даты, гости, промокод или источник.</w:t>
            </w:r>
          </w:p>
        </w:tc>
        <w:tc>
          <w:tcPr>
            <w:tcW w:type="dxa" w:w="3360"/>
            <w:tcMar>
              <w:top w:w="100" w:type="dxa"/>
              <w:start w:w="130" w:type="dxa"/>
              <w:bottom w:w="100" w:type="dxa"/>
              <w:end w:w="130" w:type="dxa"/>
            </w:tcMar>
            <w:vAlign w:val="center"/>
          </w:tcPr>
          <w:p>
            <w:pPr>
              <w:spacing w:after="0" w:line="252" w:lineRule="auto"/>
            </w:pPr>
            <w:r>
              <w:rPr>
                <w:rFonts w:ascii="Aptos" w:hAnsi="Aptos" w:eastAsia="Aptos"/>
                <w:b w:val="0"/>
                <w:color w:val="1F2933"/>
                <w:sz w:val="19"/>
              </w:rPr>
              <w:t>Корректный Asset ID и attribution.</w:t>
            </w:r>
          </w:p>
        </w:tc>
      </w:tr>
      <w:tr>
        <w:trPr>
          <w:cantSplit/>
        </w:trPr>
        <w:tc>
          <w:tcPr>
            <w:tcW w:type="dxa" w:w="1560"/>
            <w:tcMar>
              <w:top w:w="100" w:type="dxa"/>
              <w:start w:w="130" w:type="dxa"/>
              <w:bottom w:w="100" w:type="dxa"/>
              <w:end w:w="130" w:type="dxa"/>
            </w:tcMar>
            <w:vAlign w:val="center"/>
            <w:shd w:fill="FAFBFC"/>
          </w:tcPr>
          <w:p>
            <w:pPr>
              <w:spacing w:after="0" w:line="252" w:lineRule="auto"/>
            </w:pPr>
            <w:r>
              <w:rPr>
                <w:rFonts w:ascii="Aptos" w:hAnsi="Aptos" w:eastAsia="Aptos"/>
                <w:b/>
                <w:color w:val="0B2545"/>
                <w:sz w:val="19"/>
              </w:rPr>
              <w:t>2. Offer</w:t>
            </w:r>
          </w:p>
        </w:tc>
        <w:tc>
          <w:tcPr>
            <w:tcW w:type="dxa" w:w="444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Доступные типы, полная цена, условия и включения.</w:t>
            </w:r>
          </w:p>
        </w:tc>
        <w:tc>
          <w:tcPr>
            <w:tcW w:type="dxa" w:w="336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Совпадение с PMS и channel rules.</w:t>
            </w:r>
          </w:p>
        </w:tc>
      </w:tr>
      <w:tr>
        <w:trPr>
          <w:cantSplit/>
        </w:trPr>
        <w:tc>
          <w:tcPr>
            <w:tcW w:type="dxa" w:w="1560"/>
            <w:tcMar>
              <w:top w:w="100" w:type="dxa"/>
              <w:start w:w="130" w:type="dxa"/>
              <w:bottom w:w="100" w:type="dxa"/>
              <w:end w:w="130" w:type="dxa"/>
            </w:tcMar>
            <w:vAlign w:val="center"/>
          </w:tcPr>
          <w:p>
            <w:pPr>
              <w:spacing w:after="0" w:line="252" w:lineRule="auto"/>
            </w:pPr>
            <w:r>
              <w:rPr>
                <w:rFonts w:ascii="Aptos" w:hAnsi="Aptos" w:eastAsia="Aptos"/>
                <w:b/>
                <w:color w:val="0B2545"/>
                <w:sz w:val="19"/>
              </w:rPr>
              <w:t>3. Guest</w:t>
            </w:r>
          </w:p>
        </w:tc>
        <w:tc>
          <w:tcPr>
            <w:tcW w:type="dxa" w:w="4440"/>
            <w:tcMar>
              <w:top w:w="100" w:type="dxa"/>
              <w:start w:w="130" w:type="dxa"/>
              <w:bottom w:w="100" w:type="dxa"/>
              <w:end w:w="130" w:type="dxa"/>
            </w:tcMar>
            <w:vAlign w:val="center"/>
          </w:tcPr>
          <w:p>
            <w:pPr>
              <w:spacing w:after="0" w:line="252" w:lineRule="auto"/>
            </w:pPr>
            <w:r>
              <w:rPr>
                <w:rFonts w:ascii="Aptos" w:hAnsi="Aptos" w:eastAsia="Aptos"/>
                <w:b w:val="0"/>
                <w:color w:val="1F2933"/>
                <w:sz w:val="19"/>
              </w:rPr>
              <w:t>Контакты, состав, согласия и существенные запросы.</w:t>
            </w:r>
          </w:p>
        </w:tc>
        <w:tc>
          <w:tcPr>
            <w:tcW w:type="dxa" w:w="3360"/>
            <w:tcMar>
              <w:top w:w="100" w:type="dxa"/>
              <w:start w:w="130" w:type="dxa"/>
              <w:bottom w:w="100" w:type="dxa"/>
              <w:end w:w="130" w:type="dxa"/>
            </w:tcMar>
            <w:vAlign w:val="center"/>
          </w:tcPr>
          <w:p>
            <w:pPr>
              <w:spacing w:after="0" w:line="252" w:lineRule="auto"/>
            </w:pPr>
            <w:r>
              <w:rPr>
                <w:rFonts w:ascii="Aptos" w:hAnsi="Aptos" w:eastAsia="Aptos"/>
                <w:b w:val="0"/>
                <w:color w:val="1F2933"/>
                <w:sz w:val="19"/>
              </w:rPr>
              <w:t>Создание или объединение Party ID.</w:t>
            </w:r>
          </w:p>
        </w:tc>
      </w:tr>
      <w:tr>
        <w:trPr>
          <w:cantSplit/>
        </w:trPr>
        <w:tc>
          <w:tcPr>
            <w:tcW w:type="dxa" w:w="1560"/>
            <w:tcMar>
              <w:top w:w="100" w:type="dxa"/>
              <w:start w:w="130" w:type="dxa"/>
              <w:bottom w:w="100" w:type="dxa"/>
              <w:end w:w="130" w:type="dxa"/>
            </w:tcMar>
            <w:vAlign w:val="center"/>
            <w:shd w:fill="FAFBFC"/>
          </w:tcPr>
          <w:p>
            <w:pPr>
              <w:spacing w:after="0" w:line="252" w:lineRule="auto"/>
            </w:pPr>
            <w:r>
              <w:rPr>
                <w:rFonts w:ascii="Aptos" w:hAnsi="Aptos" w:eastAsia="Aptos"/>
                <w:b/>
                <w:color w:val="0B2545"/>
                <w:sz w:val="19"/>
              </w:rPr>
              <w:t>4. Payment</w:t>
            </w:r>
          </w:p>
        </w:tc>
        <w:tc>
          <w:tcPr>
            <w:tcW w:type="dxa" w:w="444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Разрешённый способ оплаты, депозит и подтверждение.</w:t>
            </w:r>
          </w:p>
        </w:tc>
        <w:tc>
          <w:tcPr>
            <w:tcW w:type="dxa" w:w="336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Booking ID, receipt, fraud и refund rules.</w:t>
            </w:r>
          </w:p>
        </w:tc>
      </w:tr>
      <w:tr>
        <w:trPr>
          <w:cantSplit/>
        </w:trPr>
        <w:tc>
          <w:tcPr>
            <w:tcW w:type="dxa" w:w="1560"/>
            <w:tcMar>
              <w:top w:w="100" w:type="dxa"/>
              <w:start w:w="130" w:type="dxa"/>
              <w:bottom w:w="100" w:type="dxa"/>
              <w:end w:w="130" w:type="dxa"/>
            </w:tcMar>
            <w:vAlign w:val="center"/>
          </w:tcPr>
          <w:p>
            <w:pPr>
              <w:spacing w:after="0" w:line="252" w:lineRule="auto"/>
            </w:pPr>
            <w:r>
              <w:rPr>
                <w:rFonts w:ascii="Aptos" w:hAnsi="Aptos" w:eastAsia="Aptos"/>
                <w:b/>
                <w:color w:val="0B2545"/>
                <w:sz w:val="19"/>
              </w:rPr>
              <w:t>5. Confirmation</w:t>
            </w:r>
          </w:p>
        </w:tc>
        <w:tc>
          <w:tcPr>
            <w:tcW w:type="dxa" w:w="4440"/>
            <w:tcMar>
              <w:top w:w="100" w:type="dxa"/>
              <w:start w:w="130" w:type="dxa"/>
              <w:bottom w:w="100" w:type="dxa"/>
              <w:end w:w="130" w:type="dxa"/>
            </w:tcMar>
            <w:vAlign w:val="center"/>
          </w:tcPr>
          <w:p>
            <w:pPr>
              <w:spacing w:after="0" w:line="252" w:lineRule="auto"/>
            </w:pPr>
            <w:r>
              <w:rPr>
                <w:rFonts w:ascii="Aptos" w:hAnsi="Aptos" w:eastAsia="Aptos"/>
                <w:b w:val="0"/>
                <w:color w:val="1F2933"/>
                <w:sz w:val="19"/>
              </w:rPr>
              <w:t>Мгновенное подтверждение и понятный pre-arrival plan.</w:t>
            </w:r>
          </w:p>
        </w:tc>
        <w:tc>
          <w:tcPr>
            <w:tcW w:type="dxa" w:w="3360"/>
            <w:tcMar>
              <w:top w:w="100" w:type="dxa"/>
              <w:start w:w="130" w:type="dxa"/>
              <w:bottom w:w="100" w:type="dxa"/>
              <w:end w:w="130" w:type="dxa"/>
            </w:tcMar>
            <w:vAlign w:val="center"/>
          </w:tcPr>
          <w:p>
            <w:pPr>
              <w:spacing w:after="0" w:line="252" w:lineRule="auto"/>
            </w:pPr>
            <w:r>
              <w:rPr>
                <w:rFonts w:ascii="Aptos" w:hAnsi="Aptos" w:eastAsia="Aptos"/>
                <w:b w:val="0"/>
                <w:color w:val="1F2933"/>
                <w:sz w:val="19"/>
              </w:rPr>
              <w:t>Запись в PMS, CRM и финансовом контуре.</w:t>
            </w:r>
          </w:p>
        </w:tc>
      </w:tr>
      <w:tr>
        <w:trPr>
          <w:cantSplit/>
        </w:trPr>
        <w:tc>
          <w:tcPr>
            <w:tcW w:type="dxa" w:w="1560"/>
            <w:tcMar>
              <w:top w:w="100" w:type="dxa"/>
              <w:start w:w="130" w:type="dxa"/>
              <w:bottom w:w="100" w:type="dxa"/>
              <w:end w:w="130" w:type="dxa"/>
            </w:tcMar>
            <w:vAlign w:val="center"/>
            <w:shd w:fill="FAFBFC"/>
          </w:tcPr>
          <w:p>
            <w:pPr>
              <w:spacing w:after="0" w:line="252" w:lineRule="auto"/>
            </w:pPr>
            <w:r>
              <w:rPr>
                <w:rFonts w:ascii="Aptos" w:hAnsi="Aptos" w:eastAsia="Aptos"/>
                <w:b/>
                <w:color w:val="0B2545"/>
                <w:sz w:val="19"/>
              </w:rPr>
              <w:t>6. Lifecycle</w:t>
            </w:r>
          </w:p>
        </w:tc>
        <w:tc>
          <w:tcPr>
            <w:tcW w:type="dxa" w:w="444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Предзаезд, проживание, отзыв, повторная бронь и релевантный property conversation.</w:t>
            </w:r>
          </w:p>
        </w:tc>
        <w:tc>
          <w:tcPr>
            <w:tcW w:type="dxa" w:w="336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Событийная коммуникация и frequency control.</w:t>
            </w:r>
          </w:p>
        </w:tc>
      </w:tr>
    </w:tbl>
    <w:p>
      <w:pPr>
        <w:spacing w:before="0" w:after="40" w:line="264" w:lineRule="auto"/>
        <w:jc w:val="left"/>
      </w:pPr>
    </w:p>
    <w:p>
      <w:pPr>
        <w:pStyle w:val="Heading2"/>
        <w:keepNext/>
      </w:pPr>
      <w:r>
        <w:t>15.7. Прямое ценностное предложение</w:t>
      </w:r>
    </w:p>
    <w:p>
      <w:pPr>
        <w:spacing w:before="0" w:after="120" w:line="264" w:lineRule="auto"/>
        <w:jc w:val="left"/>
      </w:pPr>
      <w:r>
        <w:rPr>
          <w:rFonts w:ascii="Aptos" w:hAnsi="Aptos" w:eastAsia="Aptos"/>
          <w:b w:val="0"/>
          <w:i w:val="0"/>
          <w:color w:val="1F2933"/>
          <w:sz w:val="22"/>
        </w:rPr>
        <w:t>Прямой канал должен давать гостю объективную причину изменить привычный способ бронирования. Это может быть более выгодная итоговая цена, но только если она допускается договорными условиями канала. Альтернативы: включённый трансфер, гибкие условия, приоритет раннего заезда, прямой контакт, привилегия повторного гостя или гарантированная ясность условий.</w:t>
      </w:r>
    </w:p>
    <w:p>
      <w:pPr>
        <w:spacing w:before="0" w:after="120" w:line="264" w:lineRule="auto"/>
        <w:jc w:val="left"/>
      </w:pPr>
      <w:r>
        <w:rPr>
          <w:rFonts w:ascii="Aptos" w:hAnsi="Aptos" w:eastAsia="Aptos"/>
          <w:b w:val="0"/>
          <w:i/>
          <w:color w:val="5E6B75"/>
          <w:sz w:val="22"/>
        </w:rPr>
        <w:t>Скрытая доплата или цена, не совпадающая с посадочной страницей и booking engine, разрушает доверие и канал. Price accuracy, полное раскрытие и качество landing page являются операционными KPI, а не задачей только маркетинга.</w:t>
      </w:r>
    </w:p>
    <w:p>
      <w:pPr>
        <w:pStyle w:val="Heading2"/>
        <w:keepNext/>
      </w:pPr>
      <w:r>
        <w:t>15.8. Lifecycle гостя</w:t>
      </w:r>
    </w:p>
    <w:tbl>
      <w:tblPr>
        <w:tblW w:type="dxa" w:w="9360"/>
        <w:jc w:val="left"/>
        <w:tblLayout w:type="fixed"/>
        <w:tblLook w:firstColumn="1" w:firstRow="1" w:lastColumn="0" w:lastRow="0" w:noHBand="0" w:noVBand="1" w:val="04A0"/>
        <w:tblInd w:w="120" w:type="dxa"/>
        <w:tblBorders>
          <w:top w:val="single" w:sz="6" w:space="0" w:color="D6DCE2"/>
          <w:left w:val="single" w:sz="6" w:space="0" w:color="D6DCE2"/>
          <w:bottom w:val="single" w:sz="6" w:space="0" w:color="D6DCE2"/>
          <w:right w:val="single" w:sz="6" w:space="0" w:color="D6DCE2"/>
          <w:insideH w:val="single" w:sz="6" w:space="0" w:color="D6DCE2"/>
          <w:insideV w:val="single" w:sz="6" w:space="0" w:color="D6DCE2"/>
        </w:tblBorders>
      </w:tblPr>
      <w:tblGrid>
        <w:gridCol w:w="1800"/>
        <w:gridCol w:w="4320"/>
        <w:gridCol w:w="3240"/>
      </w:tblGrid>
      <w:tr>
        <w:trPr>
          <w:tblHeader w:val="true"/>
          <w:cantSplit/>
        </w:trPr>
        <w:tc>
          <w:tcPr>
            <w:tcW w:type="dxa" w:w="1800"/>
            <w:shd w:fill="0B2545"/>
            <w:tcMar>
              <w:top w:w="100" w:type="dxa"/>
              <w:start w:w="130" w:type="dxa"/>
              <w:bottom w:w="100" w:type="dxa"/>
              <w:end w:w="130" w:type="dxa"/>
            </w:tcMar>
            <w:vAlign w:val="center"/>
          </w:tcPr>
          <w:p>
            <w:pPr>
              <w:spacing w:after="0" w:line="240" w:lineRule="auto"/>
            </w:pPr>
            <w:r>
              <w:rPr>
                <w:rFonts w:ascii="Aptos" w:hAnsi="Aptos" w:eastAsia="Aptos"/>
                <w:b/>
                <w:color w:val="FFFFFF"/>
                <w:sz w:val="19"/>
              </w:rPr>
              <w:t>ПЕРИОД</w:t>
            </w:r>
          </w:p>
        </w:tc>
        <w:tc>
          <w:tcPr>
            <w:tcW w:type="dxa" w:w="4320"/>
            <w:shd w:fill="0B2545"/>
            <w:tcMar>
              <w:top w:w="100" w:type="dxa"/>
              <w:start w:w="130" w:type="dxa"/>
              <w:bottom w:w="100" w:type="dxa"/>
              <w:end w:w="130" w:type="dxa"/>
            </w:tcMar>
            <w:vAlign w:val="center"/>
          </w:tcPr>
          <w:p>
            <w:pPr>
              <w:spacing w:after="0" w:line="240" w:lineRule="auto"/>
            </w:pPr>
            <w:r>
              <w:rPr>
                <w:rFonts w:ascii="Aptos" w:hAnsi="Aptos" w:eastAsia="Aptos"/>
                <w:b/>
                <w:color w:val="FFFFFF"/>
                <w:sz w:val="19"/>
              </w:rPr>
              <w:t>КОММУНИКАЦИЯ</w:t>
            </w:r>
          </w:p>
        </w:tc>
        <w:tc>
          <w:tcPr>
            <w:tcW w:type="dxa" w:w="3240"/>
            <w:shd w:fill="0B2545"/>
            <w:tcMar>
              <w:top w:w="100" w:type="dxa"/>
              <w:start w:w="130" w:type="dxa"/>
              <w:bottom w:w="100" w:type="dxa"/>
              <w:end w:w="130" w:type="dxa"/>
            </w:tcMar>
            <w:vAlign w:val="center"/>
          </w:tcPr>
          <w:p>
            <w:pPr>
              <w:spacing w:after="0" w:line="240" w:lineRule="auto"/>
            </w:pPr>
            <w:r>
              <w:rPr>
                <w:rFonts w:ascii="Aptos" w:hAnsi="Aptos" w:eastAsia="Aptos"/>
                <w:b/>
                <w:color w:val="FFFFFF"/>
                <w:sz w:val="19"/>
              </w:rPr>
              <w:t>КОММЕРЧЕСКАЯ ЦЕЛЬ</w:t>
            </w:r>
          </w:p>
        </w:tc>
      </w:tr>
      <w:tr>
        <w:trPr>
          <w:cantSplit/>
        </w:trPr>
        <w:tc>
          <w:tcPr>
            <w:tcW w:type="dxa" w:w="1800"/>
            <w:tcMar>
              <w:top w:w="100" w:type="dxa"/>
              <w:start w:w="130" w:type="dxa"/>
              <w:bottom w:w="100" w:type="dxa"/>
              <w:end w:w="130" w:type="dxa"/>
            </w:tcMar>
            <w:vAlign w:val="center"/>
          </w:tcPr>
          <w:p>
            <w:pPr>
              <w:spacing w:after="0" w:line="252" w:lineRule="auto"/>
            </w:pPr>
            <w:r>
              <w:rPr>
                <w:rFonts w:ascii="Aptos" w:hAnsi="Aptos" w:eastAsia="Aptos"/>
                <w:b/>
                <w:color w:val="0B2545"/>
                <w:sz w:val="19"/>
              </w:rPr>
              <w:t>До брони</w:t>
            </w:r>
          </w:p>
        </w:tc>
        <w:tc>
          <w:tcPr>
            <w:tcW w:type="dxa" w:w="4320"/>
            <w:tcMar>
              <w:top w:w="100" w:type="dxa"/>
              <w:start w:w="130" w:type="dxa"/>
              <w:bottom w:w="100" w:type="dxa"/>
              <w:end w:w="130" w:type="dxa"/>
            </w:tcMar>
            <w:vAlign w:val="center"/>
          </w:tcPr>
          <w:p>
            <w:pPr>
              <w:spacing w:after="0" w:line="252" w:lineRule="auto"/>
            </w:pPr>
            <w:r>
              <w:rPr>
                <w:rFonts w:ascii="Aptos" w:hAnsi="Aptos" w:eastAsia="Aptos"/>
                <w:b w:val="0"/>
                <w:color w:val="1F2933"/>
                <w:sz w:val="19"/>
              </w:rPr>
              <w:t>Ответ на вопросы, abandoned search, подтверждение ценности direct.</w:t>
            </w:r>
          </w:p>
        </w:tc>
        <w:tc>
          <w:tcPr>
            <w:tcW w:type="dxa" w:w="3240"/>
            <w:tcMar>
              <w:top w:w="100" w:type="dxa"/>
              <w:start w:w="130" w:type="dxa"/>
              <w:bottom w:w="100" w:type="dxa"/>
              <w:end w:w="130" w:type="dxa"/>
            </w:tcMar>
            <w:vAlign w:val="center"/>
          </w:tcPr>
          <w:p>
            <w:pPr>
              <w:spacing w:after="0" w:line="252" w:lineRule="auto"/>
            </w:pPr>
            <w:r>
              <w:rPr>
                <w:rFonts w:ascii="Aptos" w:hAnsi="Aptos" w:eastAsia="Aptos"/>
                <w:b w:val="0"/>
                <w:color w:val="1F2933"/>
                <w:sz w:val="19"/>
              </w:rPr>
              <w:t>Конверсия без давления.</w:t>
            </w:r>
          </w:p>
        </w:tc>
      </w:tr>
      <w:tr>
        <w:trPr>
          <w:cantSplit/>
        </w:trPr>
        <w:tc>
          <w:tcPr>
            <w:tcW w:type="dxa" w:w="1800"/>
            <w:tcMar>
              <w:top w:w="100" w:type="dxa"/>
              <w:start w:w="130" w:type="dxa"/>
              <w:bottom w:w="100" w:type="dxa"/>
              <w:end w:w="130" w:type="dxa"/>
            </w:tcMar>
            <w:vAlign w:val="center"/>
            <w:shd w:fill="FAFBFC"/>
          </w:tcPr>
          <w:p>
            <w:pPr>
              <w:spacing w:after="0" w:line="252" w:lineRule="auto"/>
            </w:pPr>
            <w:r>
              <w:rPr>
                <w:rFonts w:ascii="Aptos" w:hAnsi="Aptos" w:eastAsia="Aptos"/>
                <w:b/>
                <w:color w:val="0B2545"/>
                <w:sz w:val="19"/>
              </w:rPr>
              <w:t>Pre-stay</w:t>
            </w:r>
          </w:p>
        </w:tc>
        <w:tc>
          <w:tcPr>
            <w:tcW w:type="dxa" w:w="432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Инструкции, трансфер, состав гостей, специальные запросы.</w:t>
            </w:r>
          </w:p>
        </w:tc>
        <w:tc>
          <w:tcPr>
            <w:tcW w:type="dxa" w:w="324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Снижение ошибок и релевантный upsell.</w:t>
            </w:r>
          </w:p>
        </w:tc>
      </w:tr>
      <w:tr>
        <w:trPr>
          <w:cantSplit/>
        </w:trPr>
        <w:tc>
          <w:tcPr>
            <w:tcW w:type="dxa" w:w="1800"/>
            <w:tcMar>
              <w:top w:w="100" w:type="dxa"/>
              <w:start w:w="130" w:type="dxa"/>
              <w:bottom w:w="100" w:type="dxa"/>
              <w:end w:w="130" w:type="dxa"/>
            </w:tcMar>
            <w:vAlign w:val="center"/>
          </w:tcPr>
          <w:p>
            <w:pPr>
              <w:spacing w:after="0" w:line="252" w:lineRule="auto"/>
            </w:pPr>
            <w:r>
              <w:rPr>
                <w:rFonts w:ascii="Aptos" w:hAnsi="Aptos" w:eastAsia="Aptos"/>
                <w:b/>
                <w:color w:val="0B2545"/>
                <w:sz w:val="19"/>
              </w:rPr>
              <w:t>In-stay</w:t>
            </w:r>
          </w:p>
        </w:tc>
        <w:tc>
          <w:tcPr>
            <w:tcW w:type="dxa" w:w="4320"/>
            <w:tcMar>
              <w:top w:w="100" w:type="dxa"/>
              <w:start w:w="130" w:type="dxa"/>
              <w:bottom w:w="100" w:type="dxa"/>
              <w:end w:w="130" w:type="dxa"/>
            </w:tcMar>
            <w:vAlign w:val="center"/>
          </w:tcPr>
          <w:p>
            <w:pPr>
              <w:spacing w:after="0" w:line="252" w:lineRule="auto"/>
            </w:pPr>
            <w:r>
              <w:rPr>
                <w:rFonts w:ascii="Aptos" w:hAnsi="Aptos" w:eastAsia="Aptos"/>
                <w:b w:val="0"/>
                <w:color w:val="1F2933"/>
                <w:sz w:val="19"/>
              </w:rPr>
              <w:t>Сервис, incident response, дополнительные услуги и продление.</w:t>
            </w:r>
          </w:p>
        </w:tc>
        <w:tc>
          <w:tcPr>
            <w:tcW w:type="dxa" w:w="3240"/>
            <w:tcMar>
              <w:top w:w="100" w:type="dxa"/>
              <w:start w:w="130" w:type="dxa"/>
              <w:bottom w:w="100" w:type="dxa"/>
              <w:end w:w="130" w:type="dxa"/>
            </w:tcMar>
            <w:vAlign w:val="center"/>
          </w:tcPr>
          <w:p>
            <w:pPr>
              <w:spacing w:after="0" w:line="252" w:lineRule="auto"/>
            </w:pPr>
            <w:r>
              <w:rPr>
                <w:rFonts w:ascii="Aptos" w:hAnsi="Aptos" w:eastAsia="Aptos"/>
                <w:b w:val="0"/>
                <w:color w:val="1F2933"/>
                <w:sz w:val="19"/>
              </w:rPr>
              <w:t>Качество, маржа и удержание.</w:t>
            </w:r>
          </w:p>
        </w:tc>
      </w:tr>
      <w:tr>
        <w:trPr>
          <w:cantSplit/>
        </w:trPr>
        <w:tc>
          <w:tcPr>
            <w:tcW w:type="dxa" w:w="1800"/>
            <w:tcMar>
              <w:top w:w="100" w:type="dxa"/>
              <w:start w:w="130" w:type="dxa"/>
              <w:bottom w:w="100" w:type="dxa"/>
              <w:end w:w="130" w:type="dxa"/>
            </w:tcMar>
            <w:vAlign w:val="center"/>
            <w:shd w:fill="FAFBFC"/>
          </w:tcPr>
          <w:p>
            <w:pPr>
              <w:spacing w:after="0" w:line="252" w:lineRule="auto"/>
            </w:pPr>
            <w:r>
              <w:rPr>
                <w:rFonts w:ascii="Aptos" w:hAnsi="Aptos" w:eastAsia="Aptos"/>
                <w:b/>
                <w:color w:val="0B2545"/>
                <w:sz w:val="19"/>
              </w:rPr>
              <w:t>Post-stay</w:t>
            </w:r>
          </w:p>
        </w:tc>
        <w:tc>
          <w:tcPr>
            <w:tcW w:type="dxa" w:w="432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Обратная связь, отзыв, компенсация при проблеме и благодарность.</w:t>
            </w:r>
          </w:p>
        </w:tc>
        <w:tc>
          <w:tcPr>
            <w:tcW w:type="dxa" w:w="324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Репутация и закрытие сервиса.</w:t>
            </w:r>
          </w:p>
        </w:tc>
      </w:tr>
      <w:tr>
        <w:trPr>
          <w:cantSplit/>
        </w:trPr>
        <w:tc>
          <w:tcPr>
            <w:tcW w:type="dxa" w:w="1800"/>
            <w:tcMar>
              <w:top w:w="100" w:type="dxa"/>
              <w:start w:w="130" w:type="dxa"/>
              <w:bottom w:w="100" w:type="dxa"/>
              <w:end w:w="130" w:type="dxa"/>
            </w:tcMar>
            <w:vAlign w:val="center"/>
          </w:tcPr>
          <w:p>
            <w:pPr>
              <w:spacing w:after="0" w:line="252" w:lineRule="auto"/>
            </w:pPr>
            <w:r>
              <w:rPr>
                <w:rFonts w:ascii="Aptos" w:hAnsi="Aptos" w:eastAsia="Aptos"/>
                <w:b/>
                <w:color w:val="0B2545"/>
                <w:sz w:val="19"/>
              </w:rPr>
              <w:t>Repeat / win-back</w:t>
            </w:r>
          </w:p>
        </w:tc>
        <w:tc>
          <w:tcPr>
            <w:tcW w:type="dxa" w:w="4320"/>
            <w:tcMar>
              <w:top w:w="100" w:type="dxa"/>
              <w:start w:w="130" w:type="dxa"/>
              <w:bottom w:w="100" w:type="dxa"/>
              <w:end w:w="130" w:type="dxa"/>
            </w:tcMar>
            <w:vAlign w:val="center"/>
          </w:tcPr>
          <w:p>
            <w:pPr>
              <w:spacing w:after="0" w:line="252" w:lineRule="auto"/>
            </w:pPr>
            <w:r>
              <w:rPr>
                <w:rFonts w:ascii="Aptos" w:hAnsi="Aptos" w:eastAsia="Aptos"/>
                <w:b w:val="0"/>
                <w:color w:val="1F2933"/>
                <w:sz w:val="19"/>
              </w:rPr>
              <w:t>Персональное предложение по сезону, предпочтению и прошлому объекту.</w:t>
            </w:r>
          </w:p>
        </w:tc>
        <w:tc>
          <w:tcPr>
            <w:tcW w:type="dxa" w:w="3240"/>
            <w:tcMar>
              <w:top w:w="100" w:type="dxa"/>
              <w:start w:w="130" w:type="dxa"/>
              <w:bottom w:w="100" w:type="dxa"/>
              <w:end w:w="130" w:type="dxa"/>
            </w:tcMar>
            <w:vAlign w:val="center"/>
          </w:tcPr>
          <w:p>
            <w:pPr>
              <w:spacing w:after="0" w:line="252" w:lineRule="auto"/>
            </w:pPr>
            <w:r>
              <w:rPr>
                <w:rFonts w:ascii="Aptos" w:hAnsi="Aptos" w:eastAsia="Aptos"/>
                <w:b w:val="0"/>
                <w:color w:val="1F2933"/>
                <w:sz w:val="19"/>
              </w:rPr>
              <w:t>Повторная прямая бронь.</w:t>
            </w:r>
          </w:p>
        </w:tc>
      </w:tr>
      <w:tr>
        <w:trPr>
          <w:cantSplit/>
        </w:trPr>
        <w:tc>
          <w:tcPr>
            <w:tcW w:type="dxa" w:w="1800"/>
            <w:tcMar>
              <w:top w:w="100" w:type="dxa"/>
              <w:start w:w="130" w:type="dxa"/>
              <w:bottom w:w="100" w:type="dxa"/>
              <w:end w:w="130" w:type="dxa"/>
            </w:tcMar>
            <w:vAlign w:val="center"/>
            <w:shd w:fill="FAFBFC"/>
          </w:tcPr>
          <w:p>
            <w:pPr>
              <w:spacing w:after="0" w:line="252" w:lineRule="auto"/>
            </w:pPr>
            <w:r>
              <w:rPr>
                <w:rFonts w:ascii="Aptos" w:hAnsi="Aptos" w:eastAsia="Aptos"/>
                <w:b/>
                <w:color w:val="0B2545"/>
                <w:sz w:val="19"/>
              </w:rPr>
              <w:t>Guest-to-owner</w:t>
            </w:r>
          </w:p>
        </w:tc>
        <w:tc>
          <w:tcPr>
            <w:tcW w:type="dxa" w:w="432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Добровольный market briefing после подтверждённого интереса.</w:t>
            </w:r>
          </w:p>
        </w:tc>
        <w:tc>
          <w:tcPr>
            <w:tcW w:type="dxa" w:w="324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Покупатель, собственник и будущий мандат.</w:t>
            </w:r>
          </w:p>
        </w:tc>
      </w:tr>
    </w:tbl>
    <w:p>
      <w:pPr>
        <w:spacing w:before="0" w:after="40" w:line="264" w:lineRule="auto"/>
        <w:jc w:val="left"/>
      </w:pPr>
    </w:p>
    <w:p>
      <w:pPr>
        <w:pStyle w:val="Heading2"/>
        <w:keepNext/>
      </w:pPr>
      <w:r>
        <w:t>15.9. Playbook по типу актива</w:t>
      </w:r>
    </w:p>
    <w:tbl>
      <w:tblPr>
        <w:tblW w:type="dxa" w:w="9360"/>
        <w:jc w:val="left"/>
        <w:tblLayout w:type="fixed"/>
        <w:tblLook w:firstColumn="1" w:firstRow="1" w:lastColumn="0" w:lastRow="0" w:noHBand="0" w:noVBand="1" w:val="04A0"/>
        <w:tblInd w:w="120" w:type="dxa"/>
        <w:tblBorders>
          <w:top w:val="single" w:sz="6" w:space="0" w:color="D6DCE2"/>
          <w:left w:val="single" w:sz="6" w:space="0" w:color="D6DCE2"/>
          <w:bottom w:val="single" w:sz="6" w:space="0" w:color="D6DCE2"/>
          <w:right w:val="single" w:sz="6" w:space="0" w:color="D6DCE2"/>
          <w:insideH w:val="single" w:sz="6" w:space="0" w:color="D6DCE2"/>
          <w:insideV w:val="single" w:sz="6" w:space="0" w:color="D6DCE2"/>
        </w:tblBorders>
      </w:tblPr>
      <w:tblGrid>
        <w:gridCol w:w="1980"/>
        <w:gridCol w:w="3960"/>
        <w:gridCol w:w="3420"/>
      </w:tblGrid>
      <w:tr>
        <w:trPr>
          <w:tblHeader w:val="true"/>
          <w:cantSplit/>
        </w:trPr>
        <w:tc>
          <w:tcPr>
            <w:tcW w:type="dxa" w:w="1980"/>
            <w:shd w:fill="0B2545"/>
            <w:tcMar>
              <w:top w:w="100" w:type="dxa"/>
              <w:start w:w="130" w:type="dxa"/>
              <w:bottom w:w="100" w:type="dxa"/>
              <w:end w:w="130" w:type="dxa"/>
            </w:tcMar>
            <w:vAlign w:val="center"/>
          </w:tcPr>
          <w:p>
            <w:pPr>
              <w:spacing w:after="0" w:line="240" w:lineRule="auto"/>
            </w:pPr>
            <w:r>
              <w:rPr>
                <w:rFonts w:ascii="Aptos" w:hAnsi="Aptos" w:eastAsia="Aptos"/>
                <w:b/>
                <w:color w:val="FFFFFF"/>
                <w:sz w:val="19"/>
              </w:rPr>
              <w:t>АКТИВ</w:t>
            </w:r>
          </w:p>
        </w:tc>
        <w:tc>
          <w:tcPr>
            <w:tcW w:type="dxa" w:w="3960"/>
            <w:shd w:fill="0B2545"/>
            <w:tcMar>
              <w:top w:w="100" w:type="dxa"/>
              <w:start w:w="130" w:type="dxa"/>
              <w:bottom w:w="100" w:type="dxa"/>
              <w:end w:w="130" w:type="dxa"/>
            </w:tcMar>
            <w:vAlign w:val="center"/>
          </w:tcPr>
          <w:p>
            <w:pPr>
              <w:spacing w:after="0" w:line="240" w:lineRule="auto"/>
            </w:pPr>
            <w:r>
              <w:rPr>
                <w:rFonts w:ascii="Aptos" w:hAnsi="Aptos" w:eastAsia="Aptos"/>
                <w:b/>
                <w:color w:val="FFFFFF"/>
                <w:sz w:val="19"/>
              </w:rPr>
              <w:t>ПРИОРИТЕТНЫЙ СПРОС</w:t>
            </w:r>
          </w:p>
        </w:tc>
        <w:tc>
          <w:tcPr>
            <w:tcW w:type="dxa" w:w="3420"/>
            <w:shd w:fill="0B2545"/>
            <w:tcMar>
              <w:top w:w="100" w:type="dxa"/>
              <w:start w:w="130" w:type="dxa"/>
              <w:bottom w:w="100" w:type="dxa"/>
              <w:end w:w="130" w:type="dxa"/>
            </w:tcMar>
            <w:vAlign w:val="center"/>
          </w:tcPr>
          <w:p>
            <w:pPr>
              <w:spacing w:after="0" w:line="240" w:lineRule="auto"/>
            </w:pPr>
            <w:r>
              <w:rPr>
                <w:rFonts w:ascii="Aptos" w:hAnsi="Aptos" w:eastAsia="Aptos"/>
                <w:b/>
                <w:color w:val="FFFFFF"/>
                <w:sz w:val="19"/>
              </w:rPr>
              <w:t>ОСНОВНЫЕ КАНАЛЫ</w:t>
            </w:r>
          </w:p>
        </w:tc>
      </w:tr>
      <w:tr>
        <w:trPr>
          <w:cantSplit/>
        </w:trPr>
        <w:tc>
          <w:tcPr>
            <w:tcW w:type="dxa" w:w="1980"/>
            <w:tcMar>
              <w:top w:w="100" w:type="dxa"/>
              <w:start w:w="130" w:type="dxa"/>
              <w:bottom w:w="100" w:type="dxa"/>
              <w:end w:w="130" w:type="dxa"/>
            </w:tcMar>
            <w:vAlign w:val="center"/>
          </w:tcPr>
          <w:p>
            <w:pPr>
              <w:spacing w:after="0" w:line="252" w:lineRule="auto"/>
            </w:pPr>
            <w:r>
              <w:rPr>
                <w:rFonts w:ascii="Aptos" w:hAnsi="Aptos" w:eastAsia="Aptos"/>
                <w:b/>
                <w:color w:val="0B2545"/>
                <w:sz w:val="19"/>
              </w:rPr>
              <w:t>myUNO Villas</w:t>
            </w:r>
          </w:p>
        </w:tc>
        <w:tc>
          <w:tcPr>
            <w:tcW w:type="dxa" w:w="3960"/>
            <w:tcMar>
              <w:top w:w="100" w:type="dxa"/>
              <w:start w:w="130" w:type="dxa"/>
              <w:bottom w:w="100" w:type="dxa"/>
              <w:end w:w="130" w:type="dxa"/>
            </w:tcMar>
            <w:vAlign w:val="center"/>
          </w:tcPr>
          <w:p>
            <w:pPr>
              <w:spacing w:after="0" w:line="252" w:lineRule="auto"/>
            </w:pPr>
            <w:r>
              <w:rPr>
                <w:rFonts w:ascii="Aptos" w:hAnsi="Aptos" w:eastAsia="Aptos"/>
                <w:b w:val="0"/>
                <w:color w:val="1F2933"/>
                <w:sz w:val="19"/>
              </w:rPr>
              <w:t>Отдых, семьи, группы, extended stay и повторные гости.</w:t>
            </w:r>
          </w:p>
        </w:tc>
        <w:tc>
          <w:tcPr>
            <w:tcW w:type="dxa" w:w="3420"/>
            <w:tcMar>
              <w:top w:w="100" w:type="dxa"/>
              <w:start w:w="130" w:type="dxa"/>
              <w:bottom w:w="100" w:type="dxa"/>
              <w:end w:w="130" w:type="dxa"/>
            </w:tcMar>
            <w:vAlign w:val="center"/>
          </w:tcPr>
          <w:p>
            <w:pPr>
              <w:spacing w:after="0" w:line="252" w:lineRule="auto"/>
            </w:pPr>
            <w:r>
              <w:rPr>
                <w:rFonts w:ascii="Aptos" w:hAnsi="Aptos" w:eastAsia="Aptos"/>
                <w:b w:val="0"/>
                <w:color w:val="1F2933"/>
                <w:sz w:val="19"/>
              </w:rPr>
              <w:t>Direct, search/maps, social video, travel advisors, agents и допустимые OTA.</w:t>
            </w:r>
          </w:p>
        </w:tc>
      </w:tr>
      <w:tr>
        <w:trPr>
          <w:cantSplit/>
        </w:trPr>
        <w:tc>
          <w:tcPr>
            <w:tcW w:type="dxa" w:w="1980"/>
            <w:tcMar>
              <w:top w:w="100" w:type="dxa"/>
              <w:start w:w="130" w:type="dxa"/>
              <w:bottom w:w="100" w:type="dxa"/>
              <w:end w:w="130" w:type="dxa"/>
            </w:tcMar>
            <w:vAlign w:val="center"/>
            <w:shd w:fill="FAFBFC"/>
          </w:tcPr>
          <w:p>
            <w:pPr>
              <w:spacing w:after="0" w:line="252" w:lineRule="auto"/>
            </w:pPr>
            <w:r>
              <w:rPr>
                <w:rFonts w:ascii="Aptos" w:hAnsi="Aptos" w:eastAsia="Aptos"/>
                <w:b/>
                <w:color w:val="0B2545"/>
                <w:sz w:val="19"/>
              </w:rPr>
              <w:t>myUNO Residences</w:t>
            </w:r>
          </w:p>
        </w:tc>
        <w:tc>
          <w:tcPr>
            <w:tcW w:type="dxa" w:w="396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30+ дней, relocation, remote work, семьи, corporate и seasonal stay.</w:t>
            </w:r>
          </w:p>
        </w:tc>
        <w:tc>
          <w:tcPr>
            <w:tcW w:type="dxa" w:w="342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Direct long-stay pages, CRM, Facebook communities, relocation, corporate и referrals.</w:t>
            </w:r>
          </w:p>
        </w:tc>
      </w:tr>
      <w:tr>
        <w:trPr>
          <w:cantSplit/>
        </w:trPr>
        <w:tc>
          <w:tcPr>
            <w:tcW w:type="dxa" w:w="1980"/>
            <w:tcMar>
              <w:top w:w="100" w:type="dxa"/>
              <w:start w:w="130" w:type="dxa"/>
              <w:bottom w:w="100" w:type="dxa"/>
              <w:end w:w="130" w:type="dxa"/>
            </w:tcMar>
            <w:vAlign w:val="center"/>
          </w:tcPr>
          <w:p>
            <w:pPr>
              <w:spacing w:after="0" w:line="252" w:lineRule="auto"/>
            </w:pPr>
            <w:r>
              <w:rPr>
                <w:rFonts w:ascii="Aptos" w:hAnsi="Aptos" w:eastAsia="Aptos"/>
                <w:b/>
                <w:color w:val="0B2545"/>
                <w:sz w:val="19"/>
              </w:rPr>
              <w:t>Hotel / Resort</w:t>
            </w:r>
          </w:p>
        </w:tc>
        <w:tc>
          <w:tcPr>
            <w:tcW w:type="dxa" w:w="3960"/>
            <w:tcMar>
              <w:top w:w="100" w:type="dxa"/>
              <w:start w:w="130" w:type="dxa"/>
              <w:bottom w:w="100" w:type="dxa"/>
              <w:end w:w="130" w:type="dxa"/>
            </w:tcMar>
            <w:vAlign w:val="center"/>
          </w:tcPr>
          <w:p>
            <w:pPr>
              <w:spacing w:after="0" w:line="252" w:lineRule="auto"/>
            </w:pPr>
            <w:r>
              <w:rPr>
                <w:rFonts w:ascii="Aptos" w:hAnsi="Aptos" w:eastAsia="Aptos"/>
                <w:b w:val="0"/>
                <w:color w:val="1F2933"/>
                <w:sz w:val="19"/>
              </w:rPr>
              <w:t>Сегменты, определённые revenue strategy объекта.</w:t>
            </w:r>
          </w:p>
        </w:tc>
        <w:tc>
          <w:tcPr>
            <w:tcW w:type="dxa" w:w="3420"/>
            <w:tcMar>
              <w:top w:w="100" w:type="dxa"/>
              <w:start w:w="130" w:type="dxa"/>
              <w:bottom w:w="100" w:type="dxa"/>
              <w:end w:w="130" w:type="dxa"/>
            </w:tcMar>
            <w:vAlign w:val="center"/>
          </w:tcPr>
          <w:p>
            <w:pPr>
              <w:spacing w:after="0" w:line="252" w:lineRule="auto"/>
            </w:pPr>
            <w:r>
              <w:rPr>
                <w:rFonts w:ascii="Aptos" w:hAnsi="Aptos" w:eastAsia="Aptos"/>
                <w:b w:val="0"/>
                <w:color w:val="1F2933"/>
                <w:sz w:val="19"/>
              </w:rPr>
              <w:t>Direct, Google hotel surfaces, OTA, agents, corporate, groups и wholesale по экономике.</w:t>
            </w:r>
          </w:p>
        </w:tc>
      </w:tr>
      <w:tr>
        <w:trPr>
          <w:cantSplit/>
        </w:trPr>
        <w:tc>
          <w:tcPr>
            <w:tcW w:type="dxa" w:w="1980"/>
            <w:tcMar>
              <w:top w:w="100" w:type="dxa"/>
              <w:start w:w="130" w:type="dxa"/>
              <w:bottom w:w="100" w:type="dxa"/>
              <w:end w:w="130" w:type="dxa"/>
            </w:tcMar>
            <w:vAlign w:val="center"/>
            <w:shd w:fill="FAFBFC"/>
          </w:tcPr>
          <w:p>
            <w:pPr>
              <w:spacing w:after="0" w:line="252" w:lineRule="auto"/>
            </w:pPr>
            <w:r>
              <w:rPr>
                <w:rFonts w:ascii="Aptos" w:hAnsi="Aptos" w:eastAsia="Aptos"/>
                <w:b/>
                <w:color w:val="0B2545"/>
                <w:sz w:val="19"/>
              </w:rPr>
              <w:t>Branded asset</w:t>
            </w:r>
          </w:p>
        </w:tc>
        <w:tc>
          <w:tcPr>
            <w:tcW w:type="dxa" w:w="396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Существующая аудитория бренда плюс спрос myUNO.</w:t>
            </w:r>
          </w:p>
        </w:tc>
        <w:tc>
          <w:tcPr>
            <w:tcW w:type="dxa" w:w="342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Собственный домен и аккаунты, синхронизированные с общим ядром.</w:t>
            </w:r>
          </w:p>
        </w:tc>
      </w:tr>
    </w:tbl>
    <w:p>
      <w:pPr>
        <w:spacing w:before="0" w:after="40" w:line="264" w:lineRule="auto"/>
        <w:jc w:val="left"/>
      </w:pPr>
    </w:p>
    <w:p>
      <w:pPr>
        <w:pStyle w:val="Heading2"/>
        <w:keepNext/>
      </w:pPr>
      <w:r>
        <w:t>15.10. Управление каналами</w:t>
      </w:r>
    </w:p>
    <w:p>
      <w:pPr>
        <w:pStyle w:val="ListBullet"/>
        <w:spacing w:after="80" w:line="264" w:lineRule="auto"/>
      </w:pPr>
      <w:r>
        <w:rPr>
          <w:rFonts w:ascii="Aptos" w:hAnsi="Aptos" w:eastAsia="Aptos"/>
          <w:color w:val="1F2933"/>
          <w:sz w:val="22"/>
        </w:rPr>
        <w:t>Revenue manager отвечает за тарифы, ограничения, channel mix и итоговую net contribution, а не только за occupancy.</w:t>
      </w:r>
    </w:p>
    <w:p>
      <w:pPr>
        <w:pStyle w:val="ListBullet"/>
        <w:spacing w:after="80" w:line="264" w:lineRule="auto"/>
      </w:pPr>
      <w:r>
        <w:rPr>
          <w:rFonts w:ascii="Aptos" w:hAnsi="Aptos" w:eastAsia="Aptos"/>
          <w:color w:val="1F2933"/>
          <w:sz w:val="22"/>
        </w:rPr>
        <w:t>Каждый внешний канал имеет договор, полную стоимость, правила контента, отмены, платежей и reconciliation.</w:t>
      </w:r>
    </w:p>
    <w:p>
      <w:pPr>
        <w:pStyle w:val="ListBullet"/>
        <w:spacing w:after="80" w:line="264" w:lineRule="auto"/>
      </w:pPr>
      <w:r>
        <w:rPr>
          <w:rFonts w:ascii="Aptos" w:hAnsi="Aptos" w:eastAsia="Aptos"/>
          <w:color w:val="1F2933"/>
          <w:sz w:val="22"/>
        </w:rPr>
        <w:t>Inventory, rate и restrictions передаются из единого ядра; ручные исключения логируются и имеют владельца.</w:t>
      </w:r>
    </w:p>
    <w:p>
      <w:pPr>
        <w:pStyle w:val="ListBullet"/>
        <w:spacing w:after="80" w:line="264" w:lineRule="auto"/>
      </w:pPr>
      <w:r>
        <w:rPr>
          <w:rFonts w:ascii="Aptos" w:hAnsi="Aptos" w:eastAsia="Aptos"/>
          <w:color w:val="1F2933"/>
          <w:sz w:val="22"/>
        </w:rPr>
        <w:t>Новый канал включается пилотом; масштабирование происходит после проверки цены привлечения, отмен, качества гостя и маржи.</w:t>
      </w:r>
    </w:p>
    <w:p>
      <w:pPr>
        <w:pStyle w:val="ListBullet"/>
        <w:spacing w:after="80" w:line="264" w:lineRule="auto"/>
      </w:pPr>
      <w:r>
        <w:rPr>
          <w:rFonts w:ascii="Aptos" w:hAnsi="Aptos" w:eastAsia="Aptos"/>
          <w:color w:val="1F2933"/>
          <w:sz w:val="22"/>
        </w:rPr>
        <w:t>Объект публикуется только в режиме проживания, который законно и договорно допустим для конкретного актива.</w:t>
      </w:r>
    </w:p>
    <w:p>
      <w:pPr>
        <w:pStyle w:val="Heading2"/>
        <w:keepNext/>
      </w:pPr>
      <w:r>
        <w:t>15.11. План запуска дистрибуции</w:t>
      </w:r>
    </w:p>
    <w:tbl>
      <w:tblPr>
        <w:tblW w:type="dxa" w:w="9360"/>
        <w:jc w:val="left"/>
        <w:tblLayout w:type="fixed"/>
        <w:tblLook w:firstColumn="1" w:firstRow="1" w:lastColumn="0" w:lastRow="0" w:noHBand="0" w:noVBand="1" w:val="04A0"/>
        <w:tblInd w:w="120" w:type="dxa"/>
        <w:tblBorders>
          <w:top w:val="single" w:sz="6" w:space="0" w:color="D6DCE2"/>
          <w:left w:val="single" w:sz="6" w:space="0" w:color="D6DCE2"/>
          <w:bottom w:val="single" w:sz="6" w:space="0" w:color="D6DCE2"/>
          <w:right w:val="single" w:sz="6" w:space="0" w:color="D6DCE2"/>
          <w:insideH w:val="single" w:sz="6" w:space="0" w:color="D6DCE2"/>
          <w:insideV w:val="single" w:sz="6" w:space="0" w:color="D6DCE2"/>
        </w:tblBorders>
      </w:tblPr>
      <w:tblGrid>
        <w:gridCol w:w="1800"/>
        <w:gridCol w:w="4860"/>
        <w:gridCol w:w="2700"/>
      </w:tblGrid>
      <w:tr>
        <w:trPr>
          <w:tblHeader w:val="true"/>
          <w:cantSplit/>
        </w:trPr>
        <w:tc>
          <w:tcPr>
            <w:tcW w:type="dxa" w:w="1800"/>
            <w:shd w:fill="0B2545"/>
            <w:tcMar>
              <w:top w:w="100" w:type="dxa"/>
              <w:start w:w="130" w:type="dxa"/>
              <w:bottom w:w="100" w:type="dxa"/>
              <w:end w:w="130" w:type="dxa"/>
            </w:tcMar>
            <w:vAlign w:val="center"/>
          </w:tcPr>
          <w:p>
            <w:pPr>
              <w:spacing w:after="0" w:line="240" w:lineRule="auto"/>
            </w:pPr>
            <w:r>
              <w:rPr>
                <w:rFonts w:ascii="Aptos" w:hAnsi="Aptos" w:eastAsia="Aptos"/>
                <w:b/>
                <w:color w:val="FFFFFF"/>
                <w:sz w:val="19"/>
              </w:rPr>
              <w:t>ПЕРИОД</w:t>
            </w:r>
          </w:p>
        </w:tc>
        <w:tc>
          <w:tcPr>
            <w:tcW w:type="dxa" w:w="4860"/>
            <w:shd w:fill="0B2545"/>
            <w:tcMar>
              <w:top w:w="100" w:type="dxa"/>
              <w:start w:w="130" w:type="dxa"/>
              <w:bottom w:w="100" w:type="dxa"/>
              <w:end w:w="130" w:type="dxa"/>
            </w:tcMar>
            <w:vAlign w:val="center"/>
          </w:tcPr>
          <w:p>
            <w:pPr>
              <w:spacing w:after="0" w:line="240" w:lineRule="auto"/>
            </w:pPr>
            <w:r>
              <w:rPr>
                <w:rFonts w:ascii="Aptos" w:hAnsi="Aptos" w:eastAsia="Aptos"/>
                <w:b/>
                <w:color w:val="FFFFFF"/>
                <w:sz w:val="19"/>
              </w:rPr>
              <w:t>СИСТЕМА</w:t>
            </w:r>
          </w:p>
        </w:tc>
        <w:tc>
          <w:tcPr>
            <w:tcW w:type="dxa" w:w="2700"/>
            <w:shd w:fill="0B2545"/>
            <w:tcMar>
              <w:top w:w="100" w:type="dxa"/>
              <w:start w:w="130" w:type="dxa"/>
              <w:bottom w:w="100" w:type="dxa"/>
              <w:end w:w="130" w:type="dxa"/>
            </w:tcMar>
            <w:vAlign w:val="center"/>
          </w:tcPr>
          <w:p>
            <w:pPr>
              <w:spacing w:after="0" w:line="240" w:lineRule="auto"/>
            </w:pPr>
            <w:r>
              <w:rPr>
                <w:rFonts w:ascii="Aptos" w:hAnsi="Aptos" w:eastAsia="Aptos"/>
                <w:b/>
                <w:color w:val="FFFFFF"/>
                <w:sz w:val="19"/>
              </w:rPr>
              <w:t>КОММЕРЧЕСКИЙ ЗАПУСК</w:t>
            </w:r>
          </w:p>
        </w:tc>
      </w:tr>
      <w:tr>
        <w:trPr>
          <w:cantSplit/>
        </w:trPr>
        <w:tc>
          <w:tcPr>
            <w:tcW w:type="dxa" w:w="1800"/>
            <w:tcMar>
              <w:top w:w="100" w:type="dxa"/>
              <w:start w:w="130" w:type="dxa"/>
              <w:bottom w:w="100" w:type="dxa"/>
              <w:end w:w="130" w:type="dxa"/>
            </w:tcMar>
            <w:vAlign w:val="center"/>
          </w:tcPr>
          <w:p>
            <w:pPr>
              <w:spacing w:after="0" w:line="252" w:lineRule="auto"/>
            </w:pPr>
            <w:r>
              <w:rPr>
                <w:rFonts w:ascii="Aptos" w:hAnsi="Aptos" w:eastAsia="Aptos"/>
                <w:b/>
                <w:color w:val="0B2545"/>
                <w:sz w:val="19"/>
              </w:rPr>
              <w:t>0–30 дней</w:t>
            </w:r>
          </w:p>
        </w:tc>
        <w:tc>
          <w:tcPr>
            <w:tcW w:type="dxa" w:w="4860"/>
            <w:tcMar>
              <w:top w:w="100" w:type="dxa"/>
              <w:start w:w="130" w:type="dxa"/>
              <w:bottom w:w="100" w:type="dxa"/>
              <w:end w:w="130" w:type="dxa"/>
            </w:tcMar>
            <w:vAlign w:val="center"/>
          </w:tcPr>
          <w:p>
            <w:pPr>
              <w:spacing w:after="0" w:line="252" w:lineRule="auto"/>
            </w:pPr>
            <w:r>
              <w:rPr>
                <w:rFonts w:ascii="Aptos" w:hAnsi="Aptos" w:eastAsia="Aptos"/>
                <w:b w:val="0"/>
                <w:color w:val="1F2933"/>
                <w:sz w:val="19"/>
              </w:rPr>
              <w:t>Выбрать PMS / channel manager / booking engine; очистить Asset ID, тарифы, фото и правила; настроить аналитику.</w:t>
            </w:r>
          </w:p>
        </w:tc>
        <w:tc>
          <w:tcPr>
            <w:tcW w:type="dxa" w:w="2700"/>
            <w:tcMar>
              <w:top w:w="100" w:type="dxa"/>
              <w:start w:w="130" w:type="dxa"/>
              <w:bottom w:w="100" w:type="dxa"/>
              <w:end w:w="130" w:type="dxa"/>
            </w:tcMar>
            <w:vAlign w:val="center"/>
          </w:tcPr>
          <w:p>
            <w:pPr>
              <w:spacing w:after="0" w:line="252" w:lineRule="auto"/>
            </w:pPr>
            <w:r>
              <w:rPr>
                <w:rFonts w:ascii="Aptos" w:hAnsi="Aptos" w:eastAsia="Aptos"/>
                <w:b w:val="0"/>
                <w:color w:val="1F2933"/>
                <w:sz w:val="19"/>
              </w:rPr>
              <w:t>Запустить канонические asset pages и direct booking для первого объекта.</w:t>
            </w:r>
          </w:p>
        </w:tc>
      </w:tr>
      <w:tr>
        <w:trPr>
          <w:cantSplit/>
        </w:trPr>
        <w:tc>
          <w:tcPr>
            <w:tcW w:type="dxa" w:w="1800"/>
            <w:tcMar>
              <w:top w:w="100" w:type="dxa"/>
              <w:start w:w="130" w:type="dxa"/>
              <w:bottom w:w="100" w:type="dxa"/>
              <w:end w:w="130" w:type="dxa"/>
            </w:tcMar>
            <w:vAlign w:val="center"/>
            <w:shd w:fill="FAFBFC"/>
          </w:tcPr>
          <w:p>
            <w:pPr>
              <w:spacing w:after="0" w:line="252" w:lineRule="auto"/>
            </w:pPr>
            <w:r>
              <w:rPr>
                <w:rFonts w:ascii="Aptos" w:hAnsi="Aptos" w:eastAsia="Aptos"/>
                <w:b/>
                <w:color w:val="0B2545"/>
                <w:sz w:val="19"/>
              </w:rPr>
              <w:t>31–60 дней</w:t>
            </w:r>
          </w:p>
        </w:tc>
        <w:tc>
          <w:tcPr>
            <w:tcW w:type="dxa" w:w="486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Подключить CRM lifecycle, payments, Google surfaces и review workflow.</w:t>
            </w:r>
          </w:p>
        </w:tc>
        <w:tc>
          <w:tcPr>
            <w:tcW w:type="dxa" w:w="270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Запустить search, retargeting, агента и repeat-guest campaigns.</w:t>
            </w:r>
          </w:p>
        </w:tc>
      </w:tr>
      <w:tr>
        <w:trPr>
          <w:cantSplit/>
        </w:trPr>
        <w:tc>
          <w:tcPr>
            <w:tcW w:type="dxa" w:w="1800"/>
            <w:tcMar>
              <w:top w:w="100" w:type="dxa"/>
              <w:start w:w="130" w:type="dxa"/>
              <w:bottom w:w="100" w:type="dxa"/>
              <w:end w:w="130" w:type="dxa"/>
            </w:tcMar>
            <w:vAlign w:val="center"/>
          </w:tcPr>
          <w:p>
            <w:pPr>
              <w:spacing w:after="0" w:line="252" w:lineRule="auto"/>
            </w:pPr>
            <w:r>
              <w:rPr>
                <w:rFonts w:ascii="Aptos" w:hAnsi="Aptos" w:eastAsia="Aptos"/>
                <w:b/>
                <w:color w:val="0B2545"/>
                <w:sz w:val="19"/>
              </w:rPr>
              <w:t>61–90 дней</w:t>
            </w:r>
          </w:p>
        </w:tc>
        <w:tc>
          <w:tcPr>
            <w:tcW w:type="dxa" w:w="4860"/>
            <w:tcMar>
              <w:top w:w="100" w:type="dxa"/>
              <w:start w:w="130" w:type="dxa"/>
              <w:bottom w:w="100" w:type="dxa"/>
              <w:end w:w="130" w:type="dxa"/>
            </w:tcMar>
            <w:vAlign w:val="center"/>
          </w:tcPr>
          <w:p>
            <w:pPr>
              <w:spacing w:after="0" w:line="252" w:lineRule="auto"/>
            </w:pPr>
            <w:r>
              <w:rPr>
                <w:rFonts w:ascii="Aptos" w:hAnsi="Aptos" w:eastAsia="Aptos"/>
                <w:b w:val="0"/>
                <w:color w:val="1F2933"/>
                <w:sz w:val="19"/>
              </w:rPr>
              <w:t>Свести channel P&amp;L, price accuracy, attribution и cohort data.</w:t>
            </w:r>
          </w:p>
        </w:tc>
        <w:tc>
          <w:tcPr>
            <w:tcW w:type="dxa" w:w="2700"/>
            <w:tcMar>
              <w:top w:w="100" w:type="dxa"/>
              <w:start w:w="130" w:type="dxa"/>
              <w:bottom w:w="100" w:type="dxa"/>
              <w:end w:w="130" w:type="dxa"/>
            </w:tcMar>
            <w:vAlign w:val="center"/>
          </w:tcPr>
          <w:p>
            <w:pPr>
              <w:spacing w:after="0" w:line="252" w:lineRule="auto"/>
            </w:pPr>
            <w:r>
              <w:rPr>
                <w:rFonts w:ascii="Aptos" w:hAnsi="Aptos" w:eastAsia="Aptos"/>
                <w:b w:val="0"/>
                <w:color w:val="1F2933"/>
                <w:sz w:val="19"/>
              </w:rPr>
              <w:t>Оптимизировать mix, расширить партнёров и подготовить следующий managed asset.</w:t>
            </w:r>
          </w:p>
        </w:tc>
      </w:tr>
    </w:tbl>
    <w:p>
      <w:pPr>
        <w:spacing w:before="0" w:after="40" w:line="264" w:lineRule="auto"/>
        <w:jc w:val="left"/>
      </w:pPr>
    </w:p>
    <w:p>
      <w:pPr>
        <w:pStyle w:val="Heading2"/>
        <w:keepNext/>
      </w:pPr>
      <w:r>
        <w:t>15.12. Метрики дистрибуции</w:t>
      </w:r>
    </w:p>
    <w:p>
      <w:pPr>
        <w:pStyle w:val="ListBullet"/>
        <w:spacing w:after="80" w:line="264" w:lineRule="auto"/>
      </w:pPr>
      <w:r>
        <w:rPr>
          <w:rFonts w:ascii="Aptos" w:hAnsi="Aptos" w:eastAsia="Aptos"/>
          <w:color w:val="1F2933"/>
          <w:sz w:val="22"/>
        </w:rPr>
        <w:t>Occupancy, ADR, RevPAR, Net RevPAR и contribution margin по объекту и каналу.</w:t>
      </w:r>
    </w:p>
    <w:p>
      <w:pPr>
        <w:pStyle w:val="ListBullet"/>
        <w:spacing w:after="80" w:line="264" w:lineRule="auto"/>
      </w:pPr>
      <w:r>
        <w:rPr>
          <w:rFonts w:ascii="Aptos" w:hAnsi="Aptos" w:eastAsia="Aptos"/>
          <w:color w:val="1F2933"/>
          <w:sz w:val="22"/>
        </w:rPr>
        <w:t>Direct booking share, website conversion, booking abandonment и стоимость прямого бронирования.</w:t>
      </w:r>
    </w:p>
    <w:p>
      <w:pPr>
        <w:pStyle w:val="ListBullet"/>
        <w:spacing w:after="80" w:line="264" w:lineRule="auto"/>
      </w:pPr>
      <w:r>
        <w:rPr>
          <w:rFonts w:ascii="Aptos" w:hAnsi="Aptos" w:eastAsia="Aptos"/>
          <w:color w:val="1F2933"/>
          <w:sz w:val="22"/>
        </w:rPr>
        <w:t>Комиссия, media spend, payment cost, cancellation, refund и cost of servicing по каналу.</w:t>
      </w:r>
    </w:p>
    <w:p>
      <w:pPr>
        <w:pStyle w:val="ListBullet"/>
        <w:spacing w:after="80" w:line="264" w:lineRule="auto"/>
      </w:pPr>
      <w:r>
        <w:rPr>
          <w:rFonts w:ascii="Aptos" w:hAnsi="Aptos" w:eastAsia="Aptos"/>
          <w:color w:val="1F2933"/>
          <w:sz w:val="22"/>
        </w:rPr>
        <w:t>Price accuracy, parity exceptions, availability coverage и количество ручных ошибок.</w:t>
      </w:r>
    </w:p>
    <w:p>
      <w:pPr>
        <w:pStyle w:val="ListBullet"/>
        <w:spacing w:after="80" w:line="264" w:lineRule="auto"/>
      </w:pPr>
      <w:r>
        <w:rPr>
          <w:rFonts w:ascii="Aptos" w:hAnsi="Aptos" w:eastAsia="Aptos"/>
          <w:color w:val="1F2933"/>
          <w:sz w:val="22"/>
        </w:rPr>
        <w:t>Repeat direct rate, email / WhatsApp revenue, guest lifetime value и guest-to-owner conversion.</w:t>
      </w:r>
    </w:p>
    <w:p>
      <w:pPr>
        <w:pStyle w:val="ListBullet"/>
        <w:spacing w:after="80" w:line="264" w:lineRule="auto"/>
      </w:pPr>
      <w:r>
        <w:rPr>
          <w:rFonts w:ascii="Aptos" w:hAnsi="Aptos" w:eastAsia="Aptos"/>
          <w:color w:val="1F2933"/>
          <w:sz w:val="22"/>
        </w:rPr>
        <w:t>Review score, response time, incidents и доля проблем, закрытых до публичного отзыва.</w:t>
      </w:r>
    </w:p>
    <w:p>
      <w:r>
        <w:br w:type="page"/>
      </w:r>
    </w:p>
    <w:p>
      <w:pPr>
        <w:pStyle w:val="Heading1"/>
        <w:keepNext/>
      </w:pPr>
      <w:r>
        <w:t>16. Система ценности для аудиторий</w:t>
      </w:r>
    </w:p>
    <w:tbl>
      <w:tblPr>
        <w:tblW w:type="dxa" w:w="9360"/>
        <w:jc w:val="left"/>
        <w:tblLook w:firstColumn="1" w:firstRow="1" w:lastColumn="0" w:lastRow="0" w:noHBand="0" w:noVBand="1" w:val="04A0"/>
        <w:tblInd w:w="120" w:type="dxa"/>
        <w:tblBorders>
          <w:top w:val="single" w:sz="4" w:space="0" w:color="E8EEF5"/>
          <w:left w:val="single" w:sz="4" w:space="0" w:color="E8EEF5"/>
          <w:bottom w:val="single" w:sz="4" w:space="0" w:color="E8EEF5"/>
          <w:right w:val="single" w:sz="4" w:space="0" w:color="E8EEF5"/>
          <w:insideH w:val="single" w:sz="4" w:space="0" w:color="E8EEF5"/>
          <w:insideV w:val="single" w:sz="4" w:space="0" w:color="E8EEF5"/>
        </w:tblBorders>
      </w:tblPr>
      <w:tblGrid>
        <w:gridCol w:w="9360"/>
      </w:tblGrid>
      <w:tr>
        <w:tc>
          <w:tcPr>
            <w:tcW w:type="dxa" w:w="9360"/>
            <w:shd w:fill="E8EEF5"/>
            <w:tcMar>
              <w:top w:w="150" w:type="dxa"/>
              <w:start w:w="180" w:type="dxa"/>
              <w:bottom w:w="150" w:type="dxa"/>
              <w:end w:w="180" w:type="dxa"/>
            </w:tcMar>
          </w:tcPr>
          <w:p>
            <w:pPr>
              <w:spacing w:after="0" w:line="269" w:lineRule="auto"/>
            </w:pPr>
            <w:r>
              <w:rPr>
                <w:rFonts w:ascii="Aptos" w:hAnsi="Aptos" w:eastAsia="Aptos"/>
                <w:b/>
                <w:color w:val="0B2545"/>
                <w:sz w:val="21"/>
              </w:rPr>
              <w:t xml:space="preserve">Каноническое определение клиента. </w:t>
            </w:r>
            <w:r>
              <w:rPr>
                <w:rFonts w:ascii="Aptos" w:hAnsi="Aptos" w:eastAsia="Aptos"/>
                <w:color w:val="1F2933"/>
                <w:sz w:val="21"/>
              </w:rPr>
              <w:t>Собственник — принципал и основной коммерческий клиент owner-side мандата. Гость или резидент — полноценный сервисный клиент myUNO. Покупатель, продавец, девелопер и партнёр становятся прямыми клиентами в пределах отдельного договора. Приоритет собственника не разрешает ухудшать безопасность, права или честность предложения для гостя.</w:t>
            </w:r>
          </w:p>
        </w:tc>
      </w:tr>
    </w:tbl>
    <w:p>
      <w:pPr>
        <w:spacing w:before="0" w:after="40" w:line="264" w:lineRule="auto"/>
        <w:jc w:val="left"/>
      </w:pPr>
    </w:p>
    <w:p>
      <w:pPr>
        <w:spacing w:before="0" w:after="120" w:line="264" w:lineRule="auto"/>
        <w:jc w:val="left"/>
      </w:pPr>
      <w:r>
        <w:rPr>
          <w:rFonts w:ascii="Aptos" w:hAnsi="Aptos" w:eastAsia="Aptos"/>
          <w:b w:val="0"/>
          <w:i w:val="0"/>
          <w:color w:val="1F2933"/>
          <w:sz w:val="22"/>
        </w:rPr>
        <w:t>Ценность существует только тогда, когда компания понимает исходную задачу, принимает конкретное обязательство, измеряет результат и заранее раскрывает границы ответственности.</w:t>
      </w:r>
    </w:p>
    <w:tbl>
      <w:tblPr>
        <w:tblW w:type="dxa" w:w="9360"/>
        <w:jc w:val="left"/>
        <w:tblLayout w:type="fixed"/>
        <w:tblLook w:firstColumn="1" w:firstRow="1" w:lastColumn="0" w:lastRow="0" w:noHBand="0" w:noVBand="1" w:val="04A0"/>
        <w:tblInd w:w="120" w:type="dxa"/>
        <w:tblBorders>
          <w:top w:val="single" w:sz="6" w:space="0" w:color="D6DCE2"/>
          <w:left w:val="single" w:sz="6" w:space="0" w:color="D6DCE2"/>
          <w:bottom w:val="single" w:sz="6" w:space="0" w:color="D6DCE2"/>
          <w:right w:val="single" w:sz="6" w:space="0" w:color="D6DCE2"/>
          <w:insideH w:val="single" w:sz="6" w:space="0" w:color="D6DCE2"/>
          <w:insideV w:val="single" w:sz="6" w:space="0" w:color="D6DCE2"/>
        </w:tblBorders>
      </w:tblPr>
      <w:tblGrid>
        <w:gridCol w:w="1560"/>
        <w:gridCol w:w="2520"/>
        <w:gridCol w:w="3000"/>
        <w:gridCol w:w="2280"/>
      </w:tblGrid>
      <w:tr>
        <w:trPr>
          <w:tblHeader w:val="true"/>
          <w:cantSplit/>
        </w:trPr>
        <w:tc>
          <w:tcPr>
            <w:tcW w:type="dxa" w:w="1560"/>
            <w:shd w:fill="0B2545"/>
            <w:tcMar>
              <w:top w:w="100" w:type="dxa"/>
              <w:start w:w="130" w:type="dxa"/>
              <w:bottom w:w="100" w:type="dxa"/>
              <w:end w:w="130" w:type="dxa"/>
            </w:tcMar>
            <w:vAlign w:val="center"/>
          </w:tcPr>
          <w:p>
            <w:pPr>
              <w:spacing w:after="0" w:line="240" w:lineRule="auto"/>
            </w:pPr>
            <w:r>
              <w:rPr>
                <w:rFonts w:ascii="Aptos" w:hAnsi="Aptos" w:eastAsia="Aptos"/>
                <w:b/>
                <w:color w:val="FFFFFF"/>
                <w:sz w:val="19"/>
              </w:rPr>
              <w:t>АУДИТОРИЯ</w:t>
            </w:r>
          </w:p>
        </w:tc>
        <w:tc>
          <w:tcPr>
            <w:tcW w:type="dxa" w:w="2520"/>
            <w:shd w:fill="0B2545"/>
            <w:tcMar>
              <w:top w:w="100" w:type="dxa"/>
              <w:start w:w="130" w:type="dxa"/>
              <w:bottom w:w="100" w:type="dxa"/>
              <w:end w:w="130" w:type="dxa"/>
            </w:tcMar>
            <w:vAlign w:val="center"/>
          </w:tcPr>
          <w:p>
            <w:pPr>
              <w:spacing w:after="0" w:line="240" w:lineRule="auto"/>
            </w:pPr>
            <w:r>
              <w:rPr>
                <w:rFonts w:ascii="Aptos" w:hAnsi="Aptos" w:eastAsia="Aptos"/>
                <w:b/>
                <w:color w:val="FFFFFF"/>
                <w:sz w:val="19"/>
              </w:rPr>
              <w:t>ЗАДАЧА</w:t>
            </w:r>
          </w:p>
        </w:tc>
        <w:tc>
          <w:tcPr>
            <w:tcW w:type="dxa" w:w="3000"/>
            <w:shd w:fill="0B2545"/>
            <w:tcMar>
              <w:top w:w="100" w:type="dxa"/>
              <w:start w:w="130" w:type="dxa"/>
              <w:bottom w:w="100" w:type="dxa"/>
              <w:end w:w="130" w:type="dxa"/>
            </w:tcMar>
            <w:vAlign w:val="center"/>
          </w:tcPr>
          <w:p>
            <w:pPr>
              <w:spacing w:after="0" w:line="240" w:lineRule="auto"/>
            </w:pPr>
            <w:r>
              <w:rPr>
                <w:rFonts w:ascii="Aptos" w:hAnsi="Aptos" w:eastAsia="Aptos"/>
                <w:b/>
                <w:color w:val="FFFFFF"/>
                <w:sz w:val="19"/>
              </w:rPr>
              <w:t>ОБЕЩАНИЕ</w:t>
            </w:r>
          </w:p>
        </w:tc>
        <w:tc>
          <w:tcPr>
            <w:tcW w:type="dxa" w:w="2280"/>
            <w:shd w:fill="0B2545"/>
            <w:tcMar>
              <w:top w:w="100" w:type="dxa"/>
              <w:start w:w="130" w:type="dxa"/>
              <w:bottom w:w="100" w:type="dxa"/>
              <w:end w:w="130" w:type="dxa"/>
            </w:tcMar>
            <w:vAlign w:val="center"/>
          </w:tcPr>
          <w:p>
            <w:pPr>
              <w:spacing w:after="0" w:line="240" w:lineRule="auto"/>
            </w:pPr>
            <w:r>
              <w:rPr>
                <w:rFonts w:ascii="Aptos" w:hAnsi="Aptos" w:eastAsia="Aptos"/>
                <w:b/>
                <w:color w:val="FFFFFF"/>
                <w:sz w:val="19"/>
              </w:rPr>
              <w:t>ДОКАЗАТЕЛЬСТВО</w:t>
            </w:r>
          </w:p>
        </w:tc>
      </w:tr>
      <w:tr>
        <w:trPr>
          <w:cantSplit/>
        </w:trPr>
        <w:tc>
          <w:tcPr>
            <w:tcW w:type="dxa" w:w="1560"/>
            <w:tcMar>
              <w:top w:w="100" w:type="dxa"/>
              <w:start w:w="130" w:type="dxa"/>
              <w:bottom w:w="100" w:type="dxa"/>
              <w:end w:w="130" w:type="dxa"/>
            </w:tcMar>
            <w:vAlign w:val="center"/>
          </w:tcPr>
          <w:p>
            <w:pPr>
              <w:spacing w:after="0" w:line="252" w:lineRule="auto"/>
            </w:pPr>
            <w:r>
              <w:rPr>
                <w:rFonts w:ascii="Aptos" w:hAnsi="Aptos" w:eastAsia="Aptos"/>
                <w:b/>
                <w:color w:val="0B2545"/>
                <w:sz w:val="19"/>
              </w:rPr>
              <w:t>Собственник юнита</w:t>
            </w:r>
          </w:p>
        </w:tc>
        <w:tc>
          <w:tcPr>
            <w:tcW w:type="dxa" w:w="2520"/>
            <w:tcMar>
              <w:top w:w="100" w:type="dxa"/>
              <w:start w:w="130" w:type="dxa"/>
              <w:bottom w:w="100" w:type="dxa"/>
              <w:end w:w="130" w:type="dxa"/>
            </w:tcMar>
            <w:vAlign w:val="center"/>
          </w:tcPr>
          <w:p>
            <w:pPr>
              <w:spacing w:after="0" w:line="252" w:lineRule="auto"/>
            </w:pPr>
            <w:r>
              <w:rPr>
                <w:rFonts w:ascii="Aptos" w:hAnsi="Aptos" w:eastAsia="Aptos"/>
                <w:b w:val="0"/>
                <w:color w:val="1F2933"/>
                <w:sz w:val="19"/>
              </w:rPr>
              <w:t>Получать доход и сохранять актив без удалённого микроменеджмента.</w:t>
            </w:r>
          </w:p>
        </w:tc>
        <w:tc>
          <w:tcPr>
            <w:tcW w:type="dxa" w:w="3000"/>
            <w:tcMar>
              <w:top w:w="100" w:type="dxa"/>
              <w:start w:w="130" w:type="dxa"/>
              <w:bottom w:w="100" w:type="dxa"/>
              <w:end w:w="130" w:type="dxa"/>
            </w:tcMar>
            <w:vAlign w:val="center"/>
          </w:tcPr>
          <w:p>
            <w:pPr>
              <w:spacing w:after="0" w:line="252" w:lineRule="auto"/>
            </w:pPr>
            <w:r>
              <w:rPr>
                <w:rFonts w:ascii="Aptos" w:hAnsi="Aptos" w:eastAsia="Aptos"/>
                <w:b w:val="0"/>
                <w:color w:val="1F2933"/>
                <w:sz w:val="19"/>
              </w:rPr>
              <w:t>Прозрачная экономика, локальный контроль, история эксплуатации и подготовленный выход.</w:t>
            </w:r>
          </w:p>
        </w:tc>
        <w:tc>
          <w:tcPr>
            <w:tcW w:type="dxa" w:w="2280"/>
            <w:tcMar>
              <w:top w:w="100" w:type="dxa"/>
              <w:start w:w="130" w:type="dxa"/>
              <w:bottom w:w="100" w:type="dxa"/>
              <w:end w:w="130" w:type="dxa"/>
            </w:tcMar>
            <w:vAlign w:val="center"/>
          </w:tcPr>
          <w:p>
            <w:pPr>
              <w:spacing w:after="0" w:line="252" w:lineRule="auto"/>
            </w:pPr>
            <w:r>
              <w:rPr>
                <w:rFonts w:ascii="Aptos" w:hAnsi="Aptos" w:eastAsia="Aptos"/>
                <w:b w:val="0"/>
                <w:color w:val="1F2933"/>
                <w:sz w:val="19"/>
              </w:rPr>
              <w:t>Owner report, реестр расходов, состояние актива, история спроса.</w:t>
            </w:r>
          </w:p>
        </w:tc>
      </w:tr>
      <w:tr>
        <w:trPr>
          <w:cantSplit/>
        </w:trPr>
        <w:tc>
          <w:tcPr>
            <w:tcW w:type="dxa" w:w="1560"/>
            <w:tcMar>
              <w:top w:w="100" w:type="dxa"/>
              <w:start w:w="130" w:type="dxa"/>
              <w:bottom w:w="100" w:type="dxa"/>
              <w:end w:w="130" w:type="dxa"/>
            </w:tcMar>
            <w:vAlign w:val="center"/>
            <w:shd w:fill="FAFBFC"/>
          </w:tcPr>
          <w:p>
            <w:pPr>
              <w:spacing w:after="0" w:line="252" w:lineRule="auto"/>
            </w:pPr>
            <w:r>
              <w:rPr>
                <w:rFonts w:ascii="Aptos" w:hAnsi="Aptos" w:eastAsia="Aptos"/>
                <w:b/>
                <w:color w:val="0B2545"/>
                <w:sz w:val="19"/>
              </w:rPr>
              <w:t>Собственник пула / комплекса</w:t>
            </w:r>
          </w:p>
        </w:tc>
        <w:tc>
          <w:tcPr>
            <w:tcW w:type="dxa" w:w="252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Управлять общей коммерческой системой и качеством.</w:t>
            </w:r>
          </w:p>
        </w:tc>
        <w:tc>
          <w:tcPr>
            <w:tcW w:type="dxa" w:w="300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Единые тарифы, команда, сервис, данные и ответственность в пределах мандата.</w:t>
            </w:r>
          </w:p>
        </w:tc>
        <w:tc>
          <w:tcPr>
            <w:tcW w:type="dxa" w:w="228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P&amp;L, SLA, quality scorecard, прямой спрос и решения по отклонениям.</w:t>
            </w:r>
          </w:p>
        </w:tc>
      </w:tr>
      <w:tr>
        <w:trPr>
          <w:cantSplit/>
        </w:trPr>
        <w:tc>
          <w:tcPr>
            <w:tcW w:type="dxa" w:w="1560"/>
            <w:tcMar>
              <w:top w:w="100" w:type="dxa"/>
              <w:start w:w="130" w:type="dxa"/>
              <w:bottom w:w="100" w:type="dxa"/>
              <w:end w:w="130" w:type="dxa"/>
            </w:tcMar>
            <w:vAlign w:val="center"/>
          </w:tcPr>
          <w:p>
            <w:pPr>
              <w:spacing w:after="0" w:line="252" w:lineRule="auto"/>
            </w:pPr>
            <w:r>
              <w:rPr>
                <w:rFonts w:ascii="Aptos" w:hAnsi="Aptos" w:eastAsia="Aptos"/>
                <w:b/>
                <w:color w:val="0B2545"/>
                <w:sz w:val="19"/>
              </w:rPr>
              <w:t>Владелец гостиницы / резорта</w:t>
            </w:r>
          </w:p>
        </w:tc>
        <w:tc>
          <w:tcPr>
            <w:tcW w:type="dxa" w:w="2520"/>
            <w:tcMar>
              <w:top w:w="100" w:type="dxa"/>
              <w:start w:w="130" w:type="dxa"/>
              <w:bottom w:w="100" w:type="dxa"/>
              <w:end w:w="130" w:type="dxa"/>
            </w:tcMar>
            <w:vAlign w:val="center"/>
          </w:tcPr>
          <w:p>
            <w:pPr>
              <w:spacing w:after="0" w:line="252" w:lineRule="auto"/>
            </w:pPr>
            <w:r>
              <w:rPr>
                <w:rFonts w:ascii="Aptos" w:hAnsi="Aptos" w:eastAsia="Aptos"/>
                <w:b w:val="0"/>
                <w:color w:val="1F2933"/>
                <w:sz w:val="19"/>
              </w:rPr>
              <w:t>Исправить сервис и экономику, сохранив капитал бренда.</w:t>
            </w:r>
          </w:p>
        </w:tc>
        <w:tc>
          <w:tcPr>
            <w:tcW w:type="dxa" w:w="3000"/>
            <w:tcMar>
              <w:top w:w="100" w:type="dxa"/>
              <w:start w:w="130" w:type="dxa"/>
              <w:bottom w:w="100" w:type="dxa"/>
              <w:end w:w="130" w:type="dxa"/>
            </w:tcMar>
            <w:vAlign w:val="center"/>
          </w:tcPr>
          <w:p>
            <w:pPr>
              <w:spacing w:after="0" w:line="252" w:lineRule="auto"/>
            </w:pPr>
            <w:r>
              <w:rPr>
                <w:rFonts w:ascii="Aptos" w:hAnsi="Aptos" w:eastAsia="Aptos"/>
                <w:b w:val="0"/>
                <w:color w:val="1F2933"/>
                <w:sz w:val="19"/>
              </w:rPr>
              <w:t>Turnaround и operating system myUNO с измеримым результатом.</w:t>
            </w:r>
          </w:p>
        </w:tc>
        <w:tc>
          <w:tcPr>
            <w:tcW w:type="dxa" w:w="2280"/>
            <w:tcMar>
              <w:top w:w="100" w:type="dxa"/>
              <w:start w:w="130" w:type="dxa"/>
              <w:bottom w:w="100" w:type="dxa"/>
              <w:end w:w="130" w:type="dxa"/>
            </w:tcMar>
            <w:vAlign w:val="center"/>
          </w:tcPr>
          <w:p>
            <w:pPr>
              <w:spacing w:after="0" w:line="252" w:lineRule="auto"/>
            </w:pPr>
            <w:r>
              <w:rPr>
                <w:rFonts w:ascii="Aptos" w:hAnsi="Aptos" w:eastAsia="Aptos"/>
                <w:b w:val="0"/>
                <w:color w:val="1F2933"/>
                <w:sz w:val="19"/>
              </w:rPr>
              <w:t>Adjusted GOP, Net RevPAR, отзывы, direct share, состояние и команда.</w:t>
            </w:r>
          </w:p>
        </w:tc>
      </w:tr>
      <w:tr>
        <w:trPr>
          <w:cantSplit/>
        </w:trPr>
        <w:tc>
          <w:tcPr>
            <w:tcW w:type="dxa" w:w="1560"/>
            <w:tcMar>
              <w:top w:w="100" w:type="dxa"/>
              <w:start w:w="130" w:type="dxa"/>
              <w:bottom w:w="100" w:type="dxa"/>
              <w:end w:w="130" w:type="dxa"/>
            </w:tcMar>
            <w:vAlign w:val="center"/>
            <w:shd w:fill="FAFBFC"/>
          </w:tcPr>
          <w:p>
            <w:pPr>
              <w:spacing w:after="0" w:line="252" w:lineRule="auto"/>
            </w:pPr>
            <w:r>
              <w:rPr>
                <w:rFonts w:ascii="Aptos" w:hAnsi="Aptos" w:eastAsia="Aptos"/>
                <w:b/>
                <w:color w:val="0B2545"/>
                <w:sz w:val="19"/>
              </w:rPr>
              <w:t>Гость / резидент</w:t>
            </w:r>
          </w:p>
        </w:tc>
        <w:tc>
          <w:tcPr>
            <w:tcW w:type="dxa" w:w="252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Получить достоверное проживание и ответственную сторону на месте.</w:t>
            </w:r>
          </w:p>
        </w:tc>
        <w:tc>
          <w:tcPr>
            <w:tcW w:type="dxa" w:w="300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Понятная цена, точный объект, быстрый ответ, предсказуемый сервис и уважение к данным.</w:t>
            </w:r>
          </w:p>
        </w:tc>
        <w:tc>
          <w:tcPr>
            <w:tcW w:type="dxa" w:w="228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Подтверждение условий, response time, закрытые обращения, отзывы.</w:t>
            </w:r>
          </w:p>
        </w:tc>
      </w:tr>
      <w:tr>
        <w:trPr>
          <w:cantSplit/>
        </w:trPr>
        <w:tc>
          <w:tcPr>
            <w:tcW w:type="dxa" w:w="1560"/>
            <w:tcMar>
              <w:top w:w="100" w:type="dxa"/>
              <w:start w:w="130" w:type="dxa"/>
              <w:bottom w:w="100" w:type="dxa"/>
              <w:end w:w="130" w:type="dxa"/>
            </w:tcMar>
            <w:vAlign w:val="center"/>
          </w:tcPr>
          <w:p>
            <w:pPr>
              <w:spacing w:after="0" w:line="252" w:lineRule="auto"/>
            </w:pPr>
            <w:r>
              <w:rPr>
                <w:rFonts w:ascii="Aptos" w:hAnsi="Aptos" w:eastAsia="Aptos"/>
                <w:b/>
                <w:color w:val="0B2545"/>
                <w:sz w:val="19"/>
              </w:rPr>
              <w:t>Покупатель</w:t>
            </w:r>
          </w:p>
        </w:tc>
        <w:tc>
          <w:tcPr>
            <w:tcW w:type="dxa" w:w="2520"/>
            <w:tcMar>
              <w:top w:w="100" w:type="dxa"/>
              <w:start w:w="130" w:type="dxa"/>
              <w:bottom w:w="100" w:type="dxa"/>
              <w:end w:w="130" w:type="dxa"/>
            </w:tcMar>
            <w:vAlign w:val="center"/>
          </w:tcPr>
          <w:p>
            <w:pPr>
              <w:spacing w:after="0" w:line="252" w:lineRule="auto"/>
            </w:pPr>
            <w:r>
              <w:rPr>
                <w:rFonts w:ascii="Aptos" w:hAnsi="Aptos" w:eastAsia="Aptos"/>
                <w:b w:val="0"/>
                <w:color w:val="1F2933"/>
                <w:sz w:val="19"/>
              </w:rPr>
              <w:t>Приобрести подходящий актив с понятными рисками и будущей экономикой.</w:t>
            </w:r>
          </w:p>
        </w:tc>
        <w:tc>
          <w:tcPr>
            <w:tcW w:type="dxa" w:w="3000"/>
            <w:tcMar>
              <w:top w:w="100" w:type="dxa"/>
              <w:start w:w="130" w:type="dxa"/>
              <w:bottom w:w="100" w:type="dxa"/>
              <w:end w:w="130" w:type="dxa"/>
            </w:tcMar>
            <w:vAlign w:val="center"/>
          </w:tcPr>
          <w:p>
            <w:pPr>
              <w:spacing w:after="0" w:line="252" w:lineRule="auto"/>
            </w:pPr>
            <w:r>
              <w:rPr>
                <w:rFonts w:ascii="Aptos" w:hAnsi="Aptos" w:eastAsia="Aptos"/>
                <w:b w:val="0"/>
                <w:color w:val="1F2933"/>
                <w:sz w:val="19"/>
              </w:rPr>
              <w:t>Проверенный shortlist, раскрытые допущения и путь владения, управления и выхода.</w:t>
            </w:r>
          </w:p>
        </w:tc>
        <w:tc>
          <w:tcPr>
            <w:tcW w:type="dxa" w:w="2280"/>
            <w:tcMar>
              <w:top w:w="100" w:type="dxa"/>
              <w:start w:w="130" w:type="dxa"/>
              <w:bottom w:w="100" w:type="dxa"/>
              <w:end w:w="130" w:type="dxa"/>
            </w:tcMar>
            <w:vAlign w:val="center"/>
          </w:tcPr>
          <w:p>
            <w:pPr>
              <w:spacing w:after="0" w:line="252" w:lineRule="auto"/>
            </w:pPr>
            <w:r>
              <w:rPr>
                <w:rFonts w:ascii="Aptos" w:hAnsi="Aptos" w:eastAsia="Aptos"/>
                <w:b w:val="0"/>
                <w:color w:val="1F2933"/>
                <w:sz w:val="19"/>
              </w:rPr>
              <w:t>ClearView evidence, расчёт net economics, документы и decision record.</w:t>
            </w:r>
          </w:p>
        </w:tc>
      </w:tr>
      <w:tr>
        <w:trPr>
          <w:cantSplit/>
        </w:trPr>
        <w:tc>
          <w:tcPr>
            <w:tcW w:type="dxa" w:w="1560"/>
            <w:tcMar>
              <w:top w:w="100" w:type="dxa"/>
              <w:start w:w="130" w:type="dxa"/>
              <w:bottom w:w="100" w:type="dxa"/>
              <w:end w:w="130" w:type="dxa"/>
            </w:tcMar>
            <w:vAlign w:val="center"/>
            <w:shd w:fill="FAFBFC"/>
          </w:tcPr>
          <w:p>
            <w:pPr>
              <w:spacing w:after="0" w:line="252" w:lineRule="auto"/>
            </w:pPr>
            <w:r>
              <w:rPr>
                <w:rFonts w:ascii="Aptos" w:hAnsi="Aptos" w:eastAsia="Aptos"/>
                <w:b/>
                <w:color w:val="0B2545"/>
                <w:sz w:val="19"/>
              </w:rPr>
              <w:t>Девелопер</w:t>
            </w:r>
          </w:p>
        </w:tc>
        <w:tc>
          <w:tcPr>
            <w:tcW w:type="dxa" w:w="252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Создать продаваемый и операционно жизнеспособный продукт.</w:t>
            </w:r>
          </w:p>
        </w:tc>
        <w:tc>
          <w:tcPr>
            <w:tcW w:type="dxa" w:w="300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Рыночная обратная связь, pre-opening и переход покупателей в управление.</w:t>
            </w:r>
          </w:p>
        </w:tc>
        <w:tc>
          <w:tcPr>
            <w:tcW w:type="dxa" w:w="228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Gap assessment, operating concept, mandate, продажи и переданные юниты.</w:t>
            </w:r>
          </w:p>
        </w:tc>
      </w:tr>
      <w:tr>
        <w:trPr>
          <w:cantSplit/>
        </w:trPr>
        <w:tc>
          <w:tcPr>
            <w:tcW w:type="dxa" w:w="1560"/>
            <w:tcMar>
              <w:top w:w="100" w:type="dxa"/>
              <w:start w:w="130" w:type="dxa"/>
              <w:bottom w:w="100" w:type="dxa"/>
              <w:end w:w="130" w:type="dxa"/>
            </w:tcMar>
            <w:vAlign w:val="center"/>
          </w:tcPr>
          <w:p>
            <w:pPr>
              <w:spacing w:after="0" w:line="252" w:lineRule="auto"/>
            </w:pPr>
            <w:r>
              <w:rPr>
                <w:rFonts w:ascii="Aptos" w:hAnsi="Aptos" w:eastAsia="Aptos"/>
                <w:b/>
                <w:color w:val="0B2545"/>
                <w:sz w:val="19"/>
              </w:rPr>
              <w:t>Juristic person</w:t>
            </w:r>
          </w:p>
        </w:tc>
        <w:tc>
          <w:tcPr>
            <w:tcW w:type="dxa" w:w="2520"/>
            <w:tcMar>
              <w:top w:w="100" w:type="dxa"/>
              <w:start w:w="130" w:type="dxa"/>
              <w:bottom w:w="100" w:type="dxa"/>
              <w:end w:w="130" w:type="dxa"/>
            </w:tcMar>
            <w:vAlign w:val="center"/>
          </w:tcPr>
          <w:p>
            <w:pPr>
              <w:spacing w:after="0" w:line="252" w:lineRule="auto"/>
            </w:pPr>
            <w:r>
              <w:rPr>
                <w:rFonts w:ascii="Aptos" w:hAnsi="Aptos" w:eastAsia="Aptos"/>
                <w:b w:val="0"/>
                <w:color w:val="1F2933"/>
                <w:sz w:val="19"/>
              </w:rPr>
              <w:t>Обеспечить соблюдение правил здания и управляемое поведение резидентов.</w:t>
            </w:r>
          </w:p>
        </w:tc>
        <w:tc>
          <w:tcPr>
            <w:tcW w:type="dxa" w:w="3000"/>
            <w:tcMar>
              <w:top w:w="100" w:type="dxa"/>
              <w:start w:w="130" w:type="dxa"/>
              <w:bottom w:w="100" w:type="dxa"/>
              <w:end w:w="130" w:type="dxa"/>
            </w:tcMar>
            <w:vAlign w:val="center"/>
          </w:tcPr>
          <w:p>
            <w:pPr>
              <w:spacing w:after="0" w:line="252" w:lineRule="auto"/>
            </w:pPr>
            <w:r>
              <w:rPr>
                <w:rFonts w:ascii="Aptos" w:hAnsi="Aptos" w:eastAsia="Aptos"/>
                <w:b w:val="0"/>
                <w:color w:val="1F2933"/>
                <w:sz w:val="19"/>
              </w:rPr>
              <w:t>Один ответственный контакт и документированные процессы.</w:t>
            </w:r>
          </w:p>
        </w:tc>
        <w:tc>
          <w:tcPr>
            <w:tcW w:type="dxa" w:w="2280"/>
            <w:tcMar>
              <w:top w:w="100" w:type="dxa"/>
              <w:start w:w="130" w:type="dxa"/>
              <w:bottom w:w="100" w:type="dxa"/>
              <w:end w:w="130" w:type="dxa"/>
            </w:tcMar>
            <w:vAlign w:val="center"/>
          </w:tcPr>
          <w:p>
            <w:pPr>
              <w:spacing w:after="0" w:line="252" w:lineRule="auto"/>
            </w:pPr>
            <w:r>
              <w:rPr>
                <w:rFonts w:ascii="Aptos" w:hAnsi="Aptos" w:eastAsia="Aptos"/>
                <w:b w:val="0"/>
                <w:color w:val="1F2933"/>
                <w:sz w:val="19"/>
              </w:rPr>
              <w:t>TM30 и допустимый режим, журнал инцидентов, правила, SLA ответа.</w:t>
            </w:r>
          </w:p>
        </w:tc>
      </w:tr>
      <w:tr>
        <w:trPr>
          <w:cantSplit/>
        </w:trPr>
        <w:tc>
          <w:tcPr>
            <w:tcW w:type="dxa" w:w="1560"/>
            <w:tcMar>
              <w:top w:w="100" w:type="dxa"/>
              <w:start w:w="130" w:type="dxa"/>
              <w:bottom w:w="100" w:type="dxa"/>
              <w:end w:w="130" w:type="dxa"/>
            </w:tcMar>
            <w:vAlign w:val="center"/>
            <w:shd w:fill="FAFBFC"/>
          </w:tcPr>
          <w:p>
            <w:pPr>
              <w:spacing w:after="0" w:line="252" w:lineRule="auto"/>
            </w:pPr>
            <w:r>
              <w:rPr>
                <w:rFonts w:ascii="Aptos" w:hAnsi="Aptos" w:eastAsia="Aptos"/>
                <w:b/>
                <w:color w:val="0B2545"/>
                <w:sz w:val="19"/>
              </w:rPr>
              <w:t>Партнёр / реферер</w:t>
            </w:r>
          </w:p>
        </w:tc>
        <w:tc>
          <w:tcPr>
            <w:tcW w:type="dxa" w:w="252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Передать клиента без потери репутации и атрибуции.</w:t>
            </w:r>
          </w:p>
        </w:tc>
        <w:tc>
          <w:tcPr>
            <w:tcW w:type="dxa" w:w="300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Прозрачные роли, защита источника, отчётность и предсказуемая комиссия.</w:t>
            </w:r>
          </w:p>
        </w:tc>
        <w:tc>
          <w:tcPr>
            <w:tcW w:type="dxa" w:w="228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Регистрация лида, partner agreement, статусы, расчёт и dispute trail.</w:t>
            </w:r>
          </w:p>
        </w:tc>
      </w:tr>
    </w:tbl>
    <w:p>
      <w:pPr>
        <w:spacing w:before="0" w:after="40" w:line="264" w:lineRule="auto"/>
        <w:jc w:val="left"/>
      </w:pPr>
    </w:p>
    <w:p>
      <w:pPr>
        <w:pStyle w:val="Heading2"/>
        <w:keepNext/>
      </w:pPr>
      <w:r>
        <w:t>16.1. Границы обещания</w:t>
      </w:r>
    </w:p>
    <w:p>
      <w:pPr>
        <w:spacing w:before="0" w:after="120" w:line="264" w:lineRule="auto"/>
        <w:jc w:val="left"/>
      </w:pPr>
      <w:r>
        <w:rPr>
          <w:rFonts w:ascii="Aptos" w:hAnsi="Aptos" w:eastAsia="Aptos"/>
          <w:b w:val="0"/>
          <w:i w:val="0"/>
          <w:color w:val="1F2933"/>
          <w:sz w:val="22"/>
        </w:rPr>
        <w:t>Компания обещает качество процесса и контролируемого исполнения, но не гарантирует рынок, курс валют, поведение третьих лиц, юридический вывод независимого консультанта или доходность, которую не контролирует. В каждом продукте явно разделяются: результат компании, зависимость от собственника, внешняя зависимость и неизвестный фактор.</w:t>
      </w:r>
    </w:p>
    <w:p>
      <w:pPr>
        <w:pStyle w:val="ListBullet"/>
        <w:spacing w:after="80" w:line="264" w:lineRule="auto"/>
      </w:pPr>
      <w:r>
        <w:rPr>
          <w:rFonts w:ascii="Aptos" w:hAnsi="Aptos" w:eastAsia="Aptos"/>
          <w:color w:val="1F2933"/>
          <w:sz w:val="22"/>
        </w:rPr>
        <w:t>Безопасность, законность и достоверность имеют приоритет над краткосрочной выручкой.</w:t>
      </w:r>
    </w:p>
    <w:p>
      <w:pPr>
        <w:pStyle w:val="ListBullet"/>
        <w:spacing w:after="80" w:line="264" w:lineRule="auto"/>
      </w:pPr>
      <w:r>
        <w:rPr>
          <w:rFonts w:ascii="Aptos" w:hAnsi="Aptos" w:eastAsia="Aptos"/>
          <w:color w:val="1F2933"/>
          <w:sz w:val="22"/>
        </w:rPr>
        <w:t>Неразрешённая жалоба блокирует коммерческий outreach гостю до восстановления сервиса.</w:t>
      </w:r>
    </w:p>
    <w:p>
      <w:pPr>
        <w:pStyle w:val="ListBullet"/>
        <w:spacing w:after="80" w:line="264" w:lineRule="auto"/>
      </w:pPr>
      <w:r>
        <w:rPr>
          <w:rFonts w:ascii="Aptos" w:hAnsi="Aptos" w:eastAsia="Aptos"/>
          <w:color w:val="1F2933"/>
          <w:sz w:val="22"/>
        </w:rPr>
        <w:t>Инвестиционная рекомендация отделяется от операционного обещания и подтверждается собственной доказательной базой.</w:t>
      </w:r>
    </w:p>
    <w:p>
      <w:pPr>
        <w:pStyle w:val="Heading1"/>
        <w:keepNext/>
      </w:pPr>
      <w:r>
        <w:t>17. Продуктовая архитектура и мандаты</w:t>
      </w:r>
    </w:p>
    <w:p>
      <w:pPr>
        <w:spacing w:before="0" w:after="120" w:line="264" w:lineRule="auto"/>
        <w:jc w:val="left"/>
      </w:pPr>
      <w:r>
        <w:rPr>
          <w:rFonts w:ascii="Aptos" w:hAnsi="Aptos" w:eastAsia="Aptos"/>
          <w:b w:val="0"/>
          <w:i w:val="0"/>
          <w:color w:val="1F2933"/>
          <w:sz w:val="22"/>
        </w:rPr>
        <w:t>Направление деятельности становится продуктом только тогда, когда определены клиент, результат, состав, цена, полномочия, KPI и критерий завершения. Разовые поручения без связи с owner lifecycle не формируют отдельную продуктовую линию.</w:t>
      </w:r>
    </w:p>
    <w:p>
      <w:pPr>
        <w:pStyle w:val="Heading2"/>
        <w:keepNext/>
      </w:pPr>
      <w:r>
        <w:t>17.1. Канонический каталог продуктов</w:t>
      </w:r>
    </w:p>
    <w:tbl>
      <w:tblPr>
        <w:tblW w:type="dxa" w:w="9360"/>
        <w:jc w:val="left"/>
        <w:tblLayout w:type="fixed"/>
        <w:tblLook w:firstColumn="1" w:firstRow="1" w:lastColumn="0" w:lastRow="0" w:noHBand="0" w:noVBand="1" w:val="04A0"/>
        <w:tblInd w:w="120" w:type="dxa"/>
        <w:tblBorders>
          <w:top w:val="single" w:sz="6" w:space="0" w:color="D6DCE2"/>
          <w:left w:val="single" w:sz="6" w:space="0" w:color="D6DCE2"/>
          <w:bottom w:val="single" w:sz="6" w:space="0" w:color="D6DCE2"/>
          <w:right w:val="single" w:sz="6" w:space="0" w:color="D6DCE2"/>
          <w:insideH w:val="single" w:sz="6" w:space="0" w:color="D6DCE2"/>
          <w:insideV w:val="single" w:sz="6" w:space="0" w:color="D6DCE2"/>
        </w:tblBorders>
      </w:tblPr>
      <w:tblGrid>
        <w:gridCol w:w="1680"/>
        <w:gridCol w:w="4800"/>
        <w:gridCol w:w="2880"/>
      </w:tblGrid>
      <w:tr>
        <w:trPr>
          <w:tblHeader w:val="true"/>
          <w:cantSplit/>
        </w:trPr>
        <w:tc>
          <w:tcPr>
            <w:tcW w:type="dxa" w:w="1680"/>
            <w:shd w:fill="0B2545"/>
            <w:tcMar>
              <w:top w:w="100" w:type="dxa"/>
              <w:start w:w="130" w:type="dxa"/>
              <w:bottom w:w="100" w:type="dxa"/>
              <w:end w:w="130" w:type="dxa"/>
            </w:tcMar>
            <w:vAlign w:val="center"/>
          </w:tcPr>
          <w:p>
            <w:pPr>
              <w:spacing w:after="0" w:line="240" w:lineRule="auto"/>
            </w:pPr>
            <w:r>
              <w:rPr>
                <w:rFonts w:ascii="Aptos" w:hAnsi="Aptos" w:eastAsia="Aptos"/>
                <w:b/>
                <w:color w:val="FFFFFF"/>
                <w:sz w:val="19"/>
              </w:rPr>
              <w:t>СЕМЕЙСТВО</w:t>
            </w:r>
          </w:p>
        </w:tc>
        <w:tc>
          <w:tcPr>
            <w:tcW w:type="dxa" w:w="4800"/>
            <w:shd w:fill="0B2545"/>
            <w:tcMar>
              <w:top w:w="100" w:type="dxa"/>
              <w:start w:w="130" w:type="dxa"/>
              <w:bottom w:w="100" w:type="dxa"/>
              <w:end w:w="130" w:type="dxa"/>
            </w:tcMar>
            <w:vAlign w:val="center"/>
          </w:tcPr>
          <w:p>
            <w:pPr>
              <w:spacing w:after="0" w:line="240" w:lineRule="auto"/>
            </w:pPr>
            <w:r>
              <w:rPr>
                <w:rFonts w:ascii="Aptos" w:hAnsi="Aptos" w:eastAsia="Aptos"/>
                <w:b/>
                <w:color w:val="FFFFFF"/>
                <w:sz w:val="19"/>
              </w:rPr>
              <w:t>ПРОДУКТЫ</w:t>
            </w:r>
          </w:p>
        </w:tc>
        <w:tc>
          <w:tcPr>
            <w:tcW w:type="dxa" w:w="2880"/>
            <w:shd w:fill="0B2545"/>
            <w:tcMar>
              <w:top w:w="100" w:type="dxa"/>
              <w:start w:w="130" w:type="dxa"/>
              <w:bottom w:w="100" w:type="dxa"/>
              <w:end w:w="130" w:type="dxa"/>
            </w:tcMar>
            <w:vAlign w:val="center"/>
          </w:tcPr>
          <w:p>
            <w:pPr>
              <w:spacing w:after="0" w:line="240" w:lineRule="auto"/>
            </w:pPr>
            <w:r>
              <w:rPr>
                <w:rFonts w:ascii="Aptos" w:hAnsi="Aptos" w:eastAsia="Aptos"/>
                <w:b/>
                <w:color w:val="FFFFFF"/>
                <w:sz w:val="19"/>
              </w:rPr>
              <w:t>КОММЕРЧЕСКИЙ РЕЗУЛЬТАТ</w:t>
            </w:r>
          </w:p>
        </w:tc>
      </w:tr>
      <w:tr>
        <w:trPr>
          <w:cantSplit/>
        </w:trPr>
        <w:tc>
          <w:tcPr>
            <w:tcW w:type="dxa" w:w="1680"/>
            <w:tcMar>
              <w:top w:w="100" w:type="dxa"/>
              <w:start w:w="130" w:type="dxa"/>
              <w:bottom w:w="100" w:type="dxa"/>
              <w:end w:w="130" w:type="dxa"/>
            </w:tcMar>
            <w:vAlign w:val="center"/>
          </w:tcPr>
          <w:p>
            <w:pPr>
              <w:spacing w:after="0" w:line="252" w:lineRule="auto"/>
            </w:pPr>
            <w:r>
              <w:rPr>
                <w:rFonts w:ascii="Aptos" w:hAnsi="Aptos" w:eastAsia="Aptos"/>
                <w:b/>
                <w:color w:val="0B2545"/>
                <w:sz w:val="19"/>
              </w:rPr>
              <w:t>Owner-side</w:t>
            </w:r>
          </w:p>
        </w:tc>
        <w:tc>
          <w:tcPr>
            <w:tcW w:type="dxa" w:w="4800"/>
            <w:tcMar>
              <w:top w:w="100" w:type="dxa"/>
              <w:start w:w="130" w:type="dxa"/>
              <w:bottom w:w="100" w:type="dxa"/>
              <w:end w:w="130" w:type="dxa"/>
            </w:tcMar>
            <w:vAlign w:val="center"/>
          </w:tcPr>
          <w:p>
            <w:pPr>
              <w:spacing w:after="0" w:line="252" w:lineRule="auto"/>
            </w:pPr>
            <w:r>
              <w:rPr>
                <w:rFonts w:ascii="Aptos" w:hAnsi="Aptos" w:eastAsia="Aptos"/>
                <w:b w:val="0"/>
                <w:color w:val="1F2933"/>
                <w:sz w:val="19"/>
              </w:rPr>
              <w:t>Asset Review; Owner Representation; CAPEX Supervision; dispute coordination.</w:t>
            </w:r>
          </w:p>
        </w:tc>
        <w:tc>
          <w:tcPr>
            <w:tcW w:type="dxa" w:w="2880"/>
            <w:tcMar>
              <w:top w:w="100" w:type="dxa"/>
              <w:start w:w="130" w:type="dxa"/>
              <w:bottom w:w="100" w:type="dxa"/>
              <w:end w:w="130" w:type="dxa"/>
            </w:tcMar>
            <w:vAlign w:val="center"/>
          </w:tcPr>
          <w:p>
            <w:pPr>
              <w:spacing w:after="0" w:line="252" w:lineRule="auto"/>
            </w:pPr>
            <w:r>
              <w:rPr>
                <w:rFonts w:ascii="Aptos" w:hAnsi="Aptos" w:eastAsia="Aptos"/>
                <w:b w:val="0"/>
                <w:color w:val="1F2933"/>
                <w:sz w:val="19"/>
              </w:rPr>
              <w:t>Диагностика, проектный гонорар или долгосрочный мандат.</w:t>
            </w:r>
          </w:p>
        </w:tc>
      </w:tr>
      <w:tr>
        <w:trPr>
          <w:cantSplit/>
        </w:trPr>
        <w:tc>
          <w:tcPr>
            <w:tcW w:type="dxa" w:w="1680"/>
            <w:tcMar>
              <w:top w:w="100" w:type="dxa"/>
              <w:start w:w="130" w:type="dxa"/>
              <w:bottom w:w="100" w:type="dxa"/>
              <w:end w:w="130" w:type="dxa"/>
            </w:tcMar>
            <w:vAlign w:val="center"/>
            <w:shd w:fill="FAFBFC"/>
          </w:tcPr>
          <w:p>
            <w:pPr>
              <w:spacing w:after="0" w:line="252" w:lineRule="auto"/>
            </w:pPr>
            <w:r>
              <w:rPr>
                <w:rFonts w:ascii="Aptos" w:hAnsi="Aptos" w:eastAsia="Aptos"/>
                <w:b/>
                <w:color w:val="0B2545"/>
                <w:sz w:val="19"/>
              </w:rPr>
              <w:t>Operations</w:t>
            </w:r>
          </w:p>
        </w:tc>
        <w:tc>
          <w:tcPr>
            <w:tcW w:type="dxa" w:w="480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Unit Cluster; Managed Pool; Whole Complex; Hotel / Resort Operator; Turnaround.</w:t>
            </w:r>
          </w:p>
        </w:tc>
        <w:tc>
          <w:tcPr>
            <w:tcW w:type="dxa" w:w="288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Management fee, performance fee и рост управляемой экономики.</w:t>
            </w:r>
          </w:p>
        </w:tc>
      </w:tr>
      <w:tr>
        <w:trPr>
          <w:cantSplit/>
        </w:trPr>
        <w:tc>
          <w:tcPr>
            <w:tcW w:type="dxa" w:w="1680"/>
            <w:tcMar>
              <w:top w:w="100" w:type="dxa"/>
              <w:start w:w="130" w:type="dxa"/>
              <w:bottom w:w="100" w:type="dxa"/>
              <w:end w:w="130" w:type="dxa"/>
            </w:tcMar>
            <w:vAlign w:val="center"/>
          </w:tcPr>
          <w:p>
            <w:pPr>
              <w:spacing w:after="0" w:line="252" w:lineRule="auto"/>
            </w:pPr>
            <w:r>
              <w:rPr>
                <w:rFonts w:ascii="Aptos" w:hAnsi="Aptos" w:eastAsia="Aptos"/>
                <w:b/>
                <w:color w:val="0B2545"/>
                <w:sz w:val="19"/>
              </w:rPr>
              <w:t>myUNO Stays</w:t>
            </w:r>
          </w:p>
        </w:tc>
        <w:tc>
          <w:tcPr>
            <w:tcW w:type="dxa" w:w="4800"/>
            <w:tcMar>
              <w:top w:w="100" w:type="dxa"/>
              <w:start w:w="130" w:type="dxa"/>
              <w:bottom w:w="100" w:type="dxa"/>
              <w:end w:w="130" w:type="dxa"/>
            </w:tcMar>
            <w:vAlign w:val="center"/>
          </w:tcPr>
          <w:p>
            <w:pPr>
              <w:spacing w:after="0" w:line="252" w:lineRule="auto"/>
            </w:pPr>
            <w:r>
              <w:rPr>
                <w:rFonts w:ascii="Aptos" w:hAnsi="Aptos" w:eastAsia="Aptos"/>
                <w:b w:val="0"/>
                <w:color w:val="1F2933"/>
                <w:sz w:val="19"/>
              </w:rPr>
              <w:t>myUNO Villas; myUNO Residences; direct distribution; guest services.</w:t>
            </w:r>
          </w:p>
        </w:tc>
        <w:tc>
          <w:tcPr>
            <w:tcW w:type="dxa" w:w="2880"/>
            <w:tcMar>
              <w:top w:w="100" w:type="dxa"/>
              <w:start w:w="130" w:type="dxa"/>
              <w:bottom w:w="100" w:type="dxa"/>
              <w:end w:w="130" w:type="dxa"/>
            </w:tcMar>
            <w:vAlign w:val="center"/>
          </w:tcPr>
          <w:p>
            <w:pPr>
              <w:spacing w:after="0" w:line="252" w:lineRule="auto"/>
            </w:pPr>
            <w:r>
              <w:rPr>
                <w:rFonts w:ascii="Aptos" w:hAnsi="Aptos" w:eastAsia="Aptos"/>
                <w:b w:val="0"/>
                <w:color w:val="1F2933"/>
                <w:sz w:val="19"/>
              </w:rPr>
              <w:t>Доход актива, дистрибуционная маржа, прямые и повторные отношения.</w:t>
            </w:r>
          </w:p>
        </w:tc>
      </w:tr>
      <w:tr>
        <w:trPr>
          <w:cantSplit/>
        </w:trPr>
        <w:tc>
          <w:tcPr>
            <w:tcW w:type="dxa" w:w="1680"/>
            <w:tcMar>
              <w:top w:w="100" w:type="dxa"/>
              <w:start w:w="130" w:type="dxa"/>
              <w:bottom w:w="100" w:type="dxa"/>
              <w:end w:w="130" w:type="dxa"/>
            </w:tcMar>
            <w:vAlign w:val="center"/>
            <w:shd w:fill="FAFBFC"/>
          </w:tcPr>
          <w:p>
            <w:pPr>
              <w:spacing w:after="0" w:line="252" w:lineRule="auto"/>
            </w:pPr>
            <w:r>
              <w:rPr>
                <w:rFonts w:ascii="Aptos" w:hAnsi="Aptos" w:eastAsia="Aptos"/>
                <w:b/>
                <w:color w:val="0B2545"/>
                <w:sz w:val="19"/>
              </w:rPr>
              <w:t>Transactions</w:t>
            </w:r>
          </w:p>
        </w:tc>
        <w:tc>
          <w:tcPr>
            <w:tcW w:type="dxa" w:w="480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Buyer Representation; Managed Asset Sale; Developer Sales Mandate.</w:t>
            </w:r>
          </w:p>
        </w:tc>
        <w:tc>
          <w:tcPr>
            <w:tcW w:type="dxa" w:w="288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Раскрытая комиссия по завершённой сделке.</w:t>
            </w:r>
          </w:p>
        </w:tc>
      </w:tr>
      <w:tr>
        <w:trPr>
          <w:cantSplit/>
        </w:trPr>
        <w:tc>
          <w:tcPr>
            <w:tcW w:type="dxa" w:w="1680"/>
            <w:tcMar>
              <w:top w:w="100" w:type="dxa"/>
              <w:start w:w="130" w:type="dxa"/>
              <w:bottom w:w="100" w:type="dxa"/>
              <w:end w:w="130" w:type="dxa"/>
            </w:tcMar>
            <w:vAlign w:val="center"/>
          </w:tcPr>
          <w:p>
            <w:pPr>
              <w:spacing w:after="0" w:line="252" w:lineRule="auto"/>
            </w:pPr>
            <w:r>
              <w:rPr>
                <w:rFonts w:ascii="Aptos" w:hAnsi="Aptos" w:eastAsia="Aptos"/>
                <w:b/>
                <w:color w:val="0B2545"/>
                <w:sz w:val="19"/>
              </w:rPr>
              <w:t>Pre-opening</w:t>
            </w:r>
          </w:p>
        </w:tc>
        <w:tc>
          <w:tcPr>
            <w:tcW w:type="dxa" w:w="4800"/>
            <w:tcMar>
              <w:top w:w="100" w:type="dxa"/>
              <w:start w:w="130" w:type="dxa"/>
              <w:bottom w:w="100" w:type="dxa"/>
              <w:end w:w="130" w:type="dxa"/>
            </w:tcMar>
            <w:vAlign w:val="center"/>
          </w:tcPr>
          <w:p>
            <w:pPr>
              <w:spacing w:after="0" w:line="252" w:lineRule="auto"/>
            </w:pPr>
            <w:r>
              <w:rPr>
                <w:rFonts w:ascii="Aptos" w:hAnsi="Aptos" w:eastAsia="Aptos"/>
                <w:b w:val="0"/>
                <w:color w:val="1F2933"/>
                <w:sz w:val="19"/>
              </w:rPr>
              <w:t>Operating concept; systems setup; launch readiness; management agreement before delivery.</w:t>
            </w:r>
          </w:p>
        </w:tc>
        <w:tc>
          <w:tcPr>
            <w:tcW w:type="dxa" w:w="2880"/>
            <w:tcMar>
              <w:top w:w="100" w:type="dxa"/>
              <w:start w:w="130" w:type="dxa"/>
              <w:bottom w:w="100" w:type="dxa"/>
              <w:end w:w="130" w:type="dxa"/>
            </w:tcMar>
            <w:vAlign w:val="center"/>
          </w:tcPr>
          <w:p>
            <w:pPr>
              <w:spacing w:after="0" w:line="252" w:lineRule="auto"/>
            </w:pPr>
            <w:r>
              <w:rPr>
                <w:rFonts w:ascii="Aptos" w:hAnsi="Aptos" w:eastAsia="Aptos"/>
                <w:b w:val="0"/>
                <w:color w:val="1F2933"/>
                <w:sz w:val="19"/>
              </w:rPr>
              <w:t>Проектный гонорар и будущий портфель управления.</w:t>
            </w:r>
          </w:p>
        </w:tc>
      </w:tr>
      <w:tr>
        <w:trPr>
          <w:cantSplit/>
        </w:trPr>
        <w:tc>
          <w:tcPr>
            <w:tcW w:type="dxa" w:w="1680"/>
            <w:tcMar>
              <w:top w:w="100" w:type="dxa"/>
              <w:start w:w="130" w:type="dxa"/>
              <w:bottom w:w="100" w:type="dxa"/>
              <w:end w:w="130" w:type="dxa"/>
            </w:tcMar>
            <w:vAlign w:val="center"/>
            <w:shd w:fill="FAFBFC"/>
          </w:tcPr>
          <w:p>
            <w:pPr>
              <w:spacing w:after="0" w:line="252" w:lineRule="auto"/>
            </w:pPr>
            <w:r>
              <w:rPr>
                <w:rFonts w:ascii="Aptos" w:hAnsi="Aptos" w:eastAsia="Aptos"/>
                <w:b/>
                <w:color w:val="0B2545"/>
                <w:sz w:val="19"/>
              </w:rPr>
              <w:t>ClearView</w:t>
            </w:r>
          </w:p>
        </w:tc>
        <w:tc>
          <w:tcPr>
            <w:tcW w:type="dxa" w:w="480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Investment underwriting; operating readiness; exit evidence pack.</w:t>
            </w:r>
          </w:p>
        </w:tc>
        <w:tc>
          <w:tcPr>
            <w:tcW w:type="dxa" w:w="288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Инструмент отбора и доверия; отдельная плата возможна только без влияния на вывод.</w:t>
            </w:r>
          </w:p>
        </w:tc>
      </w:tr>
      <w:tr>
        <w:trPr>
          <w:cantSplit/>
        </w:trPr>
        <w:tc>
          <w:tcPr>
            <w:tcW w:type="dxa" w:w="1680"/>
            <w:tcMar>
              <w:top w:w="100" w:type="dxa"/>
              <w:start w:w="130" w:type="dxa"/>
              <w:bottom w:w="100" w:type="dxa"/>
              <w:end w:w="130" w:type="dxa"/>
            </w:tcMar>
            <w:vAlign w:val="center"/>
          </w:tcPr>
          <w:p>
            <w:pPr>
              <w:spacing w:after="0" w:line="252" w:lineRule="auto"/>
            </w:pPr>
            <w:r>
              <w:rPr>
                <w:rFonts w:ascii="Aptos" w:hAnsi="Aptos" w:eastAsia="Aptos"/>
                <w:b/>
                <w:color w:val="0B2545"/>
                <w:sz w:val="19"/>
              </w:rPr>
              <w:t>Partner Supply</w:t>
            </w:r>
          </w:p>
        </w:tc>
        <w:tc>
          <w:tcPr>
            <w:tcW w:type="dxa" w:w="4800"/>
            <w:tcMar>
              <w:top w:w="100" w:type="dxa"/>
              <w:start w:w="130" w:type="dxa"/>
              <w:bottom w:w="100" w:type="dxa"/>
              <w:end w:w="130" w:type="dxa"/>
            </w:tcMar>
            <w:vAlign w:val="center"/>
          </w:tcPr>
          <w:p>
            <w:pPr>
              <w:spacing w:after="0" w:line="252" w:lineRule="auto"/>
            </w:pPr>
            <w:r>
              <w:rPr>
                <w:rFonts w:ascii="Aptos" w:hAnsi="Aptos" w:eastAsia="Aptos"/>
                <w:b w:val="0"/>
                <w:color w:val="1F2933"/>
                <w:sz w:val="19"/>
              </w:rPr>
              <w:t>Verified Partner Rental; assisted search; professional referral.</w:t>
            </w:r>
          </w:p>
        </w:tc>
        <w:tc>
          <w:tcPr>
            <w:tcW w:type="dxa" w:w="2880"/>
            <w:tcMar>
              <w:top w:w="100" w:type="dxa"/>
              <w:start w:w="130" w:type="dxa"/>
              <w:bottom w:w="100" w:type="dxa"/>
              <w:end w:w="130" w:type="dxa"/>
            </w:tcMar>
            <w:vAlign w:val="center"/>
          </w:tcPr>
          <w:p>
            <w:pPr>
              <w:spacing w:after="0" w:line="252" w:lineRule="auto"/>
            </w:pPr>
            <w:r>
              <w:rPr>
                <w:rFonts w:ascii="Aptos" w:hAnsi="Aptos" w:eastAsia="Aptos"/>
                <w:b w:val="0"/>
                <w:color w:val="1F2933"/>
                <w:sz w:val="19"/>
              </w:rPr>
              <w:t>Referral fee, booking commission или раскрытая distribution margin.</w:t>
            </w:r>
          </w:p>
        </w:tc>
      </w:tr>
    </w:tbl>
    <w:p>
      <w:pPr>
        <w:spacing w:before="0" w:after="40" w:line="264" w:lineRule="auto"/>
        <w:jc w:val="left"/>
      </w:pPr>
    </w:p>
    <w:p>
      <w:pPr>
        <w:pStyle w:val="Heading2"/>
        <w:keepNext/>
      </w:pPr>
      <w:r>
        <w:t>17.2. Карточка продукта</w:t>
      </w:r>
    </w:p>
    <w:p>
      <w:pPr>
        <w:spacing w:before="0" w:after="120" w:line="264" w:lineRule="auto"/>
        <w:jc w:val="left"/>
      </w:pPr>
      <w:r>
        <w:rPr>
          <w:rFonts w:ascii="Aptos" w:hAnsi="Aptos" w:eastAsia="Aptos"/>
          <w:b w:val="0"/>
          <w:i w:val="0"/>
          <w:color w:val="1F2933"/>
          <w:sz w:val="22"/>
        </w:rPr>
        <w:t>До запуска каждый продукт получает Product Card: целевая аудитория; job-to-be-done; входные данные; обещанный результат; включённые и исключённые действия; цена и база начисления; срок; минимальный мандат; обязанности клиента; KPI и SLA; риски; ответственный P&amp;L owner; условия расширения и завершения.</w:t>
      </w:r>
    </w:p>
    <w:tbl>
      <w:tblPr>
        <w:tblW w:type="dxa" w:w="9360"/>
        <w:jc w:val="left"/>
        <w:tblLook w:firstColumn="1" w:firstRow="1" w:lastColumn="0" w:lastRow="0" w:noHBand="0" w:noVBand="1" w:val="04A0"/>
        <w:tblInd w:w="120" w:type="dxa"/>
        <w:tblBorders>
          <w:top w:val="single" w:sz="4" w:space="0" w:color="E8EEF5"/>
          <w:left w:val="single" w:sz="4" w:space="0" w:color="E8EEF5"/>
          <w:bottom w:val="single" w:sz="4" w:space="0" w:color="E8EEF5"/>
          <w:right w:val="single" w:sz="4" w:space="0" w:color="E8EEF5"/>
          <w:insideH w:val="single" w:sz="4" w:space="0" w:color="E8EEF5"/>
          <w:insideV w:val="single" w:sz="4" w:space="0" w:color="E8EEF5"/>
        </w:tblBorders>
      </w:tblPr>
      <w:tblGrid>
        <w:gridCol w:w="9360"/>
      </w:tblGrid>
      <w:tr>
        <w:tc>
          <w:tcPr>
            <w:tcW w:type="dxa" w:w="9360"/>
            <w:shd w:fill="E8EEF5"/>
            <w:tcMar>
              <w:top w:w="150" w:type="dxa"/>
              <w:start w:w="180" w:type="dxa"/>
              <w:bottom w:w="150" w:type="dxa"/>
              <w:end w:w="180" w:type="dxa"/>
            </w:tcMar>
          </w:tcPr>
          <w:p>
            <w:pPr>
              <w:spacing w:after="0" w:line="269" w:lineRule="auto"/>
            </w:pPr>
            <w:r>
              <w:rPr>
                <w:rFonts w:ascii="Aptos" w:hAnsi="Aptos" w:eastAsia="Aptos"/>
                <w:b/>
                <w:color w:val="0B2545"/>
                <w:sz w:val="21"/>
              </w:rPr>
              <w:t xml:space="preserve">Правило ответственности. </w:t>
            </w:r>
            <w:r>
              <w:rPr>
                <w:rFonts w:ascii="Aptos" w:hAnsi="Aptos" w:eastAsia="Aptos"/>
                <w:color w:val="1F2933"/>
                <w:sz w:val="21"/>
              </w:rPr>
              <w:t>Ignatev Estate не принимает ответственность за NOP, GOP, NOI, тариф, сервис или сохранность, если договор не предоставляет достаточного контроля соответствующих решений, данных, бюджета и исполнителей.</w:t>
            </w:r>
          </w:p>
        </w:tc>
      </w:tr>
    </w:tbl>
    <w:p>
      <w:pPr>
        <w:spacing w:before="0" w:after="40" w:line="264" w:lineRule="auto"/>
        <w:jc w:val="left"/>
      </w:pPr>
    </w:p>
    <w:p>
      <w:pPr>
        <w:pStyle w:val="Heading2"/>
        <w:keepNext/>
      </w:pPr>
      <w:r>
        <w:t>17.3. Лестница мандатов</w:t>
      </w:r>
    </w:p>
    <w:tbl>
      <w:tblPr>
        <w:tblW w:type="dxa" w:w="9360"/>
        <w:jc w:val="left"/>
        <w:tblLayout w:type="fixed"/>
        <w:tblLook w:firstColumn="1" w:firstRow="1" w:lastColumn="0" w:lastRow="0" w:noHBand="0" w:noVBand="1" w:val="04A0"/>
        <w:tblInd w:w="120" w:type="dxa"/>
        <w:tblBorders>
          <w:top w:val="single" w:sz="6" w:space="0" w:color="D6DCE2"/>
          <w:left w:val="single" w:sz="6" w:space="0" w:color="D6DCE2"/>
          <w:bottom w:val="single" w:sz="6" w:space="0" w:color="D6DCE2"/>
          <w:right w:val="single" w:sz="6" w:space="0" w:color="D6DCE2"/>
          <w:insideH w:val="single" w:sz="6" w:space="0" w:color="D6DCE2"/>
          <w:insideV w:val="single" w:sz="6" w:space="0" w:color="D6DCE2"/>
        </w:tblBorders>
      </w:tblPr>
      <w:tblGrid>
        <w:gridCol w:w="1320"/>
        <w:gridCol w:w="2760"/>
        <w:gridCol w:w="3000"/>
        <w:gridCol w:w="2280"/>
      </w:tblGrid>
      <w:tr>
        <w:trPr>
          <w:tblHeader w:val="true"/>
          <w:cantSplit/>
        </w:trPr>
        <w:tc>
          <w:tcPr>
            <w:tcW w:type="dxa" w:w="1320"/>
            <w:shd w:fill="0B2545"/>
            <w:tcMar>
              <w:top w:w="100" w:type="dxa"/>
              <w:start w:w="130" w:type="dxa"/>
              <w:bottom w:w="100" w:type="dxa"/>
              <w:end w:w="130" w:type="dxa"/>
            </w:tcMar>
            <w:vAlign w:val="center"/>
          </w:tcPr>
          <w:p>
            <w:pPr>
              <w:spacing w:after="0" w:line="240" w:lineRule="auto"/>
            </w:pPr>
            <w:r>
              <w:rPr>
                <w:rFonts w:ascii="Aptos" w:hAnsi="Aptos" w:eastAsia="Aptos"/>
                <w:b/>
                <w:color w:val="FFFFFF"/>
                <w:sz w:val="19"/>
              </w:rPr>
              <w:t>УРОВЕНЬ</w:t>
            </w:r>
          </w:p>
        </w:tc>
        <w:tc>
          <w:tcPr>
            <w:tcW w:type="dxa" w:w="2760"/>
            <w:shd w:fill="0B2545"/>
            <w:tcMar>
              <w:top w:w="100" w:type="dxa"/>
              <w:start w:w="130" w:type="dxa"/>
              <w:bottom w:w="100" w:type="dxa"/>
              <w:end w:w="130" w:type="dxa"/>
            </w:tcMar>
            <w:vAlign w:val="center"/>
          </w:tcPr>
          <w:p>
            <w:pPr>
              <w:spacing w:after="0" w:line="240" w:lineRule="auto"/>
            </w:pPr>
            <w:r>
              <w:rPr>
                <w:rFonts w:ascii="Aptos" w:hAnsi="Aptos" w:eastAsia="Aptos"/>
                <w:b/>
                <w:color w:val="FFFFFF"/>
                <w:sz w:val="19"/>
              </w:rPr>
              <w:t>ПОЛНОМОЧИЯ</w:t>
            </w:r>
          </w:p>
        </w:tc>
        <w:tc>
          <w:tcPr>
            <w:tcW w:type="dxa" w:w="3000"/>
            <w:shd w:fill="0B2545"/>
            <w:tcMar>
              <w:top w:w="100" w:type="dxa"/>
              <w:start w:w="130" w:type="dxa"/>
              <w:bottom w:w="100" w:type="dxa"/>
              <w:end w:w="130" w:type="dxa"/>
            </w:tcMar>
            <w:vAlign w:val="center"/>
          </w:tcPr>
          <w:p>
            <w:pPr>
              <w:spacing w:after="0" w:line="240" w:lineRule="auto"/>
            </w:pPr>
            <w:r>
              <w:rPr>
                <w:rFonts w:ascii="Aptos" w:hAnsi="Aptos" w:eastAsia="Aptos"/>
                <w:b/>
                <w:color w:val="FFFFFF"/>
                <w:sz w:val="19"/>
              </w:rPr>
              <w:t>ОТВЕТСТВЕННОСТЬ</w:t>
            </w:r>
          </w:p>
        </w:tc>
        <w:tc>
          <w:tcPr>
            <w:tcW w:type="dxa" w:w="2280"/>
            <w:shd w:fill="0B2545"/>
            <w:tcMar>
              <w:top w:w="100" w:type="dxa"/>
              <w:start w:w="130" w:type="dxa"/>
              <w:bottom w:w="100" w:type="dxa"/>
              <w:end w:w="130" w:type="dxa"/>
            </w:tcMar>
            <w:vAlign w:val="center"/>
          </w:tcPr>
          <w:p>
            <w:pPr>
              <w:spacing w:after="0" w:line="240" w:lineRule="auto"/>
            </w:pPr>
            <w:r>
              <w:rPr>
                <w:rFonts w:ascii="Aptos" w:hAnsi="Aptos" w:eastAsia="Aptos"/>
                <w:b/>
                <w:color w:val="FFFFFF"/>
                <w:sz w:val="19"/>
              </w:rPr>
              <w:t>ПУБЛИЧНАЯ РОЛЬ</w:t>
            </w:r>
          </w:p>
        </w:tc>
      </w:tr>
      <w:tr>
        <w:trPr>
          <w:cantSplit/>
        </w:trPr>
        <w:tc>
          <w:tcPr>
            <w:tcW w:type="dxa" w:w="1320"/>
            <w:tcMar>
              <w:top w:w="100" w:type="dxa"/>
              <w:start w:w="130" w:type="dxa"/>
              <w:bottom w:w="100" w:type="dxa"/>
              <w:end w:w="130" w:type="dxa"/>
            </w:tcMar>
            <w:vAlign w:val="center"/>
          </w:tcPr>
          <w:p>
            <w:pPr>
              <w:spacing w:after="0" w:line="252" w:lineRule="auto"/>
            </w:pPr>
            <w:r>
              <w:rPr>
                <w:rFonts w:ascii="Aptos" w:hAnsi="Aptos" w:eastAsia="Aptos"/>
                <w:b/>
                <w:color w:val="0B2545"/>
                <w:sz w:val="19"/>
              </w:rPr>
              <w:t>Advisory</w:t>
            </w:r>
          </w:p>
        </w:tc>
        <w:tc>
          <w:tcPr>
            <w:tcW w:type="dxa" w:w="2760"/>
            <w:tcMar>
              <w:top w:w="100" w:type="dxa"/>
              <w:start w:w="130" w:type="dxa"/>
              <w:bottom w:w="100" w:type="dxa"/>
              <w:end w:w="130" w:type="dxa"/>
            </w:tcMar>
            <w:vAlign w:val="center"/>
          </w:tcPr>
          <w:p>
            <w:pPr>
              <w:spacing w:after="0" w:line="252" w:lineRule="auto"/>
            </w:pPr>
            <w:r>
              <w:rPr>
                <w:rFonts w:ascii="Aptos" w:hAnsi="Aptos" w:eastAsia="Aptos"/>
                <w:b w:val="0"/>
                <w:color w:val="1F2933"/>
                <w:sz w:val="19"/>
              </w:rPr>
              <w:t>Анализ и рекомендации.</w:t>
            </w:r>
          </w:p>
        </w:tc>
        <w:tc>
          <w:tcPr>
            <w:tcW w:type="dxa" w:w="3000"/>
            <w:tcMar>
              <w:top w:w="100" w:type="dxa"/>
              <w:start w:w="130" w:type="dxa"/>
              <w:bottom w:w="100" w:type="dxa"/>
              <w:end w:w="130" w:type="dxa"/>
            </w:tcMar>
            <w:vAlign w:val="center"/>
          </w:tcPr>
          <w:p>
            <w:pPr>
              <w:spacing w:after="0" w:line="252" w:lineRule="auto"/>
            </w:pPr>
            <w:r>
              <w:rPr>
                <w:rFonts w:ascii="Aptos" w:hAnsi="Aptos" w:eastAsia="Aptos"/>
                <w:b w:val="0"/>
                <w:color w:val="1F2933"/>
                <w:sz w:val="19"/>
              </w:rPr>
              <w:t>Качество анализа; исполнение остаётся у клиента.</w:t>
            </w:r>
          </w:p>
        </w:tc>
        <w:tc>
          <w:tcPr>
            <w:tcW w:type="dxa" w:w="2280"/>
            <w:tcMar>
              <w:top w:w="100" w:type="dxa"/>
              <w:start w:w="130" w:type="dxa"/>
              <w:bottom w:w="100" w:type="dxa"/>
              <w:end w:w="130" w:type="dxa"/>
            </w:tcMar>
            <w:vAlign w:val="center"/>
          </w:tcPr>
          <w:p>
            <w:pPr>
              <w:spacing w:after="0" w:line="252" w:lineRule="auto"/>
            </w:pPr>
            <w:r>
              <w:rPr>
                <w:rFonts w:ascii="Aptos" w:hAnsi="Aptos" w:eastAsia="Aptos"/>
                <w:b w:val="0"/>
                <w:color w:val="1F2933"/>
                <w:sz w:val="19"/>
              </w:rPr>
              <w:t>Consulted by Ignatev Estate.</w:t>
            </w:r>
          </w:p>
        </w:tc>
      </w:tr>
      <w:tr>
        <w:trPr>
          <w:cantSplit/>
        </w:trPr>
        <w:tc>
          <w:tcPr>
            <w:tcW w:type="dxa" w:w="1320"/>
            <w:tcMar>
              <w:top w:w="100" w:type="dxa"/>
              <w:start w:w="130" w:type="dxa"/>
              <w:bottom w:w="100" w:type="dxa"/>
              <w:end w:w="130" w:type="dxa"/>
            </w:tcMar>
            <w:vAlign w:val="center"/>
            <w:shd w:fill="FAFBFC"/>
          </w:tcPr>
          <w:p>
            <w:pPr>
              <w:spacing w:after="0" w:line="252" w:lineRule="auto"/>
            </w:pPr>
            <w:r>
              <w:rPr>
                <w:rFonts w:ascii="Aptos" w:hAnsi="Aptos" w:eastAsia="Aptos"/>
                <w:b/>
                <w:color w:val="0B2545"/>
                <w:sz w:val="19"/>
              </w:rPr>
              <w:t>Commercial</w:t>
            </w:r>
          </w:p>
        </w:tc>
        <w:tc>
          <w:tcPr>
            <w:tcW w:type="dxa" w:w="276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Цена, каналы, продажи и согласованные коммерческие расходы.</w:t>
            </w:r>
          </w:p>
        </w:tc>
        <w:tc>
          <w:tcPr>
            <w:tcW w:type="dxa" w:w="300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Коммерческие KPI в контролируемом периметре.</w:t>
            </w:r>
          </w:p>
        </w:tc>
        <w:tc>
          <w:tcPr>
            <w:tcW w:type="dxa" w:w="228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Без гостевой маркировки myUNO, пока компания не контролирует стандарт исполнения.</w:t>
            </w:r>
          </w:p>
        </w:tc>
      </w:tr>
      <w:tr>
        <w:trPr>
          <w:cantSplit/>
        </w:trPr>
        <w:tc>
          <w:tcPr>
            <w:tcW w:type="dxa" w:w="1320"/>
            <w:tcMar>
              <w:top w:w="100" w:type="dxa"/>
              <w:start w:w="130" w:type="dxa"/>
              <w:bottom w:w="100" w:type="dxa"/>
              <w:end w:w="130" w:type="dxa"/>
            </w:tcMar>
            <w:vAlign w:val="center"/>
          </w:tcPr>
          <w:p>
            <w:pPr>
              <w:spacing w:after="0" w:line="252" w:lineRule="auto"/>
            </w:pPr>
            <w:r>
              <w:rPr>
                <w:rFonts w:ascii="Aptos" w:hAnsi="Aptos" w:eastAsia="Aptos"/>
                <w:b/>
                <w:color w:val="0B2545"/>
                <w:sz w:val="19"/>
              </w:rPr>
              <w:t>Management</w:t>
            </w:r>
          </w:p>
        </w:tc>
        <w:tc>
          <w:tcPr>
            <w:tcW w:type="dxa" w:w="2760"/>
            <w:tcMar>
              <w:top w:w="100" w:type="dxa"/>
              <w:start w:w="130" w:type="dxa"/>
              <w:bottom w:w="100" w:type="dxa"/>
              <w:end w:w="130" w:type="dxa"/>
            </w:tcMar>
            <w:vAlign w:val="center"/>
          </w:tcPr>
          <w:p>
            <w:pPr>
              <w:spacing w:after="0" w:line="252" w:lineRule="auto"/>
            </w:pPr>
            <w:r>
              <w:rPr>
                <w:rFonts w:ascii="Aptos" w:hAnsi="Aptos" w:eastAsia="Aptos"/>
                <w:b w:val="0"/>
                <w:color w:val="1F2933"/>
                <w:sz w:val="19"/>
              </w:rPr>
              <w:t>Коммерция плюс согласованная эксплуатация, подрядчики и отчётность.</w:t>
            </w:r>
          </w:p>
        </w:tc>
        <w:tc>
          <w:tcPr>
            <w:tcW w:type="dxa" w:w="3000"/>
            <w:tcMar>
              <w:top w:w="100" w:type="dxa"/>
              <w:start w:w="130" w:type="dxa"/>
              <w:bottom w:w="100" w:type="dxa"/>
              <w:end w:w="130" w:type="dxa"/>
            </w:tcMar>
            <w:vAlign w:val="center"/>
          </w:tcPr>
          <w:p>
            <w:pPr>
              <w:spacing w:after="0" w:line="252" w:lineRule="auto"/>
            </w:pPr>
            <w:r>
              <w:rPr>
                <w:rFonts w:ascii="Aptos" w:hAnsi="Aptos" w:eastAsia="Aptos"/>
                <w:b w:val="0"/>
                <w:color w:val="1F2933"/>
                <w:sz w:val="19"/>
              </w:rPr>
              <w:t>Результат функций под контролем и SLA.</w:t>
            </w:r>
          </w:p>
        </w:tc>
        <w:tc>
          <w:tcPr>
            <w:tcW w:type="dxa" w:w="2280"/>
            <w:tcMar>
              <w:top w:w="100" w:type="dxa"/>
              <w:start w:w="130" w:type="dxa"/>
              <w:bottom w:w="100" w:type="dxa"/>
              <w:end w:w="130" w:type="dxa"/>
            </w:tcMar>
            <w:vAlign w:val="center"/>
          </w:tcPr>
          <w:p>
            <w:pPr>
              <w:spacing w:after="0" w:line="252" w:lineRule="auto"/>
            </w:pPr>
            <w:r>
              <w:rPr>
                <w:rFonts w:ascii="Aptos" w:hAnsi="Aptos" w:eastAsia="Aptos"/>
                <w:b w:val="0"/>
                <w:color w:val="1F2933"/>
                <w:sz w:val="19"/>
              </w:rPr>
              <w:t>Managed by myUNO.</w:t>
            </w:r>
          </w:p>
        </w:tc>
      </w:tr>
      <w:tr>
        <w:trPr>
          <w:cantSplit/>
        </w:trPr>
        <w:tc>
          <w:tcPr>
            <w:tcW w:type="dxa" w:w="1320"/>
            <w:tcMar>
              <w:top w:w="100" w:type="dxa"/>
              <w:start w:w="130" w:type="dxa"/>
              <w:bottom w:w="100" w:type="dxa"/>
              <w:end w:w="130" w:type="dxa"/>
            </w:tcMar>
            <w:vAlign w:val="center"/>
            <w:shd w:fill="FAFBFC"/>
          </w:tcPr>
          <w:p>
            <w:pPr>
              <w:spacing w:after="0" w:line="252" w:lineRule="auto"/>
            </w:pPr>
            <w:r>
              <w:rPr>
                <w:rFonts w:ascii="Aptos" w:hAnsi="Aptos" w:eastAsia="Aptos"/>
                <w:b/>
                <w:color w:val="0B2545"/>
                <w:sz w:val="19"/>
              </w:rPr>
              <w:t>Full operator</w:t>
            </w:r>
          </w:p>
        </w:tc>
        <w:tc>
          <w:tcPr>
            <w:tcW w:type="dxa" w:w="276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P&amp;L, команда, сервис, закупки, каналы и системы в согласованном бюджете.</w:t>
            </w:r>
          </w:p>
        </w:tc>
        <w:tc>
          <w:tcPr>
            <w:tcW w:type="dxa" w:w="300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Adjusted GOP / NOI и операционный стандарт.</w:t>
            </w:r>
          </w:p>
        </w:tc>
        <w:tc>
          <w:tcPr>
            <w:tcW w:type="dxa" w:w="228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Operated by myUNO или co-brand.</w:t>
            </w:r>
          </w:p>
        </w:tc>
      </w:tr>
      <w:tr>
        <w:trPr>
          <w:cantSplit/>
        </w:trPr>
        <w:tc>
          <w:tcPr>
            <w:tcW w:type="dxa" w:w="1320"/>
            <w:tcMar>
              <w:top w:w="100" w:type="dxa"/>
              <w:start w:w="130" w:type="dxa"/>
              <w:bottom w:w="100" w:type="dxa"/>
              <w:end w:w="130" w:type="dxa"/>
            </w:tcMar>
            <w:vAlign w:val="center"/>
          </w:tcPr>
          <w:p>
            <w:pPr>
              <w:spacing w:after="0" w:line="252" w:lineRule="auto"/>
            </w:pPr>
            <w:r>
              <w:rPr>
                <w:rFonts w:ascii="Aptos" w:hAnsi="Aptos" w:eastAsia="Aptos"/>
                <w:b/>
                <w:color w:val="0B2545"/>
                <w:sz w:val="19"/>
              </w:rPr>
              <w:t>Owner representation</w:t>
            </w:r>
          </w:p>
        </w:tc>
        <w:tc>
          <w:tcPr>
            <w:tcW w:type="dxa" w:w="2760"/>
            <w:tcMar>
              <w:top w:w="100" w:type="dxa"/>
              <w:start w:w="130" w:type="dxa"/>
              <w:bottom w:w="100" w:type="dxa"/>
              <w:end w:w="130" w:type="dxa"/>
            </w:tcMar>
            <w:vAlign w:val="center"/>
          </w:tcPr>
          <w:p>
            <w:pPr>
              <w:spacing w:after="0" w:line="252" w:lineRule="auto"/>
            </w:pPr>
            <w:r>
              <w:rPr>
                <w:rFonts w:ascii="Aptos" w:hAnsi="Aptos" w:eastAsia="Aptos"/>
                <w:b w:val="0"/>
                <w:color w:val="1F2933"/>
                <w:sz w:val="19"/>
              </w:rPr>
              <w:t>Контроль назначенных третьих лиц и защита интересов собственника.</w:t>
            </w:r>
          </w:p>
        </w:tc>
        <w:tc>
          <w:tcPr>
            <w:tcW w:type="dxa" w:w="3000"/>
            <w:tcMar>
              <w:top w:w="100" w:type="dxa"/>
              <w:start w:w="130" w:type="dxa"/>
              <w:bottom w:w="100" w:type="dxa"/>
              <w:end w:w="130" w:type="dxa"/>
            </w:tcMar>
            <w:vAlign w:val="center"/>
          </w:tcPr>
          <w:p>
            <w:pPr>
              <w:spacing w:after="0" w:line="252" w:lineRule="auto"/>
            </w:pPr>
            <w:r>
              <w:rPr>
                <w:rFonts w:ascii="Aptos" w:hAnsi="Aptos" w:eastAsia="Aptos"/>
                <w:b w:val="0"/>
                <w:color w:val="1F2933"/>
                <w:sz w:val="19"/>
              </w:rPr>
              <w:t>Надзор, эскалация и доказательность; не подмена исполнителя.</w:t>
            </w:r>
          </w:p>
        </w:tc>
        <w:tc>
          <w:tcPr>
            <w:tcW w:type="dxa" w:w="2280"/>
            <w:tcMar>
              <w:top w:w="100" w:type="dxa"/>
              <w:start w:w="130" w:type="dxa"/>
              <w:bottom w:w="100" w:type="dxa"/>
              <w:end w:w="130" w:type="dxa"/>
            </w:tcMar>
            <w:vAlign w:val="center"/>
          </w:tcPr>
          <w:p>
            <w:pPr>
              <w:spacing w:after="0" w:line="252" w:lineRule="auto"/>
            </w:pPr>
            <w:r>
              <w:rPr>
                <w:rFonts w:ascii="Aptos" w:hAnsi="Aptos" w:eastAsia="Aptos"/>
                <w:b w:val="0"/>
                <w:color w:val="1F2933"/>
                <w:sz w:val="19"/>
              </w:rPr>
              <w:t>Represented by Ignatev Estate.</w:t>
            </w:r>
          </w:p>
        </w:tc>
      </w:tr>
    </w:tbl>
    <w:p>
      <w:pPr>
        <w:spacing w:before="0" w:after="40" w:line="264" w:lineRule="auto"/>
        <w:jc w:val="left"/>
      </w:pPr>
    </w:p>
    <w:p>
      <w:pPr>
        <w:pStyle w:val="Heading1"/>
        <w:keepNext/>
      </w:pPr>
      <w:r>
        <w:t>18. Допуск актива и право отказа</w:t>
      </w:r>
    </w:p>
    <w:p>
      <w:pPr>
        <w:spacing w:before="0" w:after="120" w:line="264" w:lineRule="auto"/>
        <w:jc w:val="left"/>
      </w:pPr>
      <w:r>
        <w:rPr>
          <w:rFonts w:ascii="Aptos" w:hAnsi="Aptos" w:eastAsia="Aptos"/>
          <w:b w:val="0"/>
          <w:i w:val="0"/>
          <w:color w:val="1F2933"/>
          <w:sz w:val="22"/>
        </w:rPr>
        <w:t>Рост начинается не с подписания любого договора, а с принятия актива, которым компания способна управлять законно, экономически и репутационно.</w:t>
      </w:r>
    </w:p>
    <w:p>
      <w:pPr>
        <w:pStyle w:val="Heading2"/>
        <w:keepNext/>
      </w:pPr>
      <w:r>
        <w:t>18.1. Asset Acceptance Gate</w:t>
      </w:r>
    </w:p>
    <w:p>
      <w:pPr>
        <w:pStyle w:val="ListBullet"/>
        <w:spacing w:after="80" w:line="264" w:lineRule="auto"/>
      </w:pPr>
      <w:r>
        <w:rPr>
          <w:rFonts w:ascii="Aptos" w:hAnsi="Aptos" w:eastAsia="Aptos"/>
          <w:b/>
          <w:color w:val="0B2545"/>
          <w:sz w:val="22"/>
        </w:rPr>
        <w:t>Правовой режим.</w:t>
      </w:r>
      <w:r>
        <w:rPr>
          <w:rFonts w:ascii="Aptos" w:hAnsi="Aptos" w:eastAsia="Aptos"/>
          <w:color w:val="1F2933"/>
          <w:sz w:val="22"/>
        </w:rPr>
        <w:t xml:space="preserve"> Размещение, аренда, лицензии, правила здания и регистрационные обязанности проверяемы и совместимы с моделью.</w:t>
      </w:r>
    </w:p>
    <w:p>
      <w:pPr>
        <w:pStyle w:val="ListBullet"/>
        <w:spacing w:after="80" w:line="264" w:lineRule="auto"/>
      </w:pPr>
      <w:r>
        <w:rPr>
          <w:rFonts w:ascii="Aptos" w:hAnsi="Aptos" w:eastAsia="Aptos"/>
          <w:b/>
          <w:color w:val="0B2545"/>
          <w:sz w:val="22"/>
        </w:rPr>
        <w:t>Полномочия.</w:t>
      </w:r>
      <w:r>
        <w:rPr>
          <w:rFonts w:ascii="Aptos" w:hAnsi="Aptos" w:eastAsia="Aptos"/>
          <w:color w:val="1F2933"/>
          <w:sz w:val="22"/>
        </w:rPr>
        <w:t xml:space="preserve"> Оператор получает права, необходимые для обещанного результата, включая данные, цены, каналы и исполнение.</w:t>
      </w:r>
    </w:p>
    <w:p>
      <w:pPr>
        <w:pStyle w:val="ListBullet"/>
        <w:spacing w:after="80" w:line="264" w:lineRule="auto"/>
      </w:pPr>
      <w:r>
        <w:rPr>
          <w:rFonts w:ascii="Aptos" w:hAnsi="Aptos" w:eastAsia="Aptos"/>
          <w:b/>
          <w:color w:val="0B2545"/>
          <w:sz w:val="22"/>
        </w:rPr>
        <w:t>Экономика.</w:t>
      </w:r>
      <w:r>
        <w:rPr>
          <w:rFonts w:ascii="Aptos" w:hAnsi="Aptos" w:eastAsia="Aptos"/>
          <w:color w:val="1F2933"/>
          <w:sz w:val="22"/>
        </w:rPr>
        <w:t xml:space="preserve"> Существует реалистичный бюджет, спрос и путь к положительной contribution margin без ложных обещаний.</w:t>
      </w:r>
    </w:p>
    <w:p>
      <w:pPr>
        <w:pStyle w:val="ListBullet"/>
        <w:spacing w:after="80" w:line="264" w:lineRule="auto"/>
      </w:pPr>
      <w:r>
        <w:rPr>
          <w:rFonts w:ascii="Aptos" w:hAnsi="Aptos" w:eastAsia="Aptos"/>
          <w:b/>
          <w:color w:val="0B2545"/>
          <w:sz w:val="22"/>
        </w:rPr>
        <w:t>Состояние.</w:t>
      </w:r>
      <w:r>
        <w:rPr>
          <w:rFonts w:ascii="Aptos" w:hAnsi="Aptos" w:eastAsia="Aptos"/>
          <w:color w:val="1F2933"/>
          <w:sz w:val="22"/>
        </w:rPr>
        <w:t xml:space="preserve"> Дефекты, безопасность, инвентарь, CAPEX и сроки устранения зафиксированы до запуска.</w:t>
      </w:r>
    </w:p>
    <w:p>
      <w:pPr>
        <w:pStyle w:val="ListBullet"/>
        <w:spacing w:after="80" w:line="264" w:lineRule="auto"/>
      </w:pPr>
      <w:r>
        <w:rPr>
          <w:rFonts w:ascii="Aptos" w:hAnsi="Aptos" w:eastAsia="Aptos"/>
          <w:b/>
          <w:color w:val="0B2545"/>
          <w:sz w:val="22"/>
        </w:rPr>
        <w:t>Собственник.</w:t>
      </w:r>
      <w:r>
        <w:rPr>
          <w:rFonts w:ascii="Aptos" w:hAnsi="Aptos" w:eastAsia="Aptos"/>
          <w:color w:val="1F2933"/>
          <w:sz w:val="22"/>
        </w:rPr>
        <w:t xml:space="preserve"> Клиент принимает прозрачность, согласованный бюджет, отчётность и необходимые решения.</w:t>
      </w:r>
    </w:p>
    <w:p>
      <w:pPr>
        <w:pStyle w:val="ListBullet"/>
        <w:spacing w:after="80" w:line="264" w:lineRule="auto"/>
      </w:pPr>
      <w:r>
        <w:rPr>
          <w:rFonts w:ascii="Aptos" w:hAnsi="Aptos" w:eastAsia="Aptos"/>
          <w:b/>
          <w:color w:val="0B2545"/>
          <w:sz w:val="22"/>
        </w:rPr>
        <w:t>Плотность.</w:t>
      </w:r>
      <w:r>
        <w:rPr>
          <w:rFonts w:ascii="Aptos" w:hAnsi="Aptos" w:eastAsia="Aptos"/>
          <w:color w:val="1F2933"/>
          <w:sz w:val="22"/>
        </w:rPr>
        <w:t xml:space="preserve"> География и операционная сложность не разрушают качество существующего портфеля.</w:t>
      </w:r>
    </w:p>
    <w:p>
      <w:pPr>
        <w:pStyle w:val="ListBullet"/>
        <w:spacing w:after="80" w:line="264" w:lineRule="auto"/>
      </w:pPr>
      <w:r>
        <w:rPr>
          <w:rFonts w:ascii="Aptos" w:hAnsi="Aptos" w:eastAsia="Aptos"/>
          <w:b/>
          <w:color w:val="0B2545"/>
          <w:sz w:val="22"/>
        </w:rPr>
        <w:t>Репутация.</w:t>
      </w:r>
      <w:r>
        <w:rPr>
          <w:rFonts w:ascii="Aptos" w:hAnsi="Aptos" w:eastAsia="Aptos"/>
          <w:color w:val="1F2933"/>
          <w:sz w:val="22"/>
        </w:rPr>
        <w:t xml:space="preserve"> Актив, контрагенты и публичные обещания совместимы с брендом Ignatev Estate и myUNO.</w:t>
      </w:r>
    </w:p>
    <w:p>
      <w:pPr>
        <w:pStyle w:val="Heading2"/>
        <w:keepNext/>
      </w:pPr>
      <w:r>
        <w:t>18.2. Решение по активу</w:t>
      </w:r>
    </w:p>
    <w:tbl>
      <w:tblPr>
        <w:tblW w:type="dxa" w:w="9360"/>
        <w:jc w:val="left"/>
        <w:tblLayout w:type="fixed"/>
        <w:tblLook w:firstColumn="1" w:firstRow="1" w:lastColumn="0" w:lastRow="0" w:noHBand="0" w:noVBand="1" w:val="04A0"/>
        <w:tblInd w:w="120" w:type="dxa"/>
        <w:tblBorders>
          <w:top w:val="single" w:sz="6" w:space="0" w:color="D6DCE2"/>
          <w:left w:val="single" w:sz="6" w:space="0" w:color="D6DCE2"/>
          <w:bottom w:val="single" w:sz="6" w:space="0" w:color="D6DCE2"/>
          <w:right w:val="single" w:sz="6" w:space="0" w:color="D6DCE2"/>
          <w:insideH w:val="single" w:sz="6" w:space="0" w:color="D6DCE2"/>
          <w:insideV w:val="single" w:sz="6" w:space="0" w:color="D6DCE2"/>
        </w:tblBorders>
      </w:tblPr>
      <w:tblGrid>
        <w:gridCol w:w="1680"/>
        <w:gridCol w:w="4800"/>
        <w:gridCol w:w="2880"/>
      </w:tblGrid>
      <w:tr>
        <w:trPr>
          <w:tblHeader w:val="true"/>
          <w:cantSplit/>
        </w:trPr>
        <w:tc>
          <w:tcPr>
            <w:tcW w:type="dxa" w:w="1680"/>
            <w:shd w:fill="0B2545"/>
            <w:tcMar>
              <w:top w:w="100" w:type="dxa"/>
              <w:start w:w="130" w:type="dxa"/>
              <w:bottom w:w="100" w:type="dxa"/>
              <w:end w:w="130" w:type="dxa"/>
            </w:tcMar>
            <w:vAlign w:val="center"/>
          </w:tcPr>
          <w:p>
            <w:pPr>
              <w:spacing w:after="0" w:line="240" w:lineRule="auto"/>
            </w:pPr>
            <w:r>
              <w:rPr>
                <w:rFonts w:ascii="Aptos" w:hAnsi="Aptos" w:eastAsia="Aptos"/>
                <w:b/>
                <w:color w:val="FFFFFF"/>
                <w:sz w:val="19"/>
              </w:rPr>
              <w:t>РЕШЕНИЕ</w:t>
            </w:r>
          </w:p>
        </w:tc>
        <w:tc>
          <w:tcPr>
            <w:tcW w:type="dxa" w:w="4800"/>
            <w:shd w:fill="0B2545"/>
            <w:tcMar>
              <w:top w:w="100" w:type="dxa"/>
              <w:start w:w="130" w:type="dxa"/>
              <w:bottom w:w="100" w:type="dxa"/>
              <w:end w:w="130" w:type="dxa"/>
            </w:tcMar>
            <w:vAlign w:val="center"/>
          </w:tcPr>
          <w:p>
            <w:pPr>
              <w:spacing w:after="0" w:line="240" w:lineRule="auto"/>
            </w:pPr>
            <w:r>
              <w:rPr>
                <w:rFonts w:ascii="Aptos" w:hAnsi="Aptos" w:eastAsia="Aptos"/>
                <w:b/>
                <w:color w:val="FFFFFF"/>
                <w:sz w:val="19"/>
              </w:rPr>
              <w:t>КОГДА ПРИМЕНЯЕТСЯ</w:t>
            </w:r>
          </w:p>
        </w:tc>
        <w:tc>
          <w:tcPr>
            <w:tcW w:type="dxa" w:w="2880"/>
            <w:shd w:fill="0B2545"/>
            <w:tcMar>
              <w:top w:w="100" w:type="dxa"/>
              <w:start w:w="130" w:type="dxa"/>
              <w:bottom w:w="100" w:type="dxa"/>
              <w:end w:w="130" w:type="dxa"/>
            </w:tcMar>
            <w:vAlign w:val="center"/>
          </w:tcPr>
          <w:p>
            <w:pPr>
              <w:spacing w:after="0" w:line="240" w:lineRule="auto"/>
            </w:pPr>
            <w:r>
              <w:rPr>
                <w:rFonts w:ascii="Aptos" w:hAnsi="Aptos" w:eastAsia="Aptos"/>
                <w:b/>
                <w:color w:val="FFFFFF"/>
                <w:sz w:val="19"/>
              </w:rPr>
              <w:t>СЛЕДУЮЩИЙ ШАГ</w:t>
            </w:r>
          </w:p>
        </w:tc>
      </w:tr>
      <w:tr>
        <w:trPr>
          <w:cantSplit/>
        </w:trPr>
        <w:tc>
          <w:tcPr>
            <w:tcW w:type="dxa" w:w="1680"/>
            <w:tcMar>
              <w:top w:w="100" w:type="dxa"/>
              <w:start w:w="130" w:type="dxa"/>
              <w:bottom w:w="100" w:type="dxa"/>
              <w:end w:w="130" w:type="dxa"/>
            </w:tcMar>
            <w:vAlign w:val="center"/>
          </w:tcPr>
          <w:p>
            <w:pPr>
              <w:spacing w:after="0" w:line="252" w:lineRule="auto"/>
            </w:pPr>
            <w:r>
              <w:rPr>
                <w:rFonts w:ascii="Aptos" w:hAnsi="Aptos" w:eastAsia="Aptos"/>
                <w:b/>
                <w:color w:val="0B2545"/>
                <w:sz w:val="19"/>
              </w:rPr>
              <w:t>Accept</w:t>
            </w:r>
          </w:p>
        </w:tc>
        <w:tc>
          <w:tcPr>
            <w:tcW w:type="dxa" w:w="4800"/>
            <w:tcMar>
              <w:top w:w="100" w:type="dxa"/>
              <w:start w:w="130" w:type="dxa"/>
              <w:bottom w:w="100" w:type="dxa"/>
              <w:end w:w="130" w:type="dxa"/>
            </w:tcMar>
            <w:vAlign w:val="center"/>
          </w:tcPr>
          <w:p>
            <w:pPr>
              <w:spacing w:after="0" w:line="252" w:lineRule="auto"/>
            </w:pPr>
            <w:r>
              <w:rPr>
                <w:rFonts w:ascii="Aptos" w:hAnsi="Aptos" w:eastAsia="Aptos"/>
                <w:b w:val="0"/>
                <w:color w:val="1F2933"/>
                <w:sz w:val="19"/>
              </w:rPr>
              <w:t>Все критические gates пройдены.</w:t>
            </w:r>
          </w:p>
        </w:tc>
        <w:tc>
          <w:tcPr>
            <w:tcW w:type="dxa" w:w="2880"/>
            <w:tcMar>
              <w:top w:w="100" w:type="dxa"/>
              <w:start w:w="130" w:type="dxa"/>
              <w:bottom w:w="100" w:type="dxa"/>
              <w:end w:w="130" w:type="dxa"/>
            </w:tcMar>
            <w:vAlign w:val="center"/>
          </w:tcPr>
          <w:p>
            <w:pPr>
              <w:spacing w:after="0" w:line="252" w:lineRule="auto"/>
            </w:pPr>
            <w:r>
              <w:rPr>
                <w:rFonts w:ascii="Aptos" w:hAnsi="Aptos" w:eastAsia="Aptos"/>
                <w:b w:val="0"/>
                <w:color w:val="1F2933"/>
                <w:sz w:val="19"/>
              </w:rPr>
              <w:t>Договор, onboarding и baseline.</w:t>
            </w:r>
          </w:p>
        </w:tc>
      </w:tr>
      <w:tr>
        <w:trPr>
          <w:cantSplit/>
        </w:trPr>
        <w:tc>
          <w:tcPr>
            <w:tcW w:type="dxa" w:w="1680"/>
            <w:tcMar>
              <w:top w:w="100" w:type="dxa"/>
              <w:start w:w="130" w:type="dxa"/>
              <w:bottom w:w="100" w:type="dxa"/>
              <w:end w:w="130" w:type="dxa"/>
            </w:tcMar>
            <w:vAlign w:val="center"/>
            <w:shd w:fill="FAFBFC"/>
          </w:tcPr>
          <w:p>
            <w:pPr>
              <w:spacing w:after="0" w:line="252" w:lineRule="auto"/>
            </w:pPr>
            <w:r>
              <w:rPr>
                <w:rFonts w:ascii="Aptos" w:hAnsi="Aptos" w:eastAsia="Aptos"/>
                <w:b/>
                <w:color w:val="0B2545"/>
                <w:sz w:val="19"/>
              </w:rPr>
              <w:t>Conditional accept</w:t>
            </w:r>
          </w:p>
        </w:tc>
        <w:tc>
          <w:tcPr>
            <w:tcW w:type="dxa" w:w="480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Недостаток устраним до публичного запуска.</w:t>
            </w:r>
          </w:p>
        </w:tc>
        <w:tc>
          <w:tcPr>
            <w:tcW w:type="dxa" w:w="288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План remediation, бюджет, владелец и deadline.</w:t>
            </w:r>
          </w:p>
        </w:tc>
      </w:tr>
      <w:tr>
        <w:trPr>
          <w:cantSplit/>
        </w:trPr>
        <w:tc>
          <w:tcPr>
            <w:tcW w:type="dxa" w:w="1680"/>
            <w:tcMar>
              <w:top w:w="100" w:type="dxa"/>
              <w:start w:w="130" w:type="dxa"/>
              <w:bottom w:w="100" w:type="dxa"/>
              <w:end w:w="130" w:type="dxa"/>
            </w:tcMar>
            <w:vAlign w:val="center"/>
          </w:tcPr>
          <w:p>
            <w:pPr>
              <w:spacing w:after="0" w:line="252" w:lineRule="auto"/>
            </w:pPr>
            <w:r>
              <w:rPr>
                <w:rFonts w:ascii="Aptos" w:hAnsi="Aptos" w:eastAsia="Aptos"/>
                <w:b/>
                <w:color w:val="0B2545"/>
                <w:sz w:val="19"/>
              </w:rPr>
              <w:t>Advisory only</w:t>
            </w:r>
          </w:p>
        </w:tc>
        <w:tc>
          <w:tcPr>
            <w:tcW w:type="dxa" w:w="4800"/>
            <w:tcMar>
              <w:top w:w="100" w:type="dxa"/>
              <w:start w:w="130" w:type="dxa"/>
              <w:bottom w:w="100" w:type="dxa"/>
              <w:end w:w="130" w:type="dxa"/>
            </w:tcMar>
            <w:vAlign w:val="center"/>
          </w:tcPr>
          <w:p>
            <w:pPr>
              <w:spacing w:after="0" w:line="252" w:lineRule="auto"/>
            </w:pPr>
            <w:r>
              <w:rPr>
                <w:rFonts w:ascii="Aptos" w:hAnsi="Aptos" w:eastAsia="Aptos"/>
                <w:b w:val="0"/>
                <w:color w:val="1F2933"/>
                <w:sz w:val="19"/>
              </w:rPr>
              <w:t>Компания может диагностировать, но не контролировать исполнение.</w:t>
            </w:r>
          </w:p>
        </w:tc>
        <w:tc>
          <w:tcPr>
            <w:tcW w:type="dxa" w:w="2880"/>
            <w:tcMar>
              <w:top w:w="100" w:type="dxa"/>
              <w:start w:w="130" w:type="dxa"/>
              <w:bottom w:w="100" w:type="dxa"/>
              <w:end w:w="130" w:type="dxa"/>
            </w:tcMar>
            <w:vAlign w:val="center"/>
          </w:tcPr>
          <w:p>
            <w:pPr>
              <w:spacing w:after="0" w:line="252" w:lineRule="auto"/>
            </w:pPr>
            <w:r>
              <w:rPr>
                <w:rFonts w:ascii="Aptos" w:hAnsi="Aptos" w:eastAsia="Aptos"/>
                <w:b w:val="0"/>
                <w:color w:val="1F2933"/>
                <w:sz w:val="19"/>
              </w:rPr>
              <w:t>Ограниченный scope без обещания результата актива.</w:t>
            </w:r>
          </w:p>
        </w:tc>
      </w:tr>
      <w:tr>
        <w:trPr>
          <w:cantSplit/>
        </w:trPr>
        <w:tc>
          <w:tcPr>
            <w:tcW w:type="dxa" w:w="1680"/>
            <w:tcMar>
              <w:top w:w="100" w:type="dxa"/>
              <w:start w:w="130" w:type="dxa"/>
              <w:bottom w:w="100" w:type="dxa"/>
              <w:end w:w="130" w:type="dxa"/>
            </w:tcMar>
            <w:vAlign w:val="center"/>
            <w:shd w:fill="FAFBFC"/>
          </w:tcPr>
          <w:p>
            <w:pPr>
              <w:spacing w:after="0" w:line="252" w:lineRule="auto"/>
            </w:pPr>
            <w:r>
              <w:rPr>
                <w:rFonts w:ascii="Aptos" w:hAnsi="Aptos" w:eastAsia="Aptos"/>
                <w:b/>
                <w:color w:val="0B2545"/>
                <w:sz w:val="19"/>
              </w:rPr>
              <w:t>Partner only</w:t>
            </w:r>
          </w:p>
        </w:tc>
        <w:tc>
          <w:tcPr>
            <w:tcW w:type="dxa" w:w="480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Спрос можно закрывать, но объект не готов к myUNO.</w:t>
            </w:r>
          </w:p>
        </w:tc>
        <w:tc>
          <w:tcPr>
            <w:tcW w:type="dxa" w:w="288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Verified Partner rules и ясное указание оператора.</w:t>
            </w:r>
          </w:p>
        </w:tc>
      </w:tr>
      <w:tr>
        <w:trPr>
          <w:cantSplit/>
        </w:trPr>
        <w:tc>
          <w:tcPr>
            <w:tcW w:type="dxa" w:w="1680"/>
            <w:tcMar>
              <w:top w:w="100" w:type="dxa"/>
              <w:start w:w="130" w:type="dxa"/>
              <w:bottom w:w="100" w:type="dxa"/>
              <w:end w:w="130" w:type="dxa"/>
            </w:tcMar>
            <w:vAlign w:val="center"/>
          </w:tcPr>
          <w:p>
            <w:pPr>
              <w:spacing w:after="0" w:line="252" w:lineRule="auto"/>
            </w:pPr>
            <w:r>
              <w:rPr>
                <w:rFonts w:ascii="Aptos" w:hAnsi="Aptos" w:eastAsia="Aptos"/>
                <w:b/>
                <w:color w:val="0B2545"/>
                <w:sz w:val="19"/>
              </w:rPr>
              <w:t>Decline</w:t>
            </w:r>
          </w:p>
        </w:tc>
        <w:tc>
          <w:tcPr>
            <w:tcW w:type="dxa" w:w="4800"/>
            <w:tcMar>
              <w:top w:w="100" w:type="dxa"/>
              <w:start w:w="130" w:type="dxa"/>
              <w:bottom w:w="100" w:type="dxa"/>
              <w:end w:w="130" w:type="dxa"/>
            </w:tcMar>
            <w:vAlign w:val="center"/>
          </w:tcPr>
          <w:p>
            <w:pPr>
              <w:spacing w:after="0" w:line="252" w:lineRule="auto"/>
            </w:pPr>
            <w:r>
              <w:rPr>
                <w:rFonts w:ascii="Aptos" w:hAnsi="Aptos" w:eastAsia="Aptos"/>
                <w:b w:val="0"/>
                <w:color w:val="1F2933"/>
                <w:sz w:val="19"/>
              </w:rPr>
              <w:t>Незаконность, недостоверность, недостаточный мандат или неприемлемый риск.</w:t>
            </w:r>
          </w:p>
        </w:tc>
        <w:tc>
          <w:tcPr>
            <w:tcW w:type="dxa" w:w="2880"/>
            <w:tcMar>
              <w:top w:w="100" w:type="dxa"/>
              <w:start w:w="130" w:type="dxa"/>
              <w:bottom w:w="100" w:type="dxa"/>
              <w:end w:w="130" w:type="dxa"/>
            </w:tcMar>
            <w:vAlign w:val="center"/>
          </w:tcPr>
          <w:p>
            <w:pPr>
              <w:spacing w:after="0" w:line="252" w:lineRule="auto"/>
            </w:pPr>
            <w:r>
              <w:rPr>
                <w:rFonts w:ascii="Aptos" w:hAnsi="Aptos" w:eastAsia="Aptos"/>
                <w:b w:val="0"/>
                <w:color w:val="1F2933"/>
                <w:sz w:val="19"/>
              </w:rPr>
              <w:t>Документированный отказ без публичного обвинения.</w:t>
            </w:r>
          </w:p>
        </w:tc>
      </w:tr>
    </w:tbl>
    <w:p>
      <w:pPr>
        <w:spacing w:before="0" w:after="40" w:line="264" w:lineRule="auto"/>
        <w:jc w:val="left"/>
      </w:pPr>
    </w:p>
    <w:p>
      <w:pPr>
        <w:pStyle w:val="Heading1"/>
        <w:keepNext/>
      </w:pPr>
      <w:r>
        <w:t>19. Клиентский lifecycle и квалификация</w:t>
      </w:r>
    </w:p>
    <w:p>
      <w:pPr>
        <w:spacing w:before="0" w:after="120" w:line="264" w:lineRule="auto"/>
        <w:jc w:val="left"/>
      </w:pPr>
      <w:r>
        <w:rPr>
          <w:rFonts w:ascii="Aptos" w:hAnsi="Aptos" w:eastAsia="Aptos"/>
          <w:b w:val="0"/>
          <w:i w:val="0"/>
          <w:color w:val="1F2933"/>
          <w:sz w:val="22"/>
        </w:rPr>
        <w:t>Раздел 6 задаёт единую запись отношений. Настоящий раздел устанавливает обязательные стадии и критерии перехода: ни один лид, объект или сделка не движется только потому, что сотрудник считает её перспективной.</w:t>
      </w:r>
    </w:p>
    <w:tbl>
      <w:tblPr>
        <w:tblW w:type="dxa" w:w="9360"/>
        <w:jc w:val="left"/>
        <w:tblLayout w:type="fixed"/>
        <w:tblLook w:firstColumn="1" w:firstRow="1" w:lastColumn="0" w:lastRow="0" w:noHBand="0" w:noVBand="1" w:val="04A0"/>
        <w:tblInd w:w="120" w:type="dxa"/>
        <w:tblBorders>
          <w:top w:val="single" w:sz="6" w:space="0" w:color="D6DCE2"/>
          <w:left w:val="single" w:sz="6" w:space="0" w:color="D6DCE2"/>
          <w:bottom w:val="single" w:sz="6" w:space="0" w:color="D6DCE2"/>
          <w:right w:val="single" w:sz="6" w:space="0" w:color="D6DCE2"/>
          <w:insideH w:val="single" w:sz="6" w:space="0" w:color="D6DCE2"/>
          <w:insideV w:val="single" w:sz="6" w:space="0" w:color="D6DCE2"/>
        </w:tblBorders>
      </w:tblPr>
      <w:tblGrid>
        <w:gridCol w:w="1320"/>
        <w:gridCol w:w="5280"/>
        <w:gridCol w:w="2760"/>
      </w:tblGrid>
      <w:tr>
        <w:trPr>
          <w:tblHeader w:val="true"/>
          <w:cantSplit/>
        </w:trPr>
        <w:tc>
          <w:tcPr>
            <w:tcW w:type="dxa" w:w="1320"/>
            <w:shd w:fill="0B2545"/>
            <w:tcMar>
              <w:top w:w="100" w:type="dxa"/>
              <w:start w:w="130" w:type="dxa"/>
              <w:bottom w:w="100" w:type="dxa"/>
              <w:end w:w="130" w:type="dxa"/>
            </w:tcMar>
            <w:vAlign w:val="center"/>
          </w:tcPr>
          <w:p>
            <w:pPr>
              <w:spacing w:after="0" w:line="240" w:lineRule="auto"/>
            </w:pPr>
            <w:r>
              <w:rPr>
                <w:rFonts w:ascii="Aptos" w:hAnsi="Aptos" w:eastAsia="Aptos"/>
                <w:b/>
                <w:color w:val="FFFFFF"/>
                <w:sz w:val="19"/>
              </w:rPr>
              <w:t>КОНТУР</w:t>
            </w:r>
          </w:p>
        </w:tc>
        <w:tc>
          <w:tcPr>
            <w:tcW w:type="dxa" w:w="5280"/>
            <w:shd w:fill="0B2545"/>
            <w:tcMar>
              <w:top w:w="100" w:type="dxa"/>
              <w:start w:w="130" w:type="dxa"/>
              <w:bottom w:w="100" w:type="dxa"/>
              <w:end w:w="130" w:type="dxa"/>
            </w:tcMar>
            <w:vAlign w:val="center"/>
          </w:tcPr>
          <w:p>
            <w:pPr>
              <w:spacing w:after="0" w:line="240" w:lineRule="auto"/>
            </w:pPr>
            <w:r>
              <w:rPr>
                <w:rFonts w:ascii="Aptos" w:hAnsi="Aptos" w:eastAsia="Aptos"/>
                <w:b/>
                <w:color w:val="FFFFFF"/>
                <w:sz w:val="19"/>
              </w:rPr>
              <w:t>ОБЯЗАТЕЛЬНАЯ ЦЕПОЧКА</w:t>
            </w:r>
          </w:p>
        </w:tc>
        <w:tc>
          <w:tcPr>
            <w:tcW w:type="dxa" w:w="2760"/>
            <w:shd w:fill="0B2545"/>
            <w:tcMar>
              <w:top w:w="100" w:type="dxa"/>
              <w:start w:w="130" w:type="dxa"/>
              <w:bottom w:w="100" w:type="dxa"/>
              <w:end w:w="130" w:type="dxa"/>
            </w:tcMar>
            <w:vAlign w:val="center"/>
          </w:tcPr>
          <w:p>
            <w:pPr>
              <w:spacing w:after="0" w:line="240" w:lineRule="auto"/>
            </w:pPr>
            <w:r>
              <w:rPr>
                <w:rFonts w:ascii="Aptos" w:hAnsi="Aptos" w:eastAsia="Aptos"/>
                <w:b/>
                <w:color w:val="FFFFFF"/>
                <w:sz w:val="19"/>
              </w:rPr>
              <w:t>КРИТИЧЕСКИЙ GATE</w:t>
            </w:r>
          </w:p>
        </w:tc>
      </w:tr>
      <w:tr>
        <w:trPr>
          <w:cantSplit/>
        </w:trPr>
        <w:tc>
          <w:tcPr>
            <w:tcW w:type="dxa" w:w="1320"/>
            <w:tcMar>
              <w:top w:w="100" w:type="dxa"/>
              <w:start w:w="130" w:type="dxa"/>
              <w:bottom w:w="100" w:type="dxa"/>
              <w:end w:w="130" w:type="dxa"/>
            </w:tcMar>
            <w:vAlign w:val="center"/>
          </w:tcPr>
          <w:p>
            <w:pPr>
              <w:spacing w:after="0" w:line="252" w:lineRule="auto"/>
            </w:pPr>
            <w:r>
              <w:rPr>
                <w:rFonts w:ascii="Aptos" w:hAnsi="Aptos" w:eastAsia="Aptos"/>
                <w:b/>
                <w:color w:val="0B2545"/>
                <w:sz w:val="19"/>
              </w:rPr>
              <w:t>Owner</w:t>
            </w:r>
          </w:p>
        </w:tc>
        <w:tc>
          <w:tcPr>
            <w:tcW w:type="dxa" w:w="5280"/>
            <w:tcMar>
              <w:top w:w="100" w:type="dxa"/>
              <w:start w:w="130" w:type="dxa"/>
              <w:bottom w:w="100" w:type="dxa"/>
              <w:end w:w="130" w:type="dxa"/>
            </w:tcMar>
            <w:vAlign w:val="center"/>
          </w:tcPr>
          <w:p>
            <w:pPr>
              <w:spacing w:after="0" w:line="252" w:lineRule="auto"/>
            </w:pPr>
            <w:r>
              <w:rPr>
                <w:rFonts w:ascii="Aptos" w:hAnsi="Aptos" w:eastAsia="Aptos"/>
                <w:b w:val="0"/>
                <w:color w:val="1F2933"/>
                <w:sz w:val="19"/>
              </w:rPr>
              <w:t>Lead → Asset Review → Proposal → Mandate → Onboarding → Stabilise → Operate → Renew / Sell.</w:t>
            </w:r>
          </w:p>
        </w:tc>
        <w:tc>
          <w:tcPr>
            <w:tcW w:type="dxa" w:w="2760"/>
            <w:tcMar>
              <w:top w:w="100" w:type="dxa"/>
              <w:start w:w="130" w:type="dxa"/>
              <w:bottom w:w="100" w:type="dxa"/>
              <w:end w:w="130" w:type="dxa"/>
            </w:tcMar>
            <w:vAlign w:val="center"/>
          </w:tcPr>
          <w:p>
            <w:pPr>
              <w:spacing w:after="0" w:line="252" w:lineRule="auto"/>
            </w:pPr>
            <w:r>
              <w:rPr>
                <w:rFonts w:ascii="Aptos" w:hAnsi="Aptos" w:eastAsia="Aptos"/>
                <w:b w:val="0"/>
                <w:color w:val="1F2933"/>
                <w:sz w:val="19"/>
              </w:rPr>
              <w:t>Подтверждены актив, decision maker, данные, полномочия и экономическая задача.</w:t>
            </w:r>
          </w:p>
        </w:tc>
      </w:tr>
      <w:tr>
        <w:trPr>
          <w:cantSplit/>
        </w:trPr>
        <w:tc>
          <w:tcPr>
            <w:tcW w:type="dxa" w:w="1320"/>
            <w:tcMar>
              <w:top w:w="100" w:type="dxa"/>
              <w:start w:w="130" w:type="dxa"/>
              <w:bottom w:w="100" w:type="dxa"/>
              <w:end w:w="130" w:type="dxa"/>
            </w:tcMar>
            <w:vAlign w:val="center"/>
            <w:shd w:fill="FAFBFC"/>
          </w:tcPr>
          <w:p>
            <w:pPr>
              <w:spacing w:after="0" w:line="252" w:lineRule="auto"/>
            </w:pPr>
            <w:r>
              <w:rPr>
                <w:rFonts w:ascii="Aptos" w:hAnsi="Aptos" w:eastAsia="Aptos"/>
                <w:b/>
                <w:color w:val="0B2545"/>
                <w:sz w:val="19"/>
              </w:rPr>
              <w:t>Guest</w:t>
            </w:r>
          </w:p>
        </w:tc>
        <w:tc>
          <w:tcPr>
            <w:tcW w:type="dxa" w:w="528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Discover → Book → Pre-stay → In-stay → Post-stay → Repeat → Referral / Buyer signal.</w:t>
            </w:r>
          </w:p>
        </w:tc>
        <w:tc>
          <w:tcPr>
            <w:tcW w:type="dxa" w:w="276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Сервис закрыт; согласие и релевантность подтверждены до outreach.</w:t>
            </w:r>
          </w:p>
        </w:tc>
      </w:tr>
      <w:tr>
        <w:trPr>
          <w:cantSplit/>
        </w:trPr>
        <w:tc>
          <w:tcPr>
            <w:tcW w:type="dxa" w:w="1320"/>
            <w:tcMar>
              <w:top w:w="100" w:type="dxa"/>
              <w:start w:w="130" w:type="dxa"/>
              <w:bottom w:w="100" w:type="dxa"/>
              <w:end w:w="130" w:type="dxa"/>
            </w:tcMar>
            <w:vAlign w:val="center"/>
          </w:tcPr>
          <w:p>
            <w:pPr>
              <w:spacing w:after="0" w:line="252" w:lineRule="auto"/>
            </w:pPr>
            <w:r>
              <w:rPr>
                <w:rFonts w:ascii="Aptos" w:hAnsi="Aptos" w:eastAsia="Aptos"/>
                <w:b/>
                <w:color w:val="0B2545"/>
                <w:sz w:val="19"/>
              </w:rPr>
              <w:t>Buyer</w:t>
            </w:r>
          </w:p>
        </w:tc>
        <w:tc>
          <w:tcPr>
            <w:tcW w:type="dxa" w:w="5280"/>
            <w:tcMar>
              <w:top w:w="100" w:type="dxa"/>
              <w:start w:w="130" w:type="dxa"/>
              <w:bottom w:w="100" w:type="dxa"/>
              <w:end w:w="130" w:type="dxa"/>
            </w:tcMar>
            <w:vAlign w:val="center"/>
          </w:tcPr>
          <w:p>
            <w:pPr>
              <w:spacing w:after="0" w:line="252" w:lineRule="auto"/>
            </w:pPr>
            <w:r>
              <w:rPr>
                <w:rFonts w:ascii="Aptos" w:hAnsi="Aptos" w:eastAsia="Aptos"/>
                <w:b w:val="0"/>
                <w:color w:val="1F2933"/>
                <w:sz w:val="19"/>
              </w:rPr>
              <w:t>Demand → Qualify → Strategy → Shortlist → Verify → View → Negotiate → Close → Manage / Exit.</w:t>
            </w:r>
          </w:p>
        </w:tc>
        <w:tc>
          <w:tcPr>
            <w:tcW w:type="dxa" w:w="2760"/>
            <w:tcMar>
              <w:top w:w="100" w:type="dxa"/>
              <w:start w:w="130" w:type="dxa"/>
              <w:bottom w:w="100" w:type="dxa"/>
              <w:end w:w="130" w:type="dxa"/>
            </w:tcMar>
            <w:vAlign w:val="center"/>
          </w:tcPr>
          <w:p>
            <w:pPr>
              <w:spacing w:after="0" w:line="252" w:lineRule="auto"/>
            </w:pPr>
            <w:r>
              <w:rPr>
                <w:rFonts w:ascii="Aptos" w:hAnsi="Aptos" w:eastAsia="Aptos"/>
                <w:b w:val="0"/>
                <w:color w:val="1F2933"/>
                <w:sz w:val="19"/>
              </w:rPr>
              <w:t>Бюджет, цель, срок и полномочия decision maker подтверждены.</w:t>
            </w:r>
          </w:p>
        </w:tc>
      </w:tr>
      <w:tr>
        <w:trPr>
          <w:cantSplit/>
        </w:trPr>
        <w:tc>
          <w:tcPr>
            <w:tcW w:type="dxa" w:w="1320"/>
            <w:tcMar>
              <w:top w:w="100" w:type="dxa"/>
              <w:start w:w="130" w:type="dxa"/>
              <w:bottom w:w="100" w:type="dxa"/>
              <w:end w:w="130" w:type="dxa"/>
            </w:tcMar>
            <w:vAlign w:val="center"/>
            <w:shd w:fill="FAFBFC"/>
          </w:tcPr>
          <w:p>
            <w:pPr>
              <w:spacing w:after="0" w:line="252" w:lineRule="auto"/>
            </w:pPr>
            <w:r>
              <w:rPr>
                <w:rFonts w:ascii="Aptos" w:hAnsi="Aptos" w:eastAsia="Aptos"/>
                <w:b/>
                <w:color w:val="0B2545"/>
                <w:sz w:val="19"/>
              </w:rPr>
              <w:t>Developer</w:t>
            </w:r>
          </w:p>
        </w:tc>
        <w:tc>
          <w:tcPr>
            <w:tcW w:type="dxa" w:w="528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Qualify → Underwrite → Product review → Mandate → Pre-open → Launch → Operate.</w:t>
            </w:r>
          </w:p>
        </w:tc>
        <w:tc>
          <w:tcPr>
            <w:tcW w:type="dxa" w:w="276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Доступ к decision maker, документам, продукту и будущей эксплуатации.</w:t>
            </w:r>
          </w:p>
        </w:tc>
      </w:tr>
      <w:tr>
        <w:trPr>
          <w:cantSplit/>
        </w:trPr>
        <w:tc>
          <w:tcPr>
            <w:tcW w:type="dxa" w:w="1320"/>
            <w:tcMar>
              <w:top w:w="100" w:type="dxa"/>
              <w:start w:w="130" w:type="dxa"/>
              <w:bottom w:w="100" w:type="dxa"/>
              <w:end w:w="130" w:type="dxa"/>
            </w:tcMar>
            <w:vAlign w:val="center"/>
          </w:tcPr>
          <w:p>
            <w:pPr>
              <w:spacing w:after="0" w:line="252" w:lineRule="auto"/>
            </w:pPr>
            <w:r>
              <w:rPr>
                <w:rFonts w:ascii="Aptos" w:hAnsi="Aptos" w:eastAsia="Aptos"/>
                <w:b/>
                <w:color w:val="0B2545"/>
                <w:sz w:val="19"/>
              </w:rPr>
              <w:t>Partner</w:t>
            </w:r>
          </w:p>
        </w:tc>
        <w:tc>
          <w:tcPr>
            <w:tcW w:type="dxa" w:w="5280"/>
            <w:tcMar>
              <w:top w:w="100" w:type="dxa"/>
              <w:start w:w="130" w:type="dxa"/>
              <w:bottom w:w="100" w:type="dxa"/>
              <w:end w:w="130" w:type="dxa"/>
            </w:tcMar>
            <w:vAlign w:val="center"/>
          </w:tcPr>
          <w:p>
            <w:pPr>
              <w:spacing w:after="0" w:line="252" w:lineRule="auto"/>
            </w:pPr>
            <w:r>
              <w:rPr>
                <w:rFonts w:ascii="Aptos" w:hAnsi="Aptos" w:eastAsia="Aptos"/>
                <w:b w:val="0"/>
                <w:color w:val="1F2933"/>
                <w:sz w:val="19"/>
              </w:rPr>
              <w:t>Apply → Verify → Contract → Pilot → Score → Scale / Suspend.</w:t>
            </w:r>
          </w:p>
        </w:tc>
        <w:tc>
          <w:tcPr>
            <w:tcW w:type="dxa" w:w="2760"/>
            <w:tcMar>
              <w:top w:w="100" w:type="dxa"/>
              <w:start w:w="130" w:type="dxa"/>
              <w:bottom w:w="100" w:type="dxa"/>
              <w:end w:w="130" w:type="dxa"/>
            </w:tcMar>
            <w:vAlign w:val="center"/>
          </w:tcPr>
          <w:p>
            <w:pPr>
              <w:spacing w:after="0" w:line="252" w:lineRule="auto"/>
            </w:pPr>
            <w:r>
              <w:rPr>
                <w:rFonts w:ascii="Aptos" w:hAnsi="Aptos" w:eastAsia="Aptos"/>
                <w:b w:val="0"/>
                <w:color w:val="1F2933"/>
                <w:sz w:val="19"/>
              </w:rPr>
              <w:t>Легальность, компетентность, SLA, данные и экономика подтверждены.</w:t>
            </w:r>
          </w:p>
        </w:tc>
      </w:tr>
    </w:tbl>
    <w:p>
      <w:pPr>
        <w:spacing w:before="0" w:after="40" w:line="264" w:lineRule="auto"/>
        <w:jc w:val="left"/>
      </w:pPr>
    </w:p>
    <w:p>
      <w:pPr>
        <w:pStyle w:val="Heading2"/>
        <w:keepNext/>
      </w:pPr>
      <w:r>
        <w:t>19.1. Минимальная квалификация</w:t>
      </w:r>
    </w:p>
    <w:p>
      <w:pPr>
        <w:spacing w:before="0" w:after="120" w:line="264" w:lineRule="auto"/>
        <w:jc w:val="left"/>
      </w:pPr>
      <w:r>
        <w:rPr>
          <w:rFonts w:ascii="Aptos" w:hAnsi="Aptos" w:eastAsia="Aptos"/>
          <w:b w:val="0"/>
          <w:i w:val="0"/>
          <w:color w:val="1F2933"/>
          <w:sz w:val="22"/>
        </w:rPr>
        <w:t>Покупатель: бюджет и источник средств; цель; сроки; тип, размер, спальни и локация; личное использование; срок владения; реалистичная net yield; допустимый риск; управление и выход. Собственник: права на актив; текущая экономика; проблема; decision maker; полномочия; бюджет; срок; готовность к изменениям. Гость: даты, состав, бюджет, режим, существенные требования и согласованный канал. Девелопер: земля и разрешения, стадия, продукт, продажи, финансирование, эксплуатационная модель и полномочия.</w:t>
      </w:r>
    </w:p>
    <w:p>
      <w:pPr>
        <w:spacing w:before="0" w:after="120" w:line="264" w:lineRule="auto"/>
        <w:jc w:val="left"/>
      </w:pPr>
      <w:r>
        <w:rPr>
          <w:rFonts w:ascii="Aptos" w:hAnsi="Aptos" w:eastAsia="Aptos"/>
          <w:b w:val="0"/>
          <w:i/>
          <w:color w:val="5E6B75"/>
          <w:sz w:val="22"/>
        </w:rPr>
        <w:t>Для удалённого покупателя сначала создаётся короткий проверенный shortlist и проводится video-call; массовый каталог без квалификации не является продуктом Ignatev Estate.</w:t>
      </w:r>
    </w:p>
    <w:p>
      <w:r>
        <w:br w:type="page"/>
      </w:r>
    </w:p>
    <w:p>
      <w:pPr>
        <w:pStyle w:val="Heading1"/>
        <w:keepNext/>
      </w:pPr>
      <w:r>
        <w:t>20. Экономическая модель и определения</w:t>
      </w:r>
    </w:p>
    <w:tbl>
      <w:tblPr>
        <w:tblW w:type="dxa" w:w="9360"/>
        <w:jc w:val="left"/>
        <w:tblLook w:firstColumn="1" w:firstRow="1" w:lastColumn="0" w:lastRow="0" w:noHBand="0" w:noVBand="1" w:val="04A0"/>
        <w:tblInd w:w="120" w:type="dxa"/>
        <w:tblBorders>
          <w:top w:val="single" w:sz="4" w:space="0" w:color="E8EEF5"/>
          <w:left w:val="single" w:sz="4" w:space="0" w:color="E8EEF5"/>
          <w:bottom w:val="single" w:sz="4" w:space="0" w:color="E8EEF5"/>
          <w:right w:val="single" w:sz="4" w:space="0" w:color="E8EEF5"/>
          <w:insideH w:val="single" w:sz="4" w:space="0" w:color="E8EEF5"/>
          <w:insideV w:val="single" w:sz="4" w:space="0" w:color="E8EEF5"/>
        </w:tblBorders>
      </w:tblPr>
      <w:tblGrid>
        <w:gridCol w:w="9360"/>
      </w:tblGrid>
      <w:tr>
        <w:tc>
          <w:tcPr>
            <w:tcW w:type="dxa" w:w="9360"/>
            <w:shd w:fill="E8EEF5"/>
            <w:tcMar>
              <w:top w:w="150" w:type="dxa"/>
              <w:start w:w="180" w:type="dxa"/>
              <w:bottom w:w="150" w:type="dxa"/>
              <w:end w:w="180" w:type="dxa"/>
            </w:tcMar>
          </w:tcPr>
          <w:p>
            <w:pPr>
              <w:spacing w:after="0" w:line="269" w:lineRule="auto"/>
            </w:pPr>
            <w:r>
              <w:rPr>
                <w:rFonts w:ascii="Aptos" w:hAnsi="Aptos" w:eastAsia="Aptos"/>
                <w:b/>
                <w:color w:val="0B2545"/>
                <w:sz w:val="21"/>
              </w:rPr>
              <w:t xml:space="preserve">Единый язык экономики. </w:t>
            </w:r>
            <w:r>
              <w:rPr>
                <w:rFonts w:ascii="Aptos" w:hAnsi="Aptos" w:eastAsia="Aptos"/>
                <w:color w:val="1F2933"/>
                <w:sz w:val="21"/>
              </w:rPr>
              <w:t>NOP — корпоративное обобщающее обозначение нормализованного операционного результата актива. В договоре используется точная метрика: Adjusted GOP для гостиничного актива или Adjusted NOI для резиденции. Формула, период, baseline и корректировки являются приложением к мандату.</w:t>
            </w:r>
          </w:p>
        </w:tc>
      </w:tr>
    </w:tbl>
    <w:p>
      <w:pPr>
        <w:spacing w:before="0" w:after="40" w:line="264" w:lineRule="auto"/>
        <w:jc w:val="left"/>
      </w:pPr>
    </w:p>
    <w:p>
      <w:pPr>
        <w:pStyle w:val="Heading2"/>
        <w:keepNext/>
      </w:pPr>
      <w:r>
        <w:t>20.1. Водопад экономики актива</w:t>
      </w:r>
    </w:p>
    <w:p>
      <w:pPr>
        <w:spacing w:before="0" w:after="120" w:line="264" w:lineRule="auto"/>
        <w:jc w:val="left"/>
      </w:pPr>
      <w:r>
        <w:rPr>
          <w:rFonts w:ascii="Aptos" w:hAnsi="Aptos" w:eastAsia="Aptos"/>
          <w:b w:val="0"/>
          <w:i w:val="0"/>
          <w:color w:val="1F2933"/>
          <w:sz w:val="22"/>
        </w:rPr>
        <w:t>Gross Booking Value → минус скидки, возвраты, налоги и обязательные сборы → Net Booking Revenue → минус комиссии каналов и переменные расходы проживания → Contribution Margin → минус контролируемые операционные расходы → Adjusted GOP / NOI → минус согласованные резервы и CAPEX → Distributable Owner Cash Flow.</w:t>
      </w:r>
    </w:p>
    <w:p>
      <w:pPr>
        <w:pStyle w:val="ListBullet"/>
        <w:spacing w:after="80" w:line="264" w:lineRule="auto"/>
      </w:pPr>
      <w:r>
        <w:rPr>
          <w:rFonts w:ascii="Aptos" w:hAnsi="Aptos" w:eastAsia="Aptos"/>
          <w:color w:val="1F2933"/>
          <w:sz w:val="22"/>
        </w:rPr>
        <w:t>Owner use, налоги на владение, финансирование, страховые события, CAPEX и чрезвычайные расходы показываются отдельно и не скрываются внутри операционного результата.</w:t>
      </w:r>
    </w:p>
    <w:p>
      <w:pPr>
        <w:pStyle w:val="ListBullet"/>
        <w:spacing w:after="80" w:line="264" w:lineRule="auto"/>
      </w:pPr>
      <w:r>
        <w:rPr>
          <w:rFonts w:ascii="Aptos" w:hAnsi="Aptos" w:eastAsia="Aptos"/>
          <w:color w:val="1F2933"/>
          <w:sz w:val="22"/>
        </w:rPr>
        <w:t>Performance fee начисляется только по заранее согласованной метрике после закрытия периода и сверки данных.</w:t>
      </w:r>
    </w:p>
    <w:p>
      <w:pPr>
        <w:pStyle w:val="ListBullet"/>
        <w:spacing w:after="80" w:line="264" w:lineRule="auto"/>
      </w:pPr>
      <w:r>
        <w:rPr>
          <w:rFonts w:ascii="Aptos" w:hAnsi="Aptos" w:eastAsia="Aptos"/>
          <w:color w:val="1F2933"/>
          <w:sz w:val="22"/>
        </w:rPr>
        <w:t>Рост валовой выручки не считается успехом, если ухудшились contribution margin, состояние актива, качество или денежный поток собственника.</w:t>
      </w:r>
    </w:p>
    <w:p>
      <w:pPr>
        <w:pStyle w:val="Heading2"/>
        <w:keepNext/>
      </w:pPr>
      <w:r>
        <w:t>20.2. Экономика продукта</w:t>
      </w:r>
    </w:p>
    <w:p>
      <w:pPr>
        <w:spacing w:before="0" w:after="120" w:line="264" w:lineRule="auto"/>
        <w:jc w:val="left"/>
      </w:pPr>
      <w:r>
        <w:rPr>
          <w:rFonts w:ascii="Aptos" w:hAnsi="Aptos" w:eastAsia="Aptos"/>
          <w:b w:val="0"/>
          <w:i w:val="0"/>
          <w:color w:val="1F2933"/>
          <w:sz w:val="22"/>
        </w:rPr>
        <w:t>Каждая Product Card содержит базу выручки, прямые затраты, gross и contribution margin, CAC, срок окупаемости, оборотный капитал, сезонность, риск возврата и P&amp;L owner. Продукт не масштабируется, пока невозможно определить его вклад после полной стоимости исполнения.</w:t>
      </w:r>
    </w:p>
    <w:tbl>
      <w:tblPr>
        <w:tblW w:type="dxa" w:w="9360"/>
        <w:jc w:val="left"/>
        <w:tblLayout w:type="fixed"/>
        <w:tblLook w:firstColumn="1" w:firstRow="1" w:lastColumn="0" w:lastRow="0" w:noHBand="0" w:noVBand="1" w:val="04A0"/>
        <w:tblInd w:w="120" w:type="dxa"/>
        <w:tblBorders>
          <w:top w:val="single" w:sz="6" w:space="0" w:color="D6DCE2"/>
          <w:left w:val="single" w:sz="6" w:space="0" w:color="D6DCE2"/>
          <w:bottom w:val="single" w:sz="6" w:space="0" w:color="D6DCE2"/>
          <w:right w:val="single" w:sz="6" w:space="0" w:color="D6DCE2"/>
          <w:insideH w:val="single" w:sz="6" w:space="0" w:color="D6DCE2"/>
          <w:insideV w:val="single" w:sz="6" w:space="0" w:color="D6DCE2"/>
        </w:tblBorders>
      </w:tblPr>
      <w:tblGrid>
        <w:gridCol w:w="2040"/>
        <w:gridCol w:w="4380"/>
        <w:gridCol w:w="2940"/>
      </w:tblGrid>
      <w:tr>
        <w:trPr>
          <w:tblHeader w:val="true"/>
          <w:cantSplit/>
        </w:trPr>
        <w:tc>
          <w:tcPr>
            <w:tcW w:type="dxa" w:w="2040"/>
            <w:shd w:fill="0B2545"/>
            <w:tcMar>
              <w:top w:w="100" w:type="dxa"/>
              <w:start w:w="130" w:type="dxa"/>
              <w:bottom w:w="100" w:type="dxa"/>
              <w:end w:w="130" w:type="dxa"/>
            </w:tcMar>
            <w:vAlign w:val="center"/>
          </w:tcPr>
          <w:p>
            <w:pPr>
              <w:spacing w:after="0" w:line="240" w:lineRule="auto"/>
            </w:pPr>
            <w:r>
              <w:rPr>
                <w:rFonts w:ascii="Aptos" w:hAnsi="Aptos" w:eastAsia="Aptos"/>
                <w:b/>
                <w:color w:val="FFFFFF"/>
                <w:sz w:val="19"/>
              </w:rPr>
              <w:t>ПОТОК</w:t>
            </w:r>
          </w:p>
        </w:tc>
        <w:tc>
          <w:tcPr>
            <w:tcW w:type="dxa" w:w="4380"/>
            <w:shd w:fill="0B2545"/>
            <w:tcMar>
              <w:top w:w="100" w:type="dxa"/>
              <w:start w:w="130" w:type="dxa"/>
              <w:bottom w:w="100" w:type="dxa"/>
              <w:end w:w="130" w:type="dxa"/>
            </w:tcMar>
            <w:vAlign w:val="center"/>
          </w:tcPr>
          <w:p>
            <w:pPr>
              <w:spacing w:after="0" w:line="240" w:lineRule="auto"/>
            </w:pPr>
            <w:r>
              <w:rPr>
                <w:rFonts w:ascii="Aptos" w:hAnsi="Aptos" w:eastAsia="Aptos"/>
                <w:b/>
                <w:color w:val="FFFFFF"/>
                <w:sz w:val="19"/>
              </w:rPr>
              <w:t>БАЗА</w:t>
            </w:r>
          </w:p>
        </w:tc>
        <w:tc>
          <w:tcPr>
            <w:tcW w:type="dxa" w:w="2940"/>
            <w:shd w:fill="0B2545"/>
            <w:tcMar>
              <w:top w:w="100" w:type="dxa"/>
              <w:start w:w="130" w:type="dxa"/>
              <w:bottom w:w="100" w:type="dxa"/>
              <w:end w:w="130" w:type="dxa"/>
            </w:tcMar>
            <w:vAlign w:val="center"/>
          </w:tcPr>
          <w:p>
            <w:pPr>
              <w:spacing w:after="0" w:line="240" w:lineRule="auto"/>
            </w:pPr>
            <w:r>
              <w:rPr>
                <w:rFonts w:ascii="Aptos" w:hAnsi="Aptos" w:eastAsia="Aptos"/>
                <w:b/>
                <w:color w:val="FFFFFF"/>
                <w:sz w:val="19"/>
              </w:rPr>
              <w:t>КОНТРОЛЬ</w:t>
            </w:r>
          </w:p>
        </w:tc>
      </w:tr>
      <w:tr>
        <w:trPr>
          <w:cantSplit/>
        </w:trPr>
        <w:tc>
          <w:tcPr>
            <w:tcW w:type="dxa" w:w="2040"/>
            <w:tcMar>
              <w:top w:w="100" w:type="dxa"/>
              <w:start w:w="130" w:type="dxa"/>
              <w:bottom w:w="100" w:type="dxa"/>
              <w:end w:w="130" w:type="dxa"/>
            </w:tcMar>
            <w:vAlign w:val="center"/>
          </w:tcPr>
          <w:p>
            <w:pPr>
              <w:spacing w:after="0" w:line="252" w:lineRule="auto"/>
            </w:pPr>
            <w:r>
              <w:rPr>
                <w:rFonts w:ascii="Aptos" w:hAnsi="Aptos" w:eastAsia="Aptos"/>
                <w:b/>
                <w:color w:val="0B2545"/>
                <w:sz w:val="19"/>
              </w:rPr>
              <w:t>Management fee</w:t>
            </w:r>
          </w:p>
        </w:tc>
        <w:tc>
          <w:tcPr>
            <w:tcW w:type="dxa" w:w="4380"/>
            <w:tcMar>
              <w:top w:w="100" w:type="dxa"/>
              <w:start w:w="130" w:type="dxa"/>
              <w:bottom w:w="100" w:type="dxa"/>
              <w:end w:w="130" w:type="dxa"/>
            </w:tcMar>
            <w:vAlign w:val="center"/>
          </w:tcPr>
          <w:p>
            <w:pPr>
              <w:spacing w:after="0" w:line="252" w:lineRule="auto"/>
            </w:pPr>
            <w:r>
              <w:rPr>
                <w:rFonts w:ascii="Aptos" w:hAnsi="Aptos" w:eastAsia="Aptos"/>
                <w:b w:val="0"/>
                <w:color w:val="1F2933"/>
                <w:sz w:val="19"/>
              </w:rPr>
              <w:t>Согласованная выручка, фиксированная сумма или иной прозрачный базис.</w:t>
            </w:r>
          </w:p>
        </w:tc>
        <w:tc>
          <w:tcPr>
            <w:tcW w:type="dxa" w:w="2940"/>
            <w:tcMar>
              <w:top w:w="100" w:type="dxa"/>
              <w:start w:w="130" w:type="dxa"/>
              <w:bottom w:w="100" w:type="dxa"/>
              <w:end w:w="130" w:type="dxa"/>
            </w:tcMar>
            <w:vAlign w:val="center"/>
          </w:tcPr>
          <w:p>
            <w:pPr>
              <w:spacing w:after="0" w:line="252" w:lineRule="auto"/>
            </w:pPr>
            <w:r>
              <w:rPr>
                <w:rFonts w:ascii="Aptos" w:hAnsi="Aptos" w:eastAsia="Aptos"/>
                <w:b w:val="0"/>
                <w:color w:val="1F2933"/>
                <w:sz w:val="19"/>
              </w:rPr>
              <w:t>Договор, invoice, owner statement.</w:t>
            </w:r>
          </w:p>
        </w:tc>
      </w:tr>
      <w:tr>
        <w:trPr>
          <w:cantSplit/>
        </w:trPr>
        <w:tc>
          <w:tcPr>
            <w:tcW w:type="dxa" w:w="2040"/>
            <w:tcMar>
              <w:top w:w="100" w:type="dxa"/>
              <w:start w:w="130" w:type="dxa"/>
              <w:bottom w:w="100" w:type="dxa"/>
              <w:end w:w="130" w:type="dxa"/>
            </w:tcMar>
            <w:vAlign w:val="center"/>
            <w:shd w:fill="FAFBFC"/>
          </w:tcPr>
          <w:p>
            <w:pPr>
              <w:spacing w:after="0" w:line="252" w:lineRule="auto"/>
            </w:pPr>
            <w:r>
              <w:rPr>
                <w:rFonts w:ascii="Aptos" w:hAnsi="Aptos" w:eastAsia="Aptos"/>
                <w:b/>
                <w:color w:val="0B2545"/>
                <w:sz w:val="19"/>
              </w:rPr>
              <w:t>Performance fee</w:t>
            </w:r>
          </w:p>
        </w:tc>
        <w:tc>
          <w:tcPr>
            <w:tcW w:type="dxa" w:w="438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Превышение проверенного baseline по Adjusted GOP / NOI.</w:t>
            </w:r>
          </w:p>
        </w:tc>
        <w:tc>
          <w:tcPr>
            <w:tcW w:type="dxa" w:w="294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Закрытие периода, корректировки, approval.</w:t>
            </w:r>
          </w:p>
        </w:tc>
      </w:tr>
      <w:tr>
        <w:trPr>
          <w:cantSplit/>
        </w:trPr>
        <w:tc>
          <w:tcPr>
            <w:tcW w:type="dxa" w:w="2040"/>
            <w:tcMar>
              <w:top w:w="100" w:type="dxa"/>
              <w:start w:w="130" w:type="dxa"/>
              <w:bottom w:w="100" w:type="dxa"/>
              <w:end w:w="130" w:type="dxa"/>
            </w:tcMar>
            <w:vAlign w:val="center"/>
          </w:tcPr>
          <w:p>
            <w:pPr>
              <w:spacing w:after="0" w:line="252" w:lineRule="auto"/>
            </w:pPr>
            <w:r>
              <w:rPr>
                <w:rFonts w:ascii="Aptos" w:hAnsi="Aptos" w:eastAsia="Aptos"/>
                <w:b/>
                <w:color w:val="0B2545"/>
                <w:sz w:val="19"/>
              </w:rPr>
              <w:t>Transaction fee</w:t>
            </w:r>
          </w:p>
        </w:tc>
        <w:tc>
          <w:tcPr>
            <w:tcW w:type="dxa" w:w="4380"/>
            <w:tcMar>
              <w:top w:w="100" w:type="dxa"/>
              <w:start w:w="130" w:type="dxa"/>
              <w:bottom w:w="100" w:type="dxa"/>
              <w:end w:w="130" w:type="dxa"/>
            </w:tcMar>
            <w:vAlign w:val="center"/>
          </w:tcPr>
          <w:p>
            <w:pPr>
              <w:spacing w:after="0" w:line="252" w:lineRule="auto"/>
            </w:pPr>
            <w:r>
              <w:rPr>
                <w:rFonts w:ascii="Aptos" w:hAnsi="Aptos" w:eastAsia="Aptos"/>
                <w:b w:val="0"/>
                <w:color w:val="1F2933"/>
                <w:sz w:val="19"/>
              </w:rPr>
              <w:t>Завершённая покупка или продажа.</w:t>
            </w:r>
          </w:p>
        </w:tc>
        <w:tc>
          <w:tcPr>
            <w:tcW w:type="dxa" w:w="2940"/>
            <w:tcMar>
              <w:top w:w="100" w:type="dxa"/>
              <w:start w:w="130" w:type="dxa"/>
              <w:bottom w:w="100" w:type="dxa"/>
              <w:end w:w="130" w:type="dxa"/>
            </w:tcMar>
            <w:vAlign w:val="center"/>
          </w:tcPr>
          <w:p>
            <w:pPr>
              <w:spacing w:after="0" w:line="252" w:lineRule="auto"/>
            </w:pPr>
            <w:r>
              <w:rPr>
                <w:rFonts w:ascii="Aptos" w:hAnsi="Aptos" w:eastAsia="Aptos"/>
                <w:b w:val="0"/>
                <w:color w:val="1F2933"/>
                <w:sz w:val="19"/>
              </w:rPr>
              <w:t>Раскрытие стороны-плательщика и конфликта интересов.</w:t>
            </w:r>
          </w:p>
        </w:tc>
      </w:tr>
      <w:tr>
        <w:trPr>
          <w:cantSplit/>
        </w:trPr>
        <w:tc>
          <w:tcPr>
            <w:tcW w:type="dxa" w:w="2040"/>
            <w:tcMar>
              <w:top w:w="100" w:type="dxa"/>
              <w:start w:w="130" w:type="dxa"/>
              <w:bottom w:w="100" w:type="dxa"/>
              <w:end w:w="130" w:type="dxa"/>
            </w:tcMar>
            <w:vAlign w:val="center"/>
            <w:shd w:fill="FAFBFC"/>
          </w:tcPr>
          <w:p>
            <w:pPr>
              <w:spacing w:after="0" w:line="252" w:lineRule="auto"/>
            </w:pPr>
            <w:r>
              <w:rPr>
                <w:rFonts w:ascii="Aptos" w:hAnsi="Aptos" w:eastAsia="Aptos"/>
                <w:b/>
                <w:color w:val="0B2545"/>
                <w:sz w:val="19"/>
              </w:rPr>
              <w:t>Partner distribution</w:t>
            </w:r>
          </w:p>
        </w:tc>
        <w:tc>
          <w:tcPr>
            <w:tcW w:type="dxa" w:w="438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Подтверждённая бронь или оказанная referral-функция.</w:t>
            </w:r>
          </w:p>
        </w:tc>
        <w:tc>
          <w:tcPr>
            <w:tcW w:type="dxa" w:w="294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Атрибуция, cancellation/refund rule и partner reconciliation.</w:t>
            </w:r>
          </w:p>
        </w:tc>
      </w:tr>
      <w:tr>
        <w:trPr>
          <w:cantSplit/>
        </w:trPr>
        <w:tc>
          <w:tcPr>
            <w:tcW w:type="dxa" w:w="2040"/>
            <w:tcMar>
              <w:top w:w="100" w:type="dxa"/>
              <w:start w:w="130" w:type="dxa"/>
              <w:bottom w:w="100" w:type="dxa"/>
              <w:end w:w="130" w:type="dxa"/>
            </w:tcMar>
            <w:vAlign w:val="center"/>
          </w:tcPr>
          <w:p>
            <w:pPr>
              <w:spacing w:after="0" w:line="252" w:lineRule="auto"/>
            </w:pPr>
            <w:r>
              <w:rPr>
                <w:rFonts w:ascii="Aptos" w:hAnsi="Aptos" w:eastAsia="Aptos"/>
                <w:b/>
                <w:color w:val="0B2545"/>
                <w:sz w:val="19"/>
              </w:rPr>
              <w:t>Project fee</w:t>
            </w:r>
          </w:p>
        </w:tc>
        <w:tc>
          <w:tcPr>
            <w:tcW w:type="dxa" w:w="4380"/>
            <w:tcMar>
              <w:top w:w="100" w:type="dxa"/>
              <w:start w:w="130" w:type="dxa"/>
              <w:bottom w:w="100" w:type="dxa"/>
              <w:end w:w="130" w:type="dxa"/>
            </w:tcMar>
            <w:vAlign w:val="center"/>
          </w:tcPr>
          <w:p>
            <w:pPr>
              <w:spacing w:after="0" w:line="252" w:lineRule="auto"/>
            </w:pPr>
            <w:r>
              <w:rPr>
                <w:rFonts w:ascii="Aptos" w:hAnsi="Aptos" w:eastAsia="Aptos"/>
                <w:b w:val="0"/>
                <w:color w:val="1F2933"/>
                <w:sz w:val="19"/>
              </w:rPr>
              <w:t>Согласованный milestone или фактически выполненный scope.</w:t>
            </w:r>
          </w:p>
        </w:tc>
        <w:tc>
          <w:tcPr>
            <w:tcW w:type="dxa" w:w="2940"/>
            <w:tcMar>
              <w:top w:w="100" w:type="dxa"/>
              <w:start w:w="130" w:type="dxa"/>
              <w:bottom w:w="100" w:type="dxa"/>
              <w:end w:w="130" w:type="dxa"/>
            </w:tcMar>
            <w:vAlign w:val="center"/>
          </w:tcPr>
          <w:p>
            <w:pPr>
              <w:spacing w:after="0" w:line="252" w:lineRule="auto"/>
            </w:pPr>
            <w:r>
              <w:rPr>
                <w:rFonts w:ascii="Aptos" w:hAnsi="Aptos" w:eastAsia="Aptos"/>
                <w:b w:val="0"/>
                <w:color w:val="1F2933"/>
                <w:sz w:val="19"/>
              </w:rPr>
              <w:t>Acceptance evidence и change control.</w:t>
            </w:r>
          </w:p>
        </w:tc>
      </w:tr>
      <w:tr>
        <w:trPr>
          <w:cantSplit/>
        </w:trPr>
        <w:tc>
          <w:tcPr>
            <w:tcW w:type="dxa" w:w="2040"/>
            <w:tcMar>
              <w:top w:w="100" w:type="dxa"/>
              <w:start w:w="130" w:type="dxa"/>
              <w:bottom w:w="100" w:type="dxa"/>
              <w:end w:w="130" w:type="dxa"/>
            </w:tcMar>
            <w:vAlign w:val="center"/>
            <w:shd w:fill="FAFBFC"/>
          </w:tcPr>
          <w:p>
            <w:pPr>
              <w:spacing w:after="0" w:line="252" w:lineRule="auto"/>
            </w:pPr>
            <w:r>
              <w:rPr>
                <w:rFonts w:ascii="Aptos" w:hAnsi="Aptos" w:eastAsia="Aptos"/>
                <w:b/>
                <w:color w:val="0B2545"/>
                <w:sz w:val="19"/>
              </w:rPr>
              <w:t>Guest service margin</w:t>
            </w:r>
          </w:p>
        </w:tc>
        <w:tc>
          <w:tcPr>
            <w:tcW w:type="dxa" w:w="438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Фактически оказанная услуга.</w:t>
            </w:r>
          </w:p>
        </w:tc>
        <w:tc>
          <w:tcPr>
            <w:tcW w:type="dxa" w:w="294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Цена гостю, стоимость поставщика и ответственность раскрыты.</w:t>
            </w:r>
          </w:p>
        </w:tc>
      </w:tr>
    </w:tbl>
    <w:p>
      <w:pPr>
        <w:spacing w:before="0" w:after="40" w:line="264" w:lineRule="auto"/>
        <w:jc w:val="left"/>
      </w:pPr>
    </w:p>
    <w:p>
      <w:pPr>
        <w:pStyle w:val="Heading2"/>
        <w:keepNext/>
      </w:pPr>
      <w:r>
        <w:t>20.3. Ценообразование и полномочия</w:t>
      </w:r>
    </w:p>
    <w:p>
      <w:pPr>
        <w:spacing w:before="0" w:after="120" w:line="264" w:lineRule="auto"/>
        <w:jc w:val="left"/>
      </w:pPr>
      <w:r>
        <w:rPr>
          <w:rFonts w:ascii="Aptos" w:hAnsi="Aptos" w:eastAsia="Aptos"/>
          <w:b w:val="0"/>
          <w:i w:val="0"/>
          <w:color w:val="1F2933"/>
          <w:sz w:val="22"/>
        </w:rPr>
        <w:t>Revenue manager управляет тарифом в утверждённой стратегии, channel rules и owner floor. Скидка, refund, бесплатная услуга и компенсация имеют владельца бюджета и журнал основания. Существенные отклонения, CAPEX и изменение коммерческой модели требуют approval согласно матрице полномочий.</w:t>
      </w:r>
    </w:p>
    <w:p>
      <w:pPr>
        <w:spacing w:before="0" w:after="120" w:line="264" w:lineRule="auto"/>
        <w:jc w:val="left"/>
      </w:pPr>
      <w:r>
        <w:rPr>
          <w:rFonts w:ascii="Aptos" w:hAnsi="Aptos" w:eastAsia="Aptos"/>
          <w:b w:val="0"/>
          <w:i w:val="0"/>
          <w:color w:val="1F2933"/>
          <w:sz w:val="22"/>
        </w:rPr>
        <w:t>Прямой канал предлагает лучшую совокупную ценность, но не нарушает действующие договорные ограничения каналов. Партнёрская цена, комиссия и сторона, несущая ответственность перед гостем, подтверждаются до предложения.</w:t>
      </w:r>
    </w:p>
    <w:p>
      <w:pPr>
        <w:pStyle w:val="Heading1"/>
        <w:keepNext/>
      </w:pPr>
      <w:r>
        <w:t>21. Финансовый контроль</w:t>
      </w:r>
    </w:p>
    <w:p>
      <w:pPr>
        <w:spacing w:before="0" w:after="120" w:line="264" w:lineRule="auto"/>
        <w:jc w:val="left"/>
      </w:pPr>
      <w:r>
        <w:rPr>
          <w:rFonts w:ascii="Aptos" w:hAnsi="Aptos" w:eastAsia="Aptos"/>
          <w:b w:val="0"/>
          <w:i w:val="0"/>
          <w:color w:val="1F2933"/>
          <w:sz w:val="22"/>
        </w:rPr>
        <w:t>Деньги компании, собственника, гостя и партнёра учитываются раздельно. Ни один существенный платёж не одобряется только на основании сообщения или неподтверждённого файла.</w:t>
      </w:r>
    </w:p>
    <w:p>
      <w:pPr>
        <w:pStyle w:val="Heading2"/>
        <w:keepNext/>
      </w:pPr>
      <w:r>
        <w:t>21.1. Обязательные контроли</w:t>
      </w:r>
    </w:p>
    <w:p>
      <w:pPr>
        <w:pStyle w:val="ListBullet"/>
        <w:spacing w:after="80" w:line="264" w:lineRule="auto"/>
      </w:pPr>
      <w:r>
        <w:rPr>
          <w:rFonts w:ascii="Aptos" w:hAnsi="Aptos" w:eastAsia="Aptos"/>
          <w:b/>
          <w:color w:val="0B2545"/>
          <w:sz w:val="22"/>
        </w:rPr>
        <w:t>Бюджет.</w:t>
      </w:r>
      <w:r>
        <w:rPr>
          <w:rFonts w:ascii="Aptos" w:hAnsi="Aptos" w:eastAsia="Aptos"/>
          <w:color w:val="1F2933"/>
          <w:sz w:val="22"/>
        </w:rPr>
        <w:t xml:space="preserve"> У каждого актива и функции есть утверждённый бюджет, лимиты и владелец отклонений.</w:t>
      </w:r>
    </w:p>
    <w:p>
      <w:pPr>
        <w:pStyle w:val="ListBullet"/>
        <w:spacing w:after="80" w:line="264" w:lineRule="auto"/>
      </w:pPr>
      <w:r>
        <w:rPr>
          <w:rFonts w:ascii="Aptos" w:hAnsi="Aptos" w:eastAsia="Aptos"/>
          <w:b/>
          <w:color w:val="0B2545"/>
          <w:sz w:val="22"/>
        </w:rPr>
        <w:t>Разделение обязанностей.</w:t>
      </w:r>
      <w:r>
        <w:rPr>
          <w:rFonts w:ascii="Aptos" w:hAnsi="Aptos" w:eastAsia="Aptos"/>
          <w:color w:val="1F2933"/>
          <w:sz w:val="22"/>
        </w:rPr>
        <w:t xml:space="preserve"> Инициатор, проверяющий и утверждающий существенный платёж не совпадают, насколько позволяет размер команды.</w:t>
      </w:r>
    </w:p>
    <w:p>
      <w:pPr>
        <w:pStyle w:val="ListBullet"/>
        <w:spacing w:after="80" w:line="264" w:lineRule="auto"/>
      </w:pPr>
      <w:r>
        <w:rPr>
          <w:rFonts w:ascii="Aptos" w:hAnsi="Aptos" w:eastAsia="Aptos"/>
          <w:b/>
          <w:color w:val="0B2545"/>
          <w:sz w:val="22"/>
        </w:rPr>
        <w:t>Трёхсторонняя сверка.</w:t>
      </w:r>
      <w:r>
        <w:rPr>
          <w:rFonts w:ascii="Aptos" w:hAnsi="Aptos" w:eastAsia="Aptos"/>
          <w:color w:val="1F2933"/>
          <w:sz w:val="22"/>
        </w:rPr>
        <w:t xml:space="preserve"> Договор или заказ, доказательство исполнения и invoice сопоставляются до оплаты.</w:t>
      </w:r>
    </w:p>
    <w:p>
      <w:pPr>
        <w:pStyle w:val="ListBullet"/>
        <w:spacing w:after="80" w:line="264" w:lineRule="auto"/>
      </w:pPr>
      <w:r>
        <w:rPr>
          <w:rFonts w:ascii="Aptos" w:hAnsi="Aptos" w:eastAsia="Aptos"/>
          <w:b/>
          <w:color w:val="0B2545"/>
          <w:sz w:val="22"/>
        </w:rPr>
        <w:t>Банковская сверка.</w:t>
      </w:r>
      <w:r>
        <w:rPr>
          <w:rFonts w:ascii="Aptos" w:hAnsi="Aptos" w:eastAsia="Aptos"/>
          <w:color w:val="1F2933"/>
          <w:sz w:val="22"/>
        </w:rPr>
        <w:t xml:space="preserve"> Банк, PMS, платёжный провайдер, CRM и бухгалтерия закрываются ежемесячно.</w:t>
      </w:r>
    </w:p>
    <w:p>
      <w:pPr>
        <w:pStyle w:val="ListBullet"/>
        <w:spacing w:after="80" w:line="264" w:lineRule="auto"/>
      </w:pPr>
      <w:r>
        <w:rPr>
          <w:rFonts w:ascii="Aptos" w:hAnsi="Aptos" w:eastAsia="Aptos"/>
          <w:b/>
          <w:color w:val="0B2545"/>
          <w:sz w:val="22"/>
        </w:rPr>
        <w:t>Owner statement.</w:t>
      </w:r>
      <w:r>
        <w:rPr>
          <w:rFonts w:ascii="Aptos" w:hAnsi="Aptos" w:eastAsia="Aptos"/>
          <w:color w:val="1F2933"/>
          <w:sz w:val="22"/>
        </w:rPr>
        <w:t xml:space="preserve"> Собственник получает доход, расходы, комиссии, резервы, cash movement и комментарий отклонений.</w:t>
      </w:r>
    </w:p>
    <w:p>
      <w:pPr>
        <w:pStyle w:val="ListBullet"/>
        <w:spacing w:after="80" w:line="264" w:lineRule="auto"/>
      </w:pPr>
      <w:r>
        <w:rPr>
          <w:rFonts w:ascii="Aptos" w:hAnsi="Aptos" w:eastAsia="Aptos"/>
          <w:b/>
          <w:color w:val="0B2545"/>
          <w:sz w:val="22"/>
        </w:rPr>
        <w:t>Налоги.</w:t>
      </w:r>
      <w:r>
        <w:rPr>
          <w:rFonts w:ascii="Aptos" w:hAnsi="Aptos" w:eastAsia="Aptos"/>
          <w:color w:val="1F2933"/>
          <w:sz w:val="22"/>
        </w:rPr>
        <w:t xml:space="preserve"> Налоговый отчёт сверяется с income/expense ledger и банковскими выписками до подачи или оплаты.</w:t>
      </w:r>
    </w:p>
    <w:p>
      <w:pPr>
        <w:pStyle w:val="ListBullet"/>
        <w:spacing w:after="80" w:line="264" w:lineRule="auto"/>
      </w:pPr>
      <w:r>
        <w:rPr>
          <w:rFonts w:ascii="Aptos" w:hAnsi="Aptos" w:eastAsia="Aptos"/>
          <w:b/>
          <w:color w:val="0B2545"/>
          <w:sz w:val="22"/>
        </w:rPr>
        <w:t>Refund и chargeback.</w:t>
      </w:r>
      <w:r>
        <w:rPr>
          <w:rFonts w:ascii="Aptos" w:hAnsi="Aptos" w:eastAsia="Aptos"/>
          <w:color w:val="1F2933"/>
          <w:sz w:val="22"/>
        </w:rPr>
        <w:t xml:space="preserve"> Причина, решение, источник покрытия и восстановительное действие регистрируются.</w:t>
      </w:r>
    </w:p>
    <w:p>
      <w:pPr>
        <w:pStyle w:val="Heading2"/>
        <w:keepNext/>
      </w:pPr>
      <w:r>
        <w:t>21.2. Финансовый календарь</w:t>
      </w:r>
    </w:p>
    <w:p>
      <w:pPr>
        <w:spacing w:before="0" w:after="120" w:line="264" w:lineRule="auto"/>
        <w:jc w:val="left"/>
      </w:pPr>
      <w:r>
        <w:rPr>
          <w:rFonts w:ascii="Aptos" w:hAnsi="Aptos" w:eastAsia="Aptos"/>
          <w:b w:val="0"/>
          <w:i w:val="0"/>
          <w:color w:val="1F2933"/>
          <w:sz w:val="22"/>
        </w:rPr>
        <w:t>Ежедневно контролируются платежи, возвраты и исключения; еженедельно — cash position, дебиторская задолженность и предстоящие обязательства; ежемесячно — закрытие актива, reconciliation, owner report и P&amp;L компании; ежеквартально — бюджет, unit economics и налоги; ежегодно — финансовый план, резервы и независимая проверка там, где она требуется.</w:t>
      </w:r>
    </w:p>
    <w:p>
      <w:pPr>
        <w:pStyle w:val="Heading1"/>
        <w:keepNext/>
      </w:pPr>
      <w:r>
        <w:t>22. Процессная архитектура</w:t>
      </w:r>
    </w:p>
    <w:p>
      <w:pPr>
        <w:spacing w:before="0" w:after="120" w:line="264" w:lineRule="auto"/>
        <w:jc w:val="left"/>
      </w:pPr>
      <w:r>
        <w:rPr>
          <w:rFonts w:ascii="Aptos" w:hAnsi="Aptos" w:eastAsia="Aptos"/>
          <w:b w:val="0"/>
          <w:i w:val="0"/>
          <w:color w:val="1F2933"/>
          <w:sz w:val="22"/>
        </w:rPr>
        <w:t>Операционная система состоит из end-to-end процессов. У каждого процесса есть Process Owner, вход, выход, system of record, SLA, KPI, контрольная точка, эскалация и действующий SOP.</w:t>
      </w:r>
    </w:p>
    <w:tbl>
      <w:tblPr>
        <w:tblW w:type="dxa" w:w="9360"/>
        <w:jc w:val="left"/>
        <w:tblLayout w:type="fixed"/>
        <w:tblLook w:firstColumn="1" w:firstRow="1" w:lastColumn="0" w:lastRow="0" w:noHBand="0" w:noVBand="1" w:val="04A0"/>
        <w:tblInd w:w="120" w:type="dxa"/>
        <w:tblBorders>
          <w:top w:val="single" w:sz="6" w:space="0" w:color="D6DCE2"/>
          <w:left w:val="single" w:sz="6" w:space="0" w:color="D6DCE2"/>
          <w:bottom w:val="single" w:sz="6" w:space="0" w:color="D6DCE2"/>
          <w:right w:val="single" w:sz="6" w:space="0" w:color="D6DCE2"/>
          <w:insideH w:val="single" w:sz="6" w:space="0" w:color="D6DCE2"/>
          <w:insideV w:val="single" w:sz="6" w:space="0" w:color="D6DCE2"/>
        </w:tblBorders>
      </w:tblPr>
      <w:tblGrid>
        <w:gridCol w:w="2040"/>
        <w:gridCol w:w="4560"/>
        <w:gridCol w:w="2760"/>
      </w:tblGrid>
      <w:tr>
        <w:trPr>
          <w:tblHeader w:val="true"/>
          <w:cantSplit/>
        </w:trPr>
        <w:tc>
          <w:tcPr>
            <w:tcW w:type="dxa" w:w="2040"/>
            <w:shd w:fill="0B2545"/>
            <w:tcMar>
              <w:top w:w="100" w:type="dxa"/>
              <w:start w:w="130" w:type="dxa"/>
              <w:bottom w:w="100" w:type="dxa"/>
              <w:end w:w="130" w:type="dxa"/>
            </w:tcMar>
            <w:vAlign w:val="center"/>
          </w:tcPr>
          <w:p>
            <w:pPr>
              <w:spacing w:after="0" w:line="240" w:lineRule="auto"/>
            </w:pPr>
            <w:r>
              <w:rPr>
                <w:rFonts w:ascii="Aptos" w:hAnsi="Aptos" w:eastAsia="Aptos"/>
                <w:b/>
                <w:color w:val="FFFFFF"/>
                <w:sz w:val="19"/>
              </w:rPr>
              <w:t>ПРОЦЕСС</w:t>
            </w:r>
          </w:p>
        </w:tc>
        <w:tc>
          <w:tcPr>
            <w:tcW w:type="dxa" w:w="4560"/>
            <w:shd w:fill="0B2545"/>
            <w:tcMar>
              <w:top w:w="100" w:type="dxa"/>
              <w:start w:w="130" w:type="dxa"/>
              <w:bottom w:w="100" w:type="dxa"/>
              <w:end w:w="130" w:type="dxa"/>
            </w:tcMar>
            <w:vAlign w:val="center"/>
          </w:tcPr>
          <w:p>
            <w:pPr>
              <w:spacing w:after="0" w:line="240" w:lineRule="auto"/>
            </w:pPr>
            <w:r>
              <w:rPr>
                <w:rFonts w:ascii="Aptos" w:hAnsi="Aptos" w:eastAsia="Aptos"/>
                <w:b/>
                <w:color w:val="FFFFFF"/>
                <w:sz w:val="19"/>
              </w:rPr>
              <w:t>ОБЯЗАТЕЛЬНЫЙ РЕЗУЛЬТАТ</w:t>
            </w:r>
          </w:p>
        </w:tc>
        <w:tc>
          <w:tcPr>
            <w:tcW w:type="dxa" w:w="2760"/>
            <w:shd w:fill="0B2545"/>
            <w:tcMar>
              <w:top w:w="100" w:type="dxa"/>
              <w:start w:w="130" w:type="dxa"/>
              <w:bottom w:w="100" w:type="dxa"/>
              <w:end w:w="130" w:type="dxa"/>
            </w:tcMar>
            <w:vAlign w:val="center"/>
          </w:tcPr>
          <w:p>
            <w:pPr>
              <w:spacing w:after="0" w:line="240" w:lineRule="auto"/>
            </w:pPr>
            <w:r>
              <w:rPr>
                <w:rFonts w:ascii="Aptos" w:hAnsi="Aptos" w:eastAsia="Aptos"/>
                <w:b/>
                <w:color w:val="FFFFFF"/>
                <w:sz w:val="19"/>
              </w:rPr>
              <w:t>SYSTEM OF RECORD</w:t>
            </w:r>
          </w:p>
        </w:tc>
      </w:tr>
      <w:tr>
        <w:trPr>
          <w:cantSplit/>
        </w:trPr>
        <w:tc>
          <w:tcPr>
            <w:tcW w:type="dxa" w:w="2040"/>
            <w:tcMar>
              <w:top w:w="100" w:type="dxa"/>
              <w:start w:w="130" w:type="dxa"/>
              <w:bottom w:w="100" w:type="dxa"/>
              <w:end w:w="130" w:type="dxa"/>
            </w:tcMar>
            <w:vAlign w:val="center"/>
          </w:tcPr>
          <w:p>
            <w:pPr>
              <w:spacing w:after="0" w:line="252" w:lineRule="auto"/>
            </w:pPr>
            <w:r>
              <w:rPr>
                <w:rFonts w:ascii="Aptos" w:hAnsi="Aptos" w:eastAsia="Aptos"/>
                <w:b/>
                <w:color w:val="0B2545"/>
                <w:sz w:val="19"/>
              </w:rPr>
              <w:t>Asset intake</w:t>
            </w:r>
          </w:p>
        </w:tc>
        <w:tc>
          <w:tcPr>
            <w:tcW w:type="dxa" w:w="4560"/>
            <w:tcMar>
              <w:top w:w="100" w:type="dxa"/>
              <w:start w:w="130" w:type="dxa"/>
              <w:bottom w:w="100" w:type="dxa"/>
              <w:end w:w="130" w:type="dxa"/>
            </w:tcMar>
            <w:vAlign w:val="center"/>
          </w:tcPr>
          <w:p>
            <w:pPr>
              <w:spacing w:after="0" w:line="252" w:lineRule="auto"/>
            </w:pPr>
            <w:r>
              <w:rPr>
                <w:rFonts w:ascii="Aptos" w:hAnsi="Aptos" w:eastAsia="Aptos"/>
                <w:b w:val="0"/>
                <w:color w:val="1F2933"/>
                <w:sz w:val="19"/>
              </w:rPr>
              <w:t>Подписанный мандат, Asset ID, baseline, inventory, budget и risk register.</w:t>
            </w:r>
          </w:p>
        </w:tc>
        <w:tc>
          <w:tcPr>
            <w:tcW w:type="dxa" w:w="2760"/>
            <w:tcMar>
              <w:top w:w="100" w:type="dxa"/>
              <w:start w:w="130" w:type="dxa"/>
              <w:bottom w:w="100" w:type="dxa"/>
              <w:end w:w="130" w:type="dxa"/>
            </w:tcMar>
            <w:vAlign w:val="center"/>
          </w:tcPr>
          <w:p>
            <w:pPr>
              <w:spacing w:after="0" w:line="252" w:lineRule="auto"/>
            </w:pPr>
            <w:r>
              <w:rPr>
                <w:rFonts w:ascii="Aptos" w:hAnsi="Aptos" w:eastAsia="Aptos"/>
                <w:b w:val="0"/>
                <w:color w:val="1F2933"/>
                <w:sz w:val="19"/>
              </w:rPr>
              <w:t>CRM + Asset Registry + Documents.</w:t>
            </w:r>
          </w:p>
        </w:tc>
      </w:tr>
      <w:tr>
        <w:trPr>
          <w:cantSplit/>
        </w:trPr>
        <w:tc>
          <w:tcPr>
            <w:tcW w:type="dxa" w:w="2040"/>
            <w:tcMar>
              <w:top w:w="100" w:type="dxa"/>
              <w:start w:w="130" w:type="dxa"/>
              <w:bottom w:w="100" w:type="dxa"/>
              <w:end w:w="130" w:type="dxa"/>
            </w:tcMar>
            <w:vAlign w:val="center"/>
            <w:shd w:fill="FAFBFC"/>
          </w:tcPr>
          <w:p>
            <w:pPr>
              <w:spacing w:after="0" w:line="252" w:lineRule="auto"/>
            </w:pPr>
            <w:r>
              <w:rPr>
                <w:rFonts w:ascii="Aptos" w:hAnsi="Aptos" w:eastAsia="Aptos"/>
                <w:b/>
                <w:color w:val="0B2545"/>
                <w:sz w:val="19"/>
              </w:rPr>
              <w:t>Launch</w:t>
            </w:r>
          </w:p>
        </w:tc>
        <w:tc>
          <w:tcPr>
            <w:tcW w:type="dxa" w:w="456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Готовый продукт, контент, тарифы, каналы, платежи, команда и go-live approval.</w:t>
            </w:r>
          </w:p>
        </w:tc>
        <w:tc>
          <w:tcPr>
            <w:tcW w:type="dxa" w:w="276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PMS + Operations + CMS.</w:t>
            </w:r>
          </w:p>
        </w:tc>
      </w:tr>
      <w:tr>
        <w:trPr>
          <w:cantSplit/>
        </w:trPr>
        <w:tc>
          <w:tcPr>
            <w:tcW w:type="dxa" w:w="2040"/>
            <w:tcMar>
              <w:top w:w="100" w:type="dxa"/>
              <w:start w:w="130" w:type="dxa"/>
              <w:bottom w:w="100" w:type="dxa"/>
              <w:end w:w="130" w:type="dxa"/>
            </w:tcMar>
            <w:vAlign w:val="center"/>
          </w:tcPr>
          <w:p>
            <w:pPr>
              <w:spacing w:after="0" w:line="252" w:lineRule="auto"/>
            </w:pPr>
            <w:r>
              <w:rPr>
                <w:rFonts w:ascii="Aptos" w:hAnsi="Aptos" w:eastAsia="Aptos"/>
                <w:b/>
                <w:color w:val="0B2545"/>
                <w:sz w:val="19"/>
              </w:rPr>
              <w:t>Revenue management</w:t>
            </w:r>
          </w:p>
        </w:tc>
        <w:tc>
          <w:tcPr>
            <w:tcW w:type="dxa" w:w="4560"/>
            <w:tcMar>
              <w:top w:w="100" w:type="dxa"/>
              <w:start w:w="130" w:type="dxa"/>
              <w:bottom w:w="100" w:type="dxa"/>
              <w:end w:w="130" w:type="dxa"/>
            </w:tcMar>
            <w:vAlign w:val="center"/>
          </w:tcPr>
          <w:p>
            <w:pPr>
              <w:spacing w:after="0" w:line="252" w:lineRule="auto"/>
            </w:pPr>
            <w:r>
              <w:rPr>
                <w:rFonts w:ascii="Aptos" w:hAnsi="Aptos" w:eastAsia="Aptos"/>
                <w:b w:val="0"/>
                <w:color w:val="1F2933"/>
                <w:sz w:val="19"/>
              </w:rPr>
              <w:t>Тариф, ограничения и channel mix на основании спроса и contribution.</w:t>
            </w:r>
          </w:p>
        </w:tc>
        <w:tc>
          <w:tcPr>
            <w:tcW w:type="dxa" w:w="2760"/>
            <w:tcMar>
              <w:top w:w="100" w:type="dxa"/>
              <w:start w:w="130" w:type="dxa"/>
              <w:bottom w:w="100" w:type="dxa"/>
              <w:end w:w="130" w:type="dxa"/>
            </w:tcMar>
            <w:vAlign w:val="center"/>
          </w:tcPr>
          <w:p>
            <w:pPr>
              <w:spacing w:after="0" w:line="252" w:lineRule="auto"/>
            </w:pPr>
            <w:r>
              <w:rPr>
                <w:rFonts w:ascii="Aptos" w:hAnsi="Aptos" w:eastAsia="Aptos"/>
                <w:b w:val="0"/>
                <w:color w:val="1F2933"/>
                <w:sz w:val="19"/>
              </w:rPr>
              <w:t>PMS + Analytics.</w:t>
            </w:r>
          </w:p>
        </w:tc>
      </w:tr>
      <w:tr>
        <w:trPr>
          <w:cantSplit/>
        </w:trPr>
        <w:tc>
          <w:tcPr>
            <w:tcW w:type="dxa" w:w="2040"/>
            <w:tcMar>
              <w:top w:w="100" w:type="dxa"/>
              <w:start w:w="130" w:type="dxa"/>
              <w:bottom w:w="100" w:type="dxa"/>
              <w:end w:w="130" w:type="dxa"/>
            </w:tcMar>
            <w:vAlign w:val="center"/>
            <w:shd w:fill="FAFBFC"/>
          </w:tcPr>
          <w:p>
            <w:pPr>
              <w:spacing w:after="0" w:line="252" w:lineRule="auto"/>
            </w:pPr>
            <w:r>
              <w:rPr>
                <w:rFonts w:ascii="Aptos" w:hAnsi="Aptos" w:eastAsia="Aptos"/>
                <w:b/>
                <w:color w:val="0B2545"/>
                <w:sz w:val="19"/>
              </w:rPr>
              <w:t>Booking-to-stay</w:t>
            </w:r>
          </w:p>
        </w:tc>
        <w:tc>
          <w:tcPr>
            <w:tcW w:type="dxa" w:w="456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Точная бронь, оплата, pre-arrival, check-in, сервис и check-out.</w:t>
            </w:r>
          </w:p>
        </w:tc>
        <w:tc>
          <w:tcPr>
            <w:tcW w:type="dxa" w:w="276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PMS + CRM + Service Desk.</w:t>
            </w:r>
          </w:p>
        </w:tc>
      </w:tr>
      <w:tr>
        <w:trPr>
          <w:cantSplit/>
        </w:trPr>
        <w:tc>
          <w:tcPr>
            <w:tcW w:type="dxa" w:w="2040"/>
            <w:tcMar>
              <w:top w:w="100" w:type="dxa"/>
              <w:start w:w="130" w:type="dxa"/>
              <w:bottom w:w="100" w:type="dxa"/>
              <w:end w:w="130" w:type="dxa"/>
            </w:tcMar>
            <w:vAlign w:val="center"/>
          </w:tcPr>
          <w:p>
            <w:pPr>
              <w:spacing w:after="0" w:line="252" w:lineRule="auto"/>
            </w:pPr>
            <w:r>
              <w:rPr>
                <w:rFonts w:ascii="Aptos" w:hAnsi="Aptos" w:eastAsia="Aptos"/>
                <w:b/>
                <w:color w:val="0B2545"/>
                <w:sz w:val="19"/>
              </w:rPr>
              <w:t>Property care</w:t>
            </w:r>
          </w:p>
        </w:tc>
        <w:tc>
          <w:tcPr>
            <w:tcW w:type="dxa" w:w="4560"/>
            <w:tcMar>
              <w:top w:w="100" w:type="dxa"/>
              <w:start w:w="130" w:type="dxa"/>
              <w:bottom w:w="100" w:type="dxa"/>
              <w:end w:w="130" w:type="dxa"/>
            </w:tcMar>
            <w:vAlign w:val="center"/>
          </w:tcPr>
          <w:p>
            <w:pPr>
              <w:spacing w:after="0" w:line="252" w:lineRule="auto"/>
            </w:pPr>
            <w:r>
              <w:rPr>
                <w:rFonts w:ascii="Aptos" w:hAnsi="Aptos" w:eastAsia="Aptos"/>
                <w:b w:val="0"/>
                <w:color w:val="1F2933"/>
                <w:sz w:val="19"/>
              </w:rPr>
              <w:t>Плановое обслуживание, defects, inspections, procurement и CAPEX trail.</w:t>
            </w:r>
          </w:p>
        </w:tc>
        <w:tc>
          <w:tcPr>
            <w:tcW w:type="dxa" w:w="2760"/>
            <w:tcMar>
              <w:top w:w="100" w:type="dxa"/>
              <w:start w:w="130" w:type="dxa"/>
              <w:bottom w:w="100" w:type="dxa"/>
              <w:end w:w="130" w:type="dxa"/>
            </w:tcMar>
            <w:vAlign w:val="center"/>
          </w:tcPr>
          <w:p>
            <w:pPr>
              <w:spacing w:after="0" w:line="252" w:lineRule="auto"/>
            </w:pPr>
            <w:r>
              <w:rPr>
                <w:rFonts w:ascii="Aptos" w:hAnsi="Aptos" w:eastAsia="Aptos"/>
                <w:b w:val="0"/>
                <w:color w:val="1F2933"/>
                <w:sz w:val="19"/>
              </w:rPr>
              <w:t>Operations + Asset Registry.</w:t>
            </w:r>
          </w:p>
        </w:tc>
      </w:tr>
      <w:tr>
        <w:trPr>
          <w:cantSplit/>
        </w:trPr>
        <w:tc>
          <w:tcPr>
            <w:tcW w:type="dxa" w:w="2040"/>
            <w:tcMar>
              <w:top w:w="100" w:type="dxa"/>
              <w:start w:w="130" w:type="dxa"/>
              <w:bottom w:w="100" w:type="dxa"/>
              <w:end w:w="130" w:type="dxa"/>
            </w:tcMar>
            <w:vAlign w:val="center"/>
            <w:shd w:fill="FAFBFC"/>
          </w:tcPr>
          <w:p>
            <w:pPr>
              <w:spacing w:after="0" w:line="252" w:lineRule="auto"/>
            </w:pPr>
            <w:r>
              <w:rPr>
                <w:rFonts w:ascii="Aptos" w:hAnsi="Aptos" w:eastAsia="Aptos"/>
                <w:b/>
                <w:color w:val="0B2545"/>
                <w:sz w:val="19"/>
              </w:rPr>
              <w:t>Month close</w:t>
            </w:r>
          </w:p>
        </w:tc>
        <w:tc>
          <w:tcPr>
            <w:tcW w:type="dxa" w:w="456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Сверенные доходы, расходы, комиссии, cash и owner report.</w:t>
            </w:r>
          </w:p>
        </w:tc>
        <w:tc>
          <w:tcPr>
            <w:tcW w:type="dxa" w:w="276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Accounting + PMS + Bank.</w:t>
            </w:r>
          </w:p>
        </w:tc>
      </w:tr>
      <w:tr>
        <w:trPr>
          <w:cantSplit/>
        </w:trPr>
        <w:tc>
          <w:tcPr>
            <w:tcW w:type="dxa" w:w="2040"/>
            <w:tcMar>
              <w:top w:w="100" w:type="dxa"/>
              <w:start w:w="130" w:type="dxa"/>
              <w:bottom w:w="100" w:type="dxa"/>
              <w:end w:w="130" w:type="dxa"/>
            </w:tcMar>
            <w:vAlign w:val="center"/>
          </w:tcPr>
          <w:p>
            <w:pPr>
              <w:spacing w:after="0" w:line="252" w:lineRule="auto"/>
            </w:pPr>
            <w:r>
              <w:rPr>
                <w:rFonts w:ascii="Aptos" w:hAnsi="Aptos" w:eastAsia="Aptos"/>
                <w:b/>
                <w:color w:val="0B2545"/>
                <w:sz w:val="19"/>
              </w:rPr>
              <w:t>Managed sale</w:t>
            </w:r>
          </w:p>
        </w:tc>
        <w:tc>
          <w:tcPr>
            <w:tcW w:type="dxa" w:w="4560"/>
            <w:tcMar>
              <w:top w:w="100" w:type="dxa"/>
              <w:start w:w="130" w:type="dxa"/>
              <w:bottom w:w="100" w:type="dxa"/>
              <w:end w:w="130" w:type="dxa"/>
            </w:tcMar>
            <w:vAlign w:val="center"/>
          </w:tcPr>
          <w:p>
            <w:pPr>
              <w:spacing w:after="0" w:line="252" w:lineRule="auto"/>
            </w:pPr>
            <w:r>
              <w:rPr>
                <w:rFonts w:ascii="Aptos" w:hAnsi="Aptos" w:eastAsia="Aptos"/>
                <w:b w:val="0"/>
                <w:color w:val="1F2933"/>
                <w:sz w:val="19"/>
              </w:rPr>
              <w:t>Data room, подтверждённая экономика, buyer process и раскрытая сделка.</w:t>
            </w:r>
          </w:p>
        </w:tc>
        <w:tc>
          <w:tcPr>
            <w:tcW w:type="dxa" w:w="2760"/>
            <w:tcMar>
              <w:top w:w="100" w:type="dxa"/>
              <w:start w:w="130" w:type="dxa"/>
              <w:bottom w:w="100" w:type="dxa"/>
              <w:end w:w="130" w:type="dxa"/>
            </w:tcMar>
            <w:vAlign w:val="center"/>
          </w:tcPr>
          <w:p>
            <w:pPr>
              <w:spacing w:after="0" w:line="252" w:lineRule="auto"/>
            </w:pPr>
            <w:r>
              <w:rPr>
                <w:rFonts w:ascii="Aptos" w:hAnsi="Aptos" w:eastAsia="Aptos"/>
                <w:b w:val="0"/>
                <w:color w:val="1F2933"/>
                <w:sz w:val="19"/>
              </w:rPr>
              <w:t>CRM + ClearView + Documents.</w:t>
            </w:r>
          </w:p>
        </w:tc>
      </w:tr>
    </w:tbl>
    <w:p>
      <w:pPr>
        <w:spacing w:before="0" w:after="40" w:line="264" w:lineRule="auto"/>
        <w:jc w:val="left"/>
      </w:pPr>
    </w:p>
    <w:p>
      <w:pPr>
        <w:pStyle w:val="Heading2"/>
        <w:keepNext/>
      </w:pPr>
      <w:r>
        <w:t>22.1. Launch Gate</w:t>
      </w:r>
    </w:p>
    <w:p>
      <w:pPr>
        <w:spacing w:before="0" w:after="120" w:line="264" w:lineRule="auto"/>
        <w:jc w:val="left"/>
      </w:pPr>
      <w:r>
        <w:rPr>
          <w:rFonts w:ascii="Aptos" w:hAnsi="Aptos" w:eastAsia="Aptos"/>
          <w:b w:val="0"/>
          <w:i w:val="0"/>
          <w:color w:val="1F2933"/>
          <w:sz w:val="22"/>
        </w:rPr>
        <w:t>Объект не открывается для продаж, пока не подтверждены: юридически допустимый режим; безопасность; inventory; фотографии и описание; тарифы и правила; availability; payment/refund flow; guest communications; on-call responsibility; financial mapping; analytics; incident contacts и go-live approval.</w:t>
      </w:r>
    </w:p>
    <w:p>
      <w:pPr>
        <w:pStyle w:val="Heading1"/>
        <w:keepNext/>
      </w:pPr>
      <w:r>
        <w:t>23. Сервисный стандарт, качество и инциденты</w:t>
      </w:r>
    </w:p>
    <w:p>
      <w:pPr>
        <w:spacing w:before="0" w:after="120" w:line="264" w:lineRule="auto"/>
        <w:jc w:val="left"/>
      </w:pPr>
      <w:r>
        <w:rPr>
          <w:rFonts w:ascii="Aptos" w:hAnsi="Aptos" w:eastAsia="Aptos"/>
          <w:b w:val="0"/>
          <w:i w:val="0"/>
          <w:color w:val="1F2933"/>
          <w:sz w:val="22"/>
        </w:rPr>
        <w:t>myUNO Standard измеряет не количество действий, а обещанный результат: достоверность, скорость, безопасность, чистоту, работоспособность, прозрачность, сохранность и закрытие проблемы.</w:t>
      </w:r>
    </w:p>
    <w:p>
      <w:pPr>
        <w:pStyle w:val="Heading2"/>
        <w:keepNext/>
      </w:pPr>
      <w:r>
        <w:t>23.1. Классы инцидентов</w:t>
      </w:r>
    </w:p>
    <w:tbl>
      <w:tblPr>
        <w:tblW w:type="dxa" w:w="9360"/>
        <w:jc w:val="left"/>
        <w:tblLayout w:type="fixed"/>
        <w:tblLook w:firstColumn="1" w:firstRow="1" w:lastColumn="0" w:lastRow="0" w:noHBand="0" w:noVBand="1" w:val="04A0"/>
        <w:tblInd w:w="120" w:type="dxa"/>
        <w:tblBorders>
          <w:top w:val="single" w:sz="6" w:space="0" w:color="D6DCE2"/>
          <w:left w:val="single" w:sz="6" w:space="0" w:color="D6DCE2"/>
          <w:bottom w:val="single" w:sz="6" w:space="0" w:color="D6DCE2"/>
          <w:right w:val="single" w:sz="6" w:space="0" w:color="D6DCE2"/>
          <w:insideH w:val="single" w:sz="6" w:space="0" w:color="D6DCE2"/>
          <w:insideV w:val="single" w:sz="6" w:space="0" w:color="D6DCE2"/>
        </w:tblBorders>
      </w:tblPr>
      <w:tblGrid>
        <w:gridCol w:w="1560"/>
        <w:gridCol w:w="4740"/>
        <w:gridCol w:w="3060"/>
      </w:tblGrid>
      <w:tr>
        <w:trPr>
          <w:tblHeader w:val="true"/>
          <w:cantSplit/>
        </w:trPr>
        <w:tc>
          <w:tcPr>
            <w:tcW w:type="dxa" w:w="1560"/>
            <w:shd w:fill="0B2545"/>
            <w:tcMar>
              <w:top w:w="100" w:type="dxa"/>
              <w:start w:w="130" w:type="dxa"/>
              <w:bottom w:w="100" w:type="dxa"/>
              <w:end w:w="130" w:type="dxa"/>
            </w:tcMar>
            <w:vAlign w:val="center"/>
          </w:tcPr>
          <w:p>
            <w:pPr>
              <w:spacing w:after="0" w:line="240" w:lineRule="auto"/>
            </w:pPr>
            <w:r>
              <w:rPr>
                <w:rFonts w:ascii="Aptos" w:hAnsi="Aptos" w:eastAsia="Aptos"/>
                <w:b/>
                <w:color w:val="FFFFFF"/>
                <w:sz w:val="19"/>
              </w:rPr>
              <w:t>КЛАСС</w:t>
            </w:r>
          </w:p>
        </w:tc>
        <w:tc>
          <w:tcPr>
            <w:tcW w:type="dxa" w:w="4740"/>
            <w:shd w:fill="0B2545"/>
            <w:tcMar>
              <w:top w:w="100" w:type="dxa"/>
              <w:start w:w="130" w:type="dxa"/>
              <w:bottom w:w="100" w:type="dxa"/>
              <w:end w:w="130" w:type="dxa"/>
            </w:tcMar>
            <w:vAlign w:val="center"/>
          </w:tcPr>
          <w:p>
            <w:pPr>
              <w:spacing w:after="0" w:line="240" w:lineRule="auto"/>
            </w:pPr>
            <w:r>
              <w:rPr>
                <w:rFonts w:ascii="Aptos" w:hAnsi="Aptos" w:eastAsia="Aptos"/>
                <w:b/>
                <w:color w:val="FFFFFF"/>
                <w:sz w:val="19"/>
              </w:rPr>
              <w:t>ПРИМЕР</w:t>
            </w:r>
          </w:p>
        </w:tc>
        <w:tc>
          <w:tcPr>
            <w:tcW w:type="dxa" w:w="3060"/>
            <w:shd w:fill="0B2545"/>
            <w:tcMar>
              <w:top w:w="100" w:type="dxa"/>
              <w:start w:w="130" w:type="dxa"/>
              <w:bottom w:w="100" w:type="dxa"/>
              <w:end w:w="130" w:type="dxa"/>
            </w:tcMar>
            <w:vAlign w:val="center"/>
          </w:tcPr>
          <w:p>
            <w:pPr>
              <w:spacing w:after="0" w:line="240" w:lineRule="auto"/>
            </w:pPr>
            <w:r>
              <w:rPr>
                <w:rFonts w:ascii="Aptos" w:hAnsi="Aptos" w:eastAsia="Aptos"/>
                <w:b/>
                <w:color w:val="FFFFFF"/>
                <w:sz w:val="19"/>
              </w:rPr>
              <w:t>ПРАВИЛО</w:t>
            </w:r>
          </w:p>
        </w:tc>
      </w:tr>
      <w:tr>
        <w:trPr>
          <w:cantSplit/>
        </w:trPr>
        <w:tc>
          <w:tcPr>
            <w:tcW w:type="dxa" w:w="1560"/>
            <w:tcMar>
              <w:top w:w="100" w:type="dxa"/>
              <w:start w:w="130" w:type="dxa"/>
              <w:bottom w:w="100" w:type="dxa"/>
              <w:end w:w="130" w:type="dxa"/>
            </w:tcMar>
            <w:vAlign w:val="center"/>
          </w:tcPr>
          <w:p>
            <w:pPr>
              <w:spacing w:after="0" w:line="252" w:lineRule="auto"/>
            </w:pPr>
            <w:r>
              <w:rPr>
                <w:rFonts w:ascii="Aptos" w:hAnsi="Aptos" w:eastAsia="Aptos"/>
                <w:b/>
                <w:color w:val="0B2545"/>
                <w:sz w:val="19"/>
              </w:rPr>
              <w:t>P0 Critical</w:t>
            </w:r>
          </w:p>
        </w:tc>
        <w:tc>
          <w:tcPr>
            <w:tcW w:type="dxa" w:w="4740"/>
            <w:tcMar>
              <w:top w:w="100" w:type="dxa"/>
              <w:start w:w="130" w:type="dxa"/>
              <w:bottom w:w="100" w:type="dxa"/>
              <w:end w:w="130" w:type="dxa"/>
            </w:tcMar>
            <w:vAlign w:val="center"/>
          </w:tcPr>
          <w:p>
            <w:pPr>
              <w:spacing w:after="0" w:line="252" w:lineRule="auto"/>
            </w:pPr>
            <w:r>
              <w:rPr>
                <w:rFonts w:ascii="Aptos" w:hAnsi="Aptos" w:eastAsia="Aptos"/>
                <w:b w:val="0"/>
                <w:color w:val="1F2933"/>
                <w:sz w:val="19"/>
              </w:rPr>
              <w:t>Угроза жизни, пожар, серьёзная утечка данных, невозможность безопасного размещения.</w:t>
            </w:r>
          </w:p>
        </w:tc>
        <w:tc>
          <w:tcPr>
            <w:tcW w:type="dxa" w:w="3060"/>
            <w:tcMar>
              <w:top w:w="100" w:type="dxa"/>
              <w:start w:w="130" w:type="dxa"/>
              <w:bottom w:w="100" w:type="dxa"/>
              <w:end w:w="130" w:type="dxa"/>
            </w:tcMar>
            <w:vAlign w:val="center"/>
          </w:tcPr>
          <w:p>
            <w:pPr>
              <w:spacing w:after="0" w:line="252" w:lineRule="auto"/>
            </w:pPr>
            <w:r>
              <w:rPr>
                <w:rFonts w:ascii="Aptos" w:hAnsi="Aptos" w:eastAsia="Aptos"/>
                <w:b w:val="0"/>
                <w:color w:val="1F2933"/>
                <w:sz w:val="19"/>
              </w:rPr>
              <w:t>Немедленная реакция, CEO и собственник, emergency protocol, единый incident lead.</w:t>
            </w:r>
          </w:p>
        </w:tc>
      </w:tr>
      <w:tr>
        <w:trPr>
          <w:cantSplit/>
        </w:trPr>
        <w:tc>
          <w:tcPr>
            <w:tcW w:type="dxa" w:w="1560"/>
            <w:tcMar>
              <w:top w:w="100" w:type="dxa"/>
              <w:start w:w="130" w:type="dxa"/>
              <w:bottom w:w="100" w:type="dxa"/>
              <w:end w:w="130" w:type="dxa"/>
            </w:tcMar>
            <w:vAlign w:val="center"/>
            <w:shd w:fill="FAFBFC"/>
          </w:tcPr>
          <w:p>
            <w:pPr>
              <w:spacing w:after="0" w:line="252" w:lineRule="auto"/>
            </w:pPr>
            <w:r>
              <w:rPr>
                <w:rFonts w:ascii="Aptos" w:hAnsi="Aptos" w:eastAsia="Aptos"/>
                <w:b/>
                <w:color w:val="0B2545"/>
                <w:sz w:val="19"/>
              </w:rPr>
              <w:t>P1 Major</w:t>
            </w:r>
          </w:p>
        </w:tc>
        <w:tc>
          <w:tcPr>
            <w:tcW w:type="dxa" w:w="474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Овербукинг, значимый ущерб, длительная потеря ключевой услуги, публичный кризис.</w:t>
            </w:r>
          </w:p>
        </w:tc>
        <w:tc>
          <w:tcPr>
            <w:tcW w:type="dxa" w:w="306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Срочная стабилизация, компенсационное решение, root-cause review.</w:t>
            </w:r>
          </w:p>
        </w:tc>
      </w:tr>
      <w:tr>
        <w:trPr>
          <w:cantSplit/>
        </w:trPr>
        <w:tc>
          <w:tcPr>
            <w:tcW w:type="dxa" w:w="1560"/>
            <w:tcMar>
              <w:top w:w="100" w:type="dxa"/>
              <w:start w:w="130" w:type="dxa"/>
              <w:bottom w:w="100" w:type="dxa"/>
              <w:end w:w="130" w:type="dxa"/>
            </w:tcMar>
            <w:vAlign w:val="center"/>
          </w:tcPr>
          <w:p>
            <w:pPr>
              <w:spacing w:after="0" w:line="252" w:lineRule="auto"/>
            </w:pPr>
            <w:r>
              <w:rPr>
                <w:rFonts w:ascii="Aptos" w:hAnsi="Aptos" w:eastAsia="Aptos"/>
                <w:b/>
                <w:color w:val="0B2545"/>
                <w:sz w:val="19"/>
              </w:rPr>
              <w:t>P2 Service</w:t>
            </w:r>
          </w:p>
        </w:tc>
        <w:tc>
          <w:tcPr>
            <w:tcW w:type="dxa" w:w="4740"/>
            <w:tcMar>
              <w:top w:w="100" w:type="dxa"/>
              <w:start w:w="130" w:type="dxa"/>
              <w:bottom w:w="100" w:type="dxa"/>
              <w:end w:w="130" w:type="dxa"/>
            </w:tcMar>
            <w:vAlign w:val="center"/>
          </w:tcPr>
          <w:p>
            <w:pPr>
              <w:spacing w:after="0" w:line="252" w:lineRule="auto"/>
            </w:pPr>
            <w:r>
              <w:rPr>
                <w:rFonts w:ascii="Aptos" w:hAnsi="Aptos" w:eastAsia="Aptos"/>
                <w:b w:val="0"/>
                <w:color w:val="1F2933"/>
                <w:sz w:val="19"/>
              </w:rPr>
              <w:t>Уборка, оборудование, доступ, задержка ответа, нарушение обещанного стандарта.</w:t>
            </w:r>
          </w:p>
        </w:tc>
        <w:tc>
          <w:tcPr>
            <w:tcW w:type="dxa" w:w="3060"/>
            <w:tcMar>
              <w:top w:w="100" w:type="dxa"/>
              <w:start w:w="130" w:type="dxa"/>
              <w:bottom w:w="100" w:type="dxa"/>
              <w:end w:w="130" w:type="dxa"/>
            </w:tcMar>
            <w:vAlign w:val="center"/>
          </w:tcPr>
          <w:p>
            <w:pPr>
              <w:spacing w:after="0" w:line="252" w:lineRule="auto"/>
            </w:pPr>
            <w:r>
              <w:rPr>
                <w:rFonts w:ascii="Aptos" w:hAnsi="Aptos" w:eastAsia="Aptos"/>
                <w:b w:val="0"/>
                <w:color w:val="1F2933"/>
                <w:sz w:val="19"/>
              </w:rPr>
              <w:t>SLA, владелец задачи, подтверждение закрытия гостем или инспекцией.</w:t>
            </w:r>
          </w:p>
        </w:tc>
      </w:tr>
      <w:tr>
        <w:trPr>
          <w:cantSplit/>
        </w:trPr>
        <w:tc>
          <w:tcPr>
            <w:tcW w:type="dxa" w:w="1560"/>
            <w:tcMar>
              <w:top w:w="100" w:type="dxa"/>
              <w:start w:w="130" w:type="dxa"/>
              <w:bottom w:w="100" w:type="dxa"/>
              <w:end w:w="130" w:type="dxa"/>
            </w:tcMar>
            <w:vAlign w:val="center"/>
            <w:shd w:fill="FAFBFC"/>
          </w:tcPr>
          <w:p>
            <w:pPr>
              <w:spacing w:after="0" w:line="252" w:lineRule="auto"/>
            </w:pPr>
            <w:r>
              <w:rPr>
                <w:rFonts w:ascii="Aptos" w:hAnsi="Aptos" w:eastAsia="Aptos"/>
                <w:b/>
                <w:color w:val="0B2545"/>
                <w:sz w:val="19"/>
              </w:rPr>
              <w:t>P3 Improvement</w:t>
            </w:r>
          </w:p>
        </w:tc>
        <w:tc>
          <w:tcPr>
            <w:tcW w:type="dxa" w:w="474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Повторяющийся дефект или возможность улучшения без текущего ущерба.</w:t>
            </w:r>
          </w:p>
        </w:tc>
        <w:tc>
          <w:tcPr>
            <w:tcW w:type="dxa" w:w="306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Backlog, приоритет по частоте, стоимости и влиянию.</w:t>
            </w:r>
          </w:p>
        </w:tc>
      </w:tr>
    </w:tbl>
    <w:p>
      <w:pPr>
        <w:spacing w:before="0" w:after="40" w:line="264" w:lineRule="auto"/>
        <w:jc w:val="left"/>
      </w:pPr>
    </w:p>
    <w:p>
      <w:pPr>
        <w:spacing w:before="0" w:after="120" w:line="264" w:lineRule="auto"/>
        <w:jc w:val="left"/>
      </w:pPr>
      <w:r>
        <w:rPr>
          <w:rFonts w:ascii="Aptos" w:hAnsi="Aptos" w:eastAsia="Aptos"/>
          <w:b w:val="0"/>
          <w:i w:val="0"/>
          <w:color w:val="1F2933"/>
          <w:sz w:val="22"/>
        </w:rPr>
        <w:t>После P0/P1 проводится blameless review: факты, влияние, решение, компенсация, первопричина, контроль и владелец. Инцидент считается закрытым только после устранения причины либо принятого residual risk.</w:t>
      </w:r>
    </w:p>
    <w:p>
      <w:pPr>
        <w:pStyle w:val="Heading2"/>
        <w:keepNext/>
      </w:pPr>
      <w:r>
        <w:t>23.2. Право на бренд</w:t>
      </w:r>
    </w:p>
    <w:p>
      <w:pPr>
        <w:spacing w:before="0" w:after="120" w:line="264" w:lineRule="auto"/>
        <w:jc w:val="left"/>
      </w:pPr>
      <w:r>
        <w:rPr>
          <w:rFonts w:ascii="Aptos" w:hAnsi="Aptos" w:eastAsia="Aptos"/>
          <w:b w:val="0"/>
          <w:i w:val="0"/>
          <w:color w:val="1F2933"/>
          <w:sz w:val="22"/>
        </w:rPr>
        <w:t>Объект получает видимую маркировку myUNO после стабилизации и подтверждённого исполнения. Системное нарушение безопасности, достоверности, SLA или финансовой прозрачности запускает corrective plan; при неустранении маркировка приостанавливается, даже если договор продолжает действовать.</w:t>
      </w:r>
    </w:p>
    <w:p>
      <w:r>
        <w:br w:type="page"/>
      </w:r>
    </w:p>
    <w:p>
      <w:pPr>
        <w:pStyle w:val="Heading1"/>
        <w:keepNext/>
      </w:pPr>
      <w:r>
        <w:t>24. Данные, технологии и AI governance</w:t>
      </w:r>
    </w:p>
    <w:p>
      <w:pPr>
        <w:pStyle w:val="Heading2"/>
        <w:keepNext/>
      </w:pPr>
      <w:r>
        <w:t>24.1. Канонические идентификаторы</w:t>
      </w:r>
    </w:p>
    <w:p>
      <w:pPr>
        <w:spacing w:before="0" w:after="120" w:line="264" w:lineRule="auto"/>
        <w:jc w:val="left"/>
      </w:pPr>
      <w:r>
        <w:rPr>
          <w:rFonts w:ascii="Aptos" w:hAnsi="Aptos" w:eastAsia="Aptos"/>
          <w:b w:val="0"/>
          <w:i w:val="0"/>
          <w:color w:val="1F2933"/>
          <w:sz w:val="22"/>
        </w:rPr>
        <w:t>Party ID связывает роли человека или организации. Asset ID связывает физический актив; Unit ID — отдельный юнит; Mandate ID — полномочия; Booking ID — проживание; Deal ID — транзакцию; Incident ID — проблему; Document ID — доказательство; Payment ID — движение денег. Сущность создаётся один раз, а изменение ключевого статуса журналируется.</w:t>
      </w:r>
    </w:p>
    <w:p>
      <w:pPr>
        <w:pStyle w:val="Heading2"/>
        <w:keepNext/>
      </w:pPr>
      <w:r>
        <w:t>24.2. Источник истины</w:t>
      </w:r>
    </w:p>
    <w:tbl>
      <w:tblPr>
        <w:tblW w:type="dxa" w:w="9360"/>
        <w:jc w:val="left"/>
        <w:tblLayout w:type="fixed"/>
        <w:tblLook w:firstColumn="1" w:firstRow="1" w:lastColumn="0" w:lastRow="0" w:noHBand="0" w:noVBand="1" w:val="04A0"/>
        <w:tblInd w:w="120" w:type="dxa"/>
        <w:tblBorders>
          <w:top w:val="single" w:sz="6" w:space="0" w:color="D6DCE2"/>
          <w:left w:val="single" w:sz="6" w:space="0" w:color="D6DCE2"/>
          <w:bottom w:val="single" w:sz="6" w:space="0" w:color="D6DCE2"/>
          <w:right w:val="single" w:sz="6" w:space="0" w:color="D6DCE2"/>
          <w:insideH w:val="single" w:sz="6" w:space="0" w:color="D6DCE2"/>
          <w:insideV w:val="single" w:sz="6" w:space="0" w:color="D6DCE2"/>
        </w:tblBorders>
      </w:tblPr>
      <w:tblGrid>
        <w:gridCol w:w="2040"/>
        <w:gridCol w:w="3000"/>
        <w:gridCol w:w="4320"/>
      </w:tblGrid>
      <w:tr>
        <w:trPr>
          <w:tblHeader w:val="true"/>
          <w:cantSplit/>
        </w:trPr>
        <w:tc>
          <w:tcPr>
            <w:tcW w:type="dxa" w:w="2040"/>
            <w:shd w:fill="0B2545"/>
            <w:tcMar>
              <w:top w:w="100" w:type="dxa"/>
              <w:start w:w="130" w:type="dxa"/>
              <w:bottom w:w="100" w:type="dxa"/>
              <w:end w:w="130" w:type="dxa"/>
            </w:tcMar>
            <w:vAlign w:val="center"/>
          </w:tcPr>
          <w:p>
            <w:pPr>
              <w:spacing w:after="0" w:line="240" w:lineRule="auto"/>
            </w:pPr>
            <w:r>
              <w:rPr>
                <w:rFonts w:ascii="Aptos" w:hAnsi="Aptos" w:eastAsia="Aptos"/>
                <w:b/>
                <w:color w:val="FFFFFF"/>
                <w:sz w:val="19"/>
              </w:rPr>
              <w:t>КАТЕГОРИЯ</w:t>
            </w:r>
          </w:p>
        </w:tc>
        <w:tc>
          <w:tcPr>
            <w:tcW w:type="dxa" w:w="3000"/>
            <w:shd w:fill="0B2545"/>
            <w:tcMar>
              <w:top w:w="100" w:type="dxa"/>
              <w:start w:w="130" w:type="dxa"/>
              <w:bottom w:w="100" w:type="dxa"/>
              <w:end w:w="130" w:type="dxa"/>
            </w:tcMar>
            <w:vAlign w:val="center"/>
          </w:tcPr>
          <w:p>
            <w:pPr>
              <w:spacing w:after="0" w:line="240" w:lineRule="auto"/>
            </w:pPr>
            <w:r>
              <w:rPr>
                <w:rFonts w:ascii="Aptos" w:hAnsi="Aptos" w:eastAsia="Aptos"/>
                <w:b/>
                <w:color w:val="FFFFFF"/>
                <w:sz w:val="19"/>
              </w:rPr>
              <w:t>КАНОНИЧЕСКАЯ СИСТЕМА</w:t>
            </w:r>
          </w:p>
        </w:tc>
        <w:tc>
          <w:tcPr>
            <w:tcW w:type="dxa" w:w="4320"/>
            <w:shd w:fill="0B2545"/>
            <w:tcMar>
              <w:top w:w="100" w:type="dxa"/>
              <w:start w:w="130" w:type="dxa"/>
              <w:bottom w:w="100" w:type="dxa"/>
              <w:end w:w="130" w:type="dxa"/>
            </w:tcMar>
            <w:vAlign w:val="center"/>
          </w:tcPr>
          <w:p>
            <w:pPr>
              <w:spacing w:after="0" w:line="240" w:lineRule="auto"/>
            </w:pPr>
            <w:r>
              <w:rPr>
                <w:rFonts w:ascii="Aptos" w:hAnsi="Aptos" w:eastAsia="Aptos"/>
                <w:b/>
                <w:color w:val="FFFFFF"/>
                <w:sz w:val="19"/>
              </w:rPr>
              <w:t>ПРАВИЛО</w:t>
            </w:r>
          </w:p>
        </w:tc>
      </w:tr>
      <w:tr>
        <w:trPr>
          <w:cantSplit/>
        </w:trPr>
        <w:tc>
          <w:tcPr>
            <w:tcW w:type="dxa" w:w="2040"/>
            <w:tcMar>
              <w:top w:w="100" w:type="dxa"/>
              <w:start w:w="130" w:type="dxa"/>
              <w:bottom w:w="100" w:type="dxa"/>
              <w:end w:w="130" w:type="dxa"/>
            </w:tcMar>
            <w:vAlign w:val="center"/>
          </w:tcPr>
          <w:p>
            <w:pPr>
              <w:spacing w:after="0" w:line="252" w:lineRule="auto"/>
            </w:pPr>
            <w:r>
              <w:rPr>
                <w:rFonts w:ascii="Aptos" w:hAnsi="Aptos" w:eastAsia="Aptos"/>
                <w:b/>
                <w:color w:val="0B2545"/>
                <w:sz w:val="19"/>
              </w:rPr>
              <w:t>Отношения и pipeline</w:t>
            </w:r>
          </w:p>
        </w:tc>
        <w:tc>
          <w:tcPr>
            <w:tcW w:type="dxa" w:w="3000"/>
            <w:tcMar>
              <w:top w:w="100" w:type="dxa"/>
              <w:start w:w="130" w:type="dxa"/>
              <w:bottom w:w="100" w:type="dxa"/>
              <w:end w:w="130" w:type="dxa"/>
            </w:tcMar>
            <w:vAlign w:val="center"/>
          </w:tcPr>
          <w:p>
            <w:pPr>
              <w:spacing w:after="0" w:line="252" w:lineRule="auto"/>
            </w:pPr>
            <w:r>
              <w:rPr>
                <w:rFonts w:ascii="Aptos" w:hAnsi="Aptos" w:eastAsia="Aptos"/>
                <w:b w:val="0"/>
                <w:color w:val="1F2933"/>
                <w:sz w:val="19"/>
              </w:rPr>
              <w:t>CRM</w:t>
            </w:r>
          </w:p>
        </w:tc>
        <w:tc>
          <w:tcPr>
            <w:tcW w:type="dxa" w:w="4320"/>
            <w:tcMar>
              <w:top w:w="100" w:type="dxa"/>
              <w:start w:w="130" w:type="dxa"/>
              <w:bottom w:w="100" w:type="dxa"/>
              <w:end w:w="130" w:type="dxa"/>
            </w:tcMar>
            <w:vAlign w:val="center"/>
          </w:tcPr>
          <w:p>
            <w:pPr>
              <w:spacing w:after="0" w:line="252" w:lineRule="auto"/>
            </w:pPr>
            <w:r>
              <w:rPr>
                <w:rFonts w:ascii="Aptos" w:hAnsi="Aptos" w:eastAsia="Aptos"/>
                <w:b w:val="0"/>
                <w:color w:val="1F2933"/>
                <w:sz w:val="19"/>
              </w:rPr>
              <w:t>Один Party ID, владелец отношений, источник, согласия и next step.</w:t>
            </w:r>
          </w:p>
        </w:tc>
      </w:tr>
      <w:tr>
        <w:trPr>
          <w:cantSplit/>
        </w:trPr>
        <w:tc>
          <w:tcPr>
            <w:tcW w:type="dxa" w:w="2040"/>
            <w:tcMar>
              <w:top w:w="100" w:type="dxa"/>
              <w:start w:w="130" w:type="dxa"/>
              <w:bottom w:w="100" w:type="dxa"/>
              <w:end w:w="130" w:type="dxa"/>
            </w:tcMar>
            <w:vAlign w:val="center"/>
            <w:shd w:fill="FAFBFC"/>
          </w:tcPr>
          <w:p>
            <w:pPr>
              <w:spacing w:after="0" w:line="252" w:lineRule="auto"/>
            </w:pPr>
            <w:r>
              <w:rPr>
                <w:rFonts w:ascii="Aptos" w:hAnsi="Aptos" w:eastAsia="Aptos"/>
                <w:b/>
                <w:color w:val="0B2545"/>
                <w:sz w:val="19"/>
              </w:rPr>
              <w:t>Актив и юнит</w:t>
            </w:r>
          </w:p>
        </w:tc>
        <w:tc>
          <w:tcPr>
            <w:tcW w:type="dxa" w:w="300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Asset Registry</w:t>
            </w:r>
          </w:p>
        </w:tc>
        <w:tc>
          <w:tcPr>
            <w:tcW w:type="dxa" w:w="432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Уникальные Asset/Unit ID, статус, права, документы и история.</w:t>
            </w:r>
          </w:p>
        </w:tc>
      </w:tr>
      <w:tr>
        <w:trPr>
          <w:cantSplit/>
        </w:trPr>
        <w:tc>
          <w:tcPr>
            <w:tcW w:type="dxa" w:w="2040"/>
            <w:tcMar>
              <w:top w:w="100" w:type="dxa"/>
              <w:start w:w="130" w:type="dxa"/>
              <w:bottom w:w="100" w:type="dxa"/>
              <w:end w:w="130" w:type="dxa"/>
            </w:tcMar>
            <w:vAlign w:val="center"/>
          </w:tcPr>
          <w:p>
            <w:pPr>
              <w:spacing w:after="0" w:line="252" w:lineRule="auto"/>
            </w:pPr>
            <w:r>
              <w:rPr>
                <w:rFonts w:ascii="Aptos" w:hAnsi="Aptos" w:eastAsia="Aptos"/>
                <w:b/>
                <w:color w:val="0B2545"/>
                <w:sz w:val="19"/>
              </w:rPr>
              <w:t>Тарифы и бронирования</w:t>
            </w:r>
          </w:p>
        </w:tc>
        <w:tc>
          <w:tcPr>
            <w:tcW w:type="dxa" w:w="3000"/>
            <w:tcMar>
              <w:top w:w="100" w:type="dxa"/>
              <w:start w:w="130" w:type="dxa"/>
              <w:bottom w:w="100" w:type="dxa"/>
              <w:end w:w="130" w:type="dxa"/>
            </w:tcMar>
            <w:vAlign w:val="center"/>
          </w:tcPr>
          <w:p>
            <w:pPr>
              <w:spacing w:after="0" w:line="252" w:lineRule="auto"/>
            </w:pPr>
            <w:r>
              <w:rPr>
                <w:rFonts w:ascii="Aptos" w:hAnsi="Aptos" w:eastAsia="Aptos"/>
                <w:b w:val="0"/>
                <w:color w:val="1F2933"/>
                <w:sz w:val="19"/>
              </w:rPr>
              <w:t>PMS / channel manager</w:t>
            </w:r>
          </w:p>
        </w:tc>
        <w:tc>
          <w:tcPr>
            <w:tcW w:type="dxa" w:w="4320"/>
            <w:tcMar>
              <w:top w:w="100" w:type="dxa"/>
              <w:start w:w="130" w:type="dxa"/>
              <w:bottom w:w="100" w:type="dxa"/>
              <w:end w:w="130" w:type="dxa"/>
            </w:tcMar>
            <w:vAlign w:val="center"/>
          </w:tcPr>
          <w:p>
            <w:pPr>
              <w:spacing w:after="0" w:line="252" w:lineRule="auto"/>
            </w:pPr>
            <w:r>
              <w:rPr>
                <w:rFonts w:ascii="Aptos" w:hAnsi="Aptos" w:eastAsia="Aptos"/>
                <w:b w:val="0"/>
                <w:color w:val="1F2933"/>
                <w:sz w:val="19"/>
              </w:rPr>
              <w:t>Единая availability и транзакционная запись; сайт не создаёт параллельную правду.</w:t>
            </w:r>
          </w:p>
        </w:tc>
      </w:tr>
      <w:tr>
        <w:trPr>
          <w:cantSplit/>
        </w:trPr>
        <w:tc>
          <w:tcPr>
            <w:tcW w:type="dxa" w:w="2040"/>
            <w:tcMar>
              <w:top w:w="100" w:type="dxa"/>
              <w:start w:w="130" w:type="dxa"/>
              <w:bottom w:w="100" w:type="dxa"/>
              <w:end w:w="130" w:type="dxa"/>
            </w:tcMar>
            <w:vAlign w:val="center"/>
            <w:shd w:fill="FAFBFC"/>
          </w:tcPr>
          <w:p>
            <w:pPr>
              <w:spacing w:after="0" w:line="252" w:lineRule="auto"/>
            </w:pPr>
            <w:r>
              <w:rPr>
                <w:rFonts w:ascii="Aptos" w:hAnsi="Aptos" w:eastAsia="Aptos"/>
                <w:b/>
                <w:color w:val="0B2545"/>
                <w:sz w:val="19"/>
              </w:rPr>
              <w:t>Операционные задачи</w:t>
            </w:r>
          </w:p>
        </w:tc>
        <w:tc>
          <w:tcPr>
            <w:tcW w:type="dxa" w:w="300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Operations / Service Desk</w:t>
            </w:r>
          </w:p>
        </w:tc>
        <w:tc>
          <w:tcPr>
            <w:tcW w:type="dxa" w:w="432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SLA, исполнитель, доказательство и закрытие.</w:t>
            </w:r>
          </w:p>
        </w:tc>
      </w:tr>
      <w:tr>
        <w:trPr>
          <w:cantSplit/>
        </w:trPr>
        <w:tc>
          <w:tcPr>
            <w:tcW w:type="dxa" w:w="2040"/>
            <w:tcMar>
              <w:top w:w="100" w:type="dxa"/>
              <w:start w:w="130" w:type="dxa"/>
              <w:bottom w:w="100" w:type="dxa"/>
              <w:end w:w="130" w:type="dxa"/>
            </w:tcMar>
            <w:vAlign w:val="center"/>
          </w:tcPr>
          <w:p>
            <w:pPr>
              <w:spacing w:after="0" w:line="252" w:lineRule="auto"/>
            </w:pPr>
            <w:r>
              <w:rPr>
                <w:rFonts w:ascii="Aptos" w:hAnsi="Aptos" w:eastAsia="Aptos"/>
                <w:b/>
                <w:color w:val="0B2545"/>
                <w:sz w:val="19"/>
              </w:rPr>
              <w:t>Финансы</w:t>
            </w:r>
          </w:p>
        </w:tc>
        <w:tc>
          <w:tcPr>
            <w:tcW w:type="dxa" w:w="3000"/>
            <w:tcMar>
              <w:top w:w="100" w:type="dxa"/>
              <w:start w:w="130" w:type="dxa"/>
              <w:bottom w:w="100" w:type="dxa"/>
              <w:end w:w="130" w:type="dxa"/>
            </w:tcMar>
            <w:vAlign w:val="center"/>
          </w:tcPr>
          <w:p>
            <w:pPr>
              <w:spacing w:after="0" w:line="252" w:lineRule="auto"/>
            </w:pPr>
            <w:r>
              <w:rPr>
                <w:rFonts w:ascii="Aptos" w:hAnsi="Aptos" w:eastAsia="Aptos"/>
                <w:b w:val="0"/>
                <w:color w:val="1F2933"/>
                <w:sz w:val="19"/>
              </w:rPr>
              <w:t>Accounting + bank records</w:t>
            </w:r>
          </w:p>
        </w:tc>
        <w:tc>
          <w:tcPr>
            <w:tcW w:type="dxa" w:w="4320"/>
            <w:tcMar>
              <w:top w:w="100" w:type="dxa"/>
              <w:start w:w="130" w:type="dxa"/>
              <w:bottom w:w="100" w:type="dxa"/>
              <w:end w:w="130" w:type="dxa"/>
            </w:tcMar>
            <w:vAlign w:val="center"/>
          </w:tcPr>
          <w:p>
            <w:pPr>
              <w:spacing w:after="0" w:line="252" w:lineRule="auto"/>
            </w:pPr>
            <w:r>
              <w:rPr>
                <w:rFonts w:ascii="Aptos" w:hAnsi="Aptos" w:eastAsia="Aptos"/>
                <w:b w:val="0"/>
                <w:color w:val="1F2933"/>
                <w:sz w:val="19"/>
              </w:rPr>
              <w:t>Проводка, invoice, payment, reconciliation и approval.</w:t>
            </w:r>
          </w:p>
        </w:tc>
      </w:tr>
      <w:tr>
        <w:trPr>
          <w:cantSplit/>
        </w:trPr>
        <w:tc>
          <w:tcPr>
            <w:tcW w:type="dxa" w:w="2040"/>
            <w:tcMar>
              <w:top w:w="100" w:type="dxa"/>
              <w:start w:w="130" w:type="dxa"/>
              <w:bottom w:w="100" w:type="dxa"/>
              <w:end w:w="130" w:type="dxa"/>
            </w:tcMar>
            <w:vAlign w:val="center"/>
            <w:shd w:fill="FAFBFC"/>
          </w:tcPr>
          <w:p>
            <w:pPr>
              <w:spacing w:after="0" w:line="252" w:lineRule="auto"/>
            </w:pPr>
            <w:r>
              <w:rPr>
                <w:rFonts w:ascii="Aptos" w:hAnsi="Aptos" w:eastAsia="Aptos"/>
                <w:b/>
                <w:color w:val="0B2545"/>
                <w:sz w:val="19"/>
              </w:rPr>
              <w:t>Проверенные факты</w:t>
            </w:r>
          </w:p>
        </w:tc>
        <w:tc>
          <w:tcPr>
            <w:tcW w:type="dxa" w:w="300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ClearView Evidence Registry</w:t>
            </w:r>
          </w:p>
        </w:tc>
        <w:tc>
          <w:tcPr>
            <w:tcW w:type="dxa" w:w="432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Источник, статус, дата, reviewer и неизвестные факторы.</w:t>
            </w:r>
          </w:p>
        </w:tc>
      </w:tr>
      <w:tr>
        <w:trPr>
          <w:cantSplit/>
        </w:trPr>
        <w:tc>
          <w:tcPr>
            <w:tcW w:type="dxa" w:w="2040"/>
            <w:tcMar>
              <w:top w:w="100" w:type="dxa"/>
              <w:start w:w="130" w:type="dxa"/>
              <w:bottom w:w="100" w:type="dxa"/>
              <w:end w:w="130" w:type="dxa"/>
            </w:tcMar>
            <w:vAlign w:val="center"/>
          </w:tcPr>
          <w:p>
            <w:pPr>
              <w:spacing w:after="0" w:line="252" w:lineRule="auto"/>
            </w:pPr>
            <w:r>
              <w:rPr>
                <w:rFonts w:ascii="Aptos" w:hAnsi="Aptos" w:eastAsia="Aptos"/>
                <w:b/>
                <w:color w:val="0B2545"/>
                <w:sz w:val="19"/>
              </w:rPr>
              <w:t>Контент и права</w:t>
            </w:r>
          </w:p>
        </w:tc>
        <w:tc>
          <w:tcPr>
            <w:tcW w:type="dxa" w:w="3000"/>
            <w:tcMar>
              <w:top w:w="100" w:type="dxa"/>
              <w:start w:w="130" w:type="dxa"/>
              <w:bottom w:w="100" w:type="dxa"/>
              <w:end w:w="130" w:type="dxa"/>
            </w:tcMar>
            <w:vAlign w:val="center"/>
          </w:tcPr>
          <w:p>
            <w:pPr>
              <w:spacing w:after="0" w:line="252" w:lineRule="auto"/>
            </w:pPr>
            <w:r>
              <w:rPr>
                <w:rFonts w:ascii="Aptos" w:hAnsi="Aptos" w:eastAsia="Aptos"/>
                <w:b w:val="0"/>
                <w:color w:val="1F2933"/>
                <w:sz w:val="19"/>
              </w:rPr>
              <w:t>CMS / DAM</w:t>
            </w:r>
          </w:p>
        </w:tc>
        <w:tc>
          <w:tcPr>
            <w:tcW w:type="dxa" w:w="4320"/>
            <w:tcMar>
              <w:top w:w="100" w:type="dxa"/>
              <w:start w:w="130" w:type="dxa"/>
              <w:bottom w:w="100" w:type="dxa"/>
              <w:end w:w="130" w:type="dxa"/>
            </w:tcMar>
            <w:vAlign w:val="center"/>
          </w:tcPr>
          <w:p>
            <w:pPr>
              <w:spacing w:after="0" w:line="252" w:lineRule="auto"/>
            </w:pPr>
            <w:r>
              <w:rPr>
                <w:rFonts w:ascii="Aptos" w:hAnsi="Aptos" w:eastAsia="Aptos"/>
                <w:b w:val="0"/>
                <w:color w:val="1F2933"/>
                <w:sz w:val="19"/>
              </w:rPr>
              <w:t>Версия, asset, consent, лицензия и срок использования.</w:t>
            </w:r>
          </w:p>
        </w:tc>
      </w:tr>
    </w:tbl>
    <w:p>
      <w:pPr>
        <w:spacing w:before="0" w:after="40" w:line="264" w:lineRule="auto"/>
        <w:jc w:val="left"/>
      </w:pPr>
    </w:p>
    <w:p>
      <w:pPr>
        <w:spacing w:before="0" w:after="120" w:line="264" w:lineRule="auto"/>
        <w:jc w:val="left"/>
      </w:pPr>
      <w:r>
        <w:rPr>
          <w:rFonts w:ascii="Aptos" w:hAnsi="Aptos" w:eastAsia="Aptos"/>
          <w:b w:val="0"/>
          <w:i w:val="0"/>
          <w:color w:val="1F2933"/>
          <w:sz w:val="22"/>
        </w:rPr>
        <w:t>myUNO является управляющим и клиентским слоем, но не обязано заменять зрелые PMS, бухгалтерию или платёжную инфраструктуру. Интеграция объединяет события; она не создаёт вторую несверяемую базу.</w:t>
      </w:r>
    </w:p>
    <w:p>
      <w:pPr>
        <w:pStyle w:val="Heading2"/>
        <w:keepNext/>
      </w:pPr>
      <w:r>
        <w:t>24.3. Право на данные и завершение мандата</w:t>
      </w:r>
    </w:p>
    <w:p>
      <w:pPr>
        <w:spacing w:before="0" w:after="120" w:line="264" w:lineRule="auto"/>
        <w:jc w:val="left"/>
      </w:pPr>
      <w:r>
        <w:rPr>
          <w:rFonts w:ascii="Aptos" w:hAnsi="Aptos" w:eastAsia="Aptos"/>
          <w:b w:val="0"/>
          <w:i w:val="0"/>
          <w:color w:val="1F2933"/>
          <w:sz w:val="22"/>
        </w:rPr>
        <w:t>Персональные данные не являются абсолютной собственностью стороны: они обрабатываются по цели, договору, согласию и применимому праву. Собственник получает данные актива, расчёты, документы и согласованный operational handover. Ignatev Estate сохраняет корпоративный audit trail, законно полученные отношения, агрегированное знание и маркетинговые разрешения, если договор и право это допускают. Экспорт не включает чужие конфиденциальные данные или необоснованный доступ к прямым каналам.</w:t>
      </w:r>
    </w:p>
    <w:p>
      <w:pPr>
        <w:pStyle w:val="Heading2"/>
        <w:keepNext/>
      </w:pPr>
      <w:r>
        <w:t>24.4. Безопасность и непрерывность</w:t>
      </w:r>
    </w:p>
    <w:p>
      <w:pPr>
        <w:pStyle w:val="ListBullet"/>
        <w:spacing w:after="80" w:line="264" w:lineRule="auto"/>
      </w:pPr>
      <w:r>
        <w:rPr>
          <w:rFonts w:ascii="Aptos" w:hAnsi="Aptos" w:eastAsia="Aptos"/>
          <w:color w:val="1F2933"/>
          <w:sz w:val="22"/>
        </w:rPr>
        <w:t>2FA для привилегированных и корпоративных аккаунтов; role-based access и принцип минимальных прав.</w:t>
      </w:r>
    </w:p>
    <w:p>
      <w:pPr>
        <w:pStyle w:val="ListBullet"/>
        <w:spacing w:after="80" w:line="264" w:lineRule="auto"/>
      </w:pPr>
      <w:r>
        <w:rPr>
          <w:rFonts w:ascii="Aptos" w:hAnsi="Aptos" w:eastAsia="Aptos"/>
          <w:color w:val="1F2933"/>
          <w:sz w:val="22"/>
        </w:rPr>
        <w:t>Row-Level Security для клиентских и операционных таблиц; запрет публичного доступа к чувствительным полям.</w:t>
      </w:r>
    </w:p>
    <w:p>
      <w:pPr>
        <w:pStyle w:val="ListBullet"/>
        <w:spacing w:after="80" w:line="264" w:lineRule="auto"/>
      </w:pPr>
      <w:r>
        <w:rPr>
          <w:rFonts w:ascii="Aptos" w:hAnsi="Aptos" w:eastAsia="Aptos"/>
          <w:color w:val="1F2933"/>
          <w:sz w:val="22"/>
        </w:rPr>
        <w:t>Audit log для ключевых статусов, экспортов, цен, approvals и прав доступа.</w:t>
      </w:r>
    </w:p>
    <w:p>
      <w:pPr>
        <w:pStyle w:val="ListBullet"/>
        <w:spacing w:after="80" w:line="264" w:lineRule="auto"/>
      </w:pPr>
      <w:r>
        <w:rPr>
          <w:rFonts w:ascii="Aptos" w:hAnsi="Aptos" w:eastAsia="Aptos"/>
          <w:color w:val="1F2933"/>
          <w:sz w:val="22"/>
        </w:rPr>
        <w:t>Резервное копирование, проверка восстановления, владелец доменов и оплаченный production plan без остановки за неактивность.</w:t>
      </w:r>
    </w:p>
    <w:p>
      <w:pPr>
        <w:pStyle w:val="ListBullet"/>
        <w:spacing w:after="80" w:line="264" w:lineRule="auto"/>
      </w:pPr>
      <w:r>
        <w:rPr>
          <w:rFonts w:ascii="Aptos" w:hAnsi="Aptos" w:eastAsia="Aptos"/>
          <w:color w:val="1F2933"/>
          <w:sz w:val="22"/>
        </w:rPr>
        <w:t>Мониторинг availability, booking flow, платежей, интеграций, performance и accessibility; релиз не считается успешным без проверок desktop и mobile.</w:t>
      </w:r>
    </w:p>
    <w:p>
      <w:pPr>
        <w:pStyle w:val="ListBullet"/>
        <w:spacing w:after="80" w:line="264" w:lineRule="auto"/>
      </w:pPr>
      <w:r>
        <w:rPr>
          <w:rFonts w:ascii="Aptos" w:hAnsi="Aptos" w:eastAsia="Aptos"/>
          <w:color w:val="1F2933"/>
          <w:sz w:val="22"/>
        </w:rPr>
        <w:t>Доступ прекращается немедленно при уходе сотрудника или партнёра; исключения документируются.</w:t>
      </w:r>
    </w:p>
    <w:p>
      <w:pPr>
        <w:pStyle w:val="Heading2"/>
        <w:keepNext/>
      </w:pPr>
      <w:r>
        <w:t>24.5. AI governance</w:t>
      </w:r>
    </w:p>
    <w:p>
      <w:pPr>
        <w:spacing w:before="0" w:after="120" w:line="264" w:lineRule="auto"/>
        <w:jc w:val="left"/>
      </w:pPr>
      <w:r>
        <w:rPr>
          <w:rFonts w:ascii="Aptos" w:hAnsi="Aptos" w:eastAsia="Aptos"/>
          <w:b w:val="0"/>
          <w:i w:val="0"/>
          <w:color w:val="1F2933"/>
          <w:sz w:val="22"/>
        </w:rPr>
        <w:t>AI помогает классифицировать, искать, резюмировать, готовить черновик, выявлять исключение и предлагать следующий шаг. Он не является владельцем решения и не изменяет первичный бизнес-статус без разрешённого human approval.</w:t>
      </w:r>
    </w:p>
    <w:tbl>
      <w:tblPr>
        <w:tblW w:type="dxa" w:w="9360"/>
        <w:jc w:val="left"/>
        <w:tblLayout w:type="fixed"/>
        <w:tblLook w:firstColumn="1" w:firstRow="1" w:lastColumn="0" w:lastRow="0" w:noHBand="0" w:noVBand="1" w:val="04A0"/>
        <w:tblInd w:w="120" w:type="dxa"/>
        <w:tblBorders>
          <w:top w:val="single" w:sz="6" w:space="0" w:color="D6DCE2"/>
          <w:left w:val="single" w:sz="6" w:space="0" w:color="D6DCE2"/>
          <w:bottom w:val="single" w:sz="6" w:space="0" w:color="D6DCE2"/>
          <w:right w:val="single" w:sz="6" w:space="0" w:color="D6DCE2"/>
          <w:insideH w:val="single" w:sz="6" w:space="0" w:color="D6DCE2"/>
          <w:insideV w:val="single" w:sz="6" w:space="0" w:color="D6DCE2"/>
        </w:tblBorders>
      </w:tblPr>
      <w:tblGrid>
        <w:gridCol w:w="4680"/>
        <w:gridCol w:w="4680"/>
      </w:tblGrid>
      <w:tr>
        <w:trPr>
          <w:tblHeader w:val="true"/>
          <w:cantSplit/>
        </w:trPr>
        <w:tc>
          <w:tcPr>
            <w:tcW w:type="dxa" w:w="4680"/>
            <w:shd w:fill="0B2545"/>
            <w:tcMar>
              <w:top w:w="100" w:type="dxa"/>
              <w:start w:w="130" w:type="dxa"/>
              <w:bottom w:w="100" w:type="dxa"/>
              <w:end w:w="130" w:type="dxa"/>
            </w:tcMar>
            <w:vAlign w:val="center"/>
          </w:tcPr>
          <w:p>
            <w:pPr>
              <w:spacing w:after="0" w:line="240" w:lineRule="auto"/>
            </w:pPr>
            <w:r>
              <w:rPr>
                <w:rFonts w:ascii="Aptos" w:hAnsi="Aptos" w:eastAsia="Aptos"/>
                <w:b/>
                <w:color w:val="FFFFFF"/>
                <w:sz w:val="19"/>
              </w:rPr>
              <w:t>AI МОЖЕТ ПОДГОТОВИТЬ</w:t>
            </w:r>
          </w:p>
        </w:tc>
        <w:tc>
          <w:tcPr>
            <w:tcW w:type="dxa" w:w="4680"/>
            <w:shd w:fill="0B2545"/>
            <w:tcMar>
              <w:top w:w="100" w:type="dxa"/>
              <w:start w:w="130" w:type="dxa"/>
              <w:bottom w:w="100" w:type="dxa"/>
              <w:end w:w="130" w:type="dxa"/>
            </w:tcMar>
            <w:vAlign w:val="center"/>
          </w:tcPr>
          <w:p>
            <w:pPr>
              <w:spacing w:after="0" w:line="240" w:lineRule="auto"/>
            </w:pPr>
            <w:r>
              <w:rPr>
                <w:rFonts w:ascii="Aptos" w:hAnsi="Aptos" w:eastAsia="Aptos"/>
                <w:b/>
                <w:color w:val="FFFFFF"/>
                <w:sz w:val="19"/>
              </w:rPr>
              <w:t>ТРЕБУЕТ ЧЕЛОВЕКА</w:t>
            </w:r>
          </w:p>
        </w:tc>
      </w:tr>
      <w:tr>
        <w:trPr>
          <w:cantSplit/>
        </w:trPr>
        <w:tc>
          <w:tcPr>
            <w:tcW w:type="dxa" w:w="4680"/>
            <w:tcMar>
              <w:top w:w="100" w:type="dxa"/>
              <w:start w:w="130" w:type="dxa"/>
              <w:bottom w:w="100" w:type="dxa"/>
              <w:end w:w="130" w:type="dxa"/>
            </w:tcMar>
            <w:vAlign w:val="center"/>
          </w:tcPr>
          <w:p>
            <w:pPr>
              <w:spacing w:after="0" w:line="252" w:lineRule="auto"/>
            </w:pPr>
            <w:r>
              <w:rPr>
                <w:rFonts w:ascii="Aptos" w:hAnsi="Aptos" w:eastAsia="Aptos"/>
                <w:b/>
                <w:color w:val="0B2545"/>
                <w:sz w:val="19"/>
              </w:rPr>
              <w:t>Черновик сообщения, summary, теги, поиск дублей и suggested task.</w:t>
            </w:r>
          </w:p>
        </w:tc>
        <w:tc>
          <w:tcPr>
            <w:tcW w:type="dxa" w:w="4680"/>
            <w:tcMar>
              <w:top w:w="100" w:type="dxa"/>
              <w:start w:w="130" w:type="dxa"/>
              <w:bottom w:w="100" w:type="dxa"/>
              <w:end w:w="130" w:type="dxa"/>
            </w:tcMar>
            <w:vAlign w:val="center"/>
          </w:tcPr>
          <w:p>
            <w:pPr>
              <w:spacing w:after="0" w:line="252" w:lineRule="auto"/>
            </w:pPr>
            <w:r>
              <w:rPr>
                <w:rFonts w:ascii="Aptos" w:hAnsi="Aptos" w:eastAsia="Aptos"/>
                <w:b w:val="0"/>
                <w:color w:val="1F2933"/>
                <w:sz w:val="19"/>
              </w:rPr>
              <w:t>Отправка существенного обещания собственнику, покупателю или гостю.</w:t>
            </w:r>
          </w:p>
        </w:tc>
      </w:tr>
      <w:tr>
        <w:trPr>
          <w:cantSplit/>
        </w:trPr>
        <w:tc>
          <w:tcPr>
            <w:tcW w:type="dxa" w:w="4680"/>
            <w:tcMar>
              <w:top w:w="100" w:type="dxa"/>
              <w:start w:w="130" w:type="dxa"/>
              <w:bottom w:w="100" w:type="dxa"/>
              <w:end w:w="130" w:type="dxa"/>
            </w:tcMar>
            <w:vAlign w:val="center"/>
            <w:shd w:fill="FAFBFC"/>
          </w:tcPr>
          <w:p>
            <w:pPr>
              <w:spacing w:after="0" w:line="252" w:lineRule="auto"/>
            </w:pPr>
            <w:r>
              <w:rPr>
                <w:rFonts w:ascii="Aptos" w:hAnsi="Aptos" w:eastAsia="Aptos"/>
                <w:b/>
                <w:color w:val="0B2545"/>
                <w:sz w:val="19"/>
              </w:rPr>
              <w:t>Сценарный расчёт и выявление аномалии.</w:t>
            </w:r>
          </w:p>
        </w:tc>
        <w:tc>
          <w:tcPr>
            <w:tcW w:type="dxa" w:w="468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Цена вне утверждённых правил, платёж, refund или финансовое обязательство.</w:t>
            </w:r>
          </w:p>
        </w:tc>
      </w:tr>
      <w:tr>
        <w:trPr>
          <w:cantSplit/>
        </w:trPr>
        <w:tc>
          <w:tcPr>
            <w:tcW w:type="dxa" w:w="4680"/>
            <w:tcMar>
              <w:top w:w="100" w:type="dxa"/>
              <w:start w:w="130" w:type="dxa"/>
              <w:bottom w:w="100" w:type="dxa"/>
              <w:end w:w="130" w:type="dxa"/>
            </w:tcMar>
            <w:vAlign w:val="center"/>
          </w:tcPr>
          <w:p>
            <w:pPr>
              <w:spacing w:after="0" w:line="252" w:lineRule="auto"/>
            </w:pPr>
            <w:r>
              <w:rPr>
                <w:rFonts w:ascii="Aptos" w:hAnsi="Aptos" w:eastAsia="Aptos"/>
                <w:b/>
                <w:color w:val="0B2545"/>
                <w:sz w:val="19"/>
              </w:rPr>
              <w:t>Сбор доказательств и draft ClearView note.</w:t>
            </w:r>
          </w:p>
        </w:tc>
        <w:tc>
          <w:tcPr>
            <w:tcW w:type="dxa" w:w="4680"/>
            <w:tcMar>
              <w:top w:w="100" w:type="dxa"/>
              <w:start w:w="130" w:type="dxa"/>
              <w:bottom w:w="100" w:type="dxa"/>
              <w:end w:w="130" w:type="dxa"/>
            </w:tcMar>
            <w:vAlign w:val="center"/>
          </w:tcPr>
          <w:p>
            <w:pPr>
              <w:spacing w:after="0" w:line="252" w:lineRule="auto"/>
            </w:pPr>
            <w:r>
              <w:rPr>
                <w:rFonts w:ascii="Aptos" w:hAnsi="Aptos" w:eastAsia="Aptos"/>
                <w:b w:val="0"/>
                <w:color w:val="1F2933"/>
                <w:sz w:val="19"/>
              </w:rPr>
              <w:t>Юридический статус, инвестиционный вывод и публикация рейтинга.</w:t>
            </w:r>
          </w:p>
        </w:tc>
      </w:tr>
      <w:tr>
        <w:trPr>
          <w:cantSplit/>
        </w:trPr>
        <w:tc>
          <w:tcPr>
            <w:tcW w:type="dxa" w:w="4680"/>
            <w:tcMar>
              <w:top w:w="100" w:type="dxa"/>
              <w:start w:w="130" w:type="dxa"/>
              <w:bottom w:w="100" w:type="dxa"/>
              <w:end w:w="130" w:type="dxa"/>
            </w:tcMar>
            <w:vAlign w:val="center"/>
            <w:shd w:fill="FAFBFC"/>
          </w:tcPr>
          <w:p>
            <w:pPr>
              <w:spacing w:after="0" w:line="252" w:lineRule="auto"/>
            </w:pPr>
            <w:r>
              <w:rPr>
                <w:rFonts w:ascii="Aptos" w:hAnsi="Aptos" w:eastAsia="Aptos"/>
                <w:b/>
                <w:color w:val="0B2545"/>
                <w:sz w:val="19"/>
              </w:rPr>
              <w:t>Рекомендованный owner, stage или next step.</w:t>
            </w:r>
          </w:p>
        </w:tc>
        <w:tc>
          <w:tcPr>
            <w:tcW w:type="dxa" w:w="468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Смена владельца лида, закрытие сделки или удаление записи.</w:t>
            </w:r>
          </w:p>
        </w:tc>
      </w:tr>
    </w:tbl>
    <w:p>
      <w:pPr>
        <w:spacing w:before="0" w:after="40" w:line="264" w:lineRule="auto"/>
        <w:jc w:val="left"/>
      </w:pPr>
    </w:p>
    <w:p>
      <w:pPr>
        <w:pStyle w:val="Heading1"/>
        <w:keepNext/>
      </w:pPr>
      <w:r>
        <w:t>25. Организация, полномочия и управленческий ритм</w:t>
      </w:r>
    </w:p>
    <w:p>
      <w:pPr>
        <w:pStyle w:val="Heading2"/>
        <w:keepNext/>
      </w:pPr>
      <w:r>
        <w:t>25.1. Функциональная архитектура</w:t>
      </w:r>
    </w:p>
    <w:p>
      <w:pPr>
        <w:spacing w:before="0" w:after="120" w:line="264" w:lineRule="auto"/>
        <w:jc w:val="left"/>
      </w:pPr>
      <w:r>
        <w:rPr>
          <w:rFonts w:ascii="Aptos" w:hAnsi="Aptos" w:eastAsia="Aptos"/>
          <w:b w:val="0"/>
          <w:i w:val="0"/>
          <w:color w:val="1F2933"/>
          <w:sz w:val="22"/>
        </w:rPr>
        <w:t>Внутри компании всегда остаются: отношения с собственником; инвестиционное суждение; стандарт; data governance; коммерческие правила; контроль качества; финансовая сверка и окончательное решение по существенным конфликтам. Физическое исполнение может передаваться квалифицированным партнёрам, но не ответственность за допуск и контроль.</w:t>
      </w:r>
    </w:p>
    <w:tbl>
      <w:tblPr>
        <w:tblW w:type="dxa" w:w="9360"/>
        <w:jc w:val="left"/>
        <w:tblLayout w:type="fixed"/>
        <w:tblLook w:firstColumn="1" w:firstRow="1" w:lastColumn="0" w:lastRow="0" w:noHBand="0" w:noVBand="1" w:val="04A0"/>
        <w:tblInd w:w="120" w:type="dxa"/>
        <w:tblBorders>
          <w:top w:val="single" w:sz="6" w:space="0" w:color="D6DCE2"/>
          <w:left w:val="single" w:sz="6" w:space="0" w:color="D6DCE2"/>
          <w:bottom w:val="single" w:sz="6" w:space="0" w:color="D6DCE2"/>
          <w:right w:val="single" w:sz="6" w:space="0" w:color="D6DCE2"/>
          <w:insideH w:val="single" w:sz="6" w:space="0" w:color="D6DCE2"/>
          <w:insideV w:val="single" w:sz="6" w:space="0" w:color="D6DCE2"/>
        </w:tblBorders>
      </w:tblPr>
      <w:tblGrid>
        <w:gridCol w:w="2520"/>
        <w:gridCol w:w="6840"/>
      </w:tblGrid>
      <w:tr>
        <w:trPr>
          <w:tblHeader w:val="true"/>
          <w:cantSplit/>
        </w:trPr>
        <w:tc>
          <w:tcPr>
            <w:tcW w:type="dxa" w:w="2520"/>
            <w:shd w:fill="0B2545"/>
            <w:tcMar>
              <w:top w:w="100" w:type="dxa"/>
              <w:start w:w="130" w:type="dxa"/>
              <w:bottom w:w="100" w:type="dxa"/>
              <w:end w:w="130" w:type="dxa"/>
            </w:tcMar>
            <w:vAlign w:val="center"/>
          </w:tcPr>
          <w:p>
            <w:pPr>
              <w:spacing w:after="0" w:line="240" w:lineRule="auto"/>
            </w:pPr>
            <w:r>
              <w:rPr>
                <w:rFonts w:ascii="Aptos" w:hAnsi="Aptos" w:eastAsia="Aptos"/>
                <w:b/>
                <w:color w:val="FFFFFF"/>
                <w:sz w:val="19"/>
              </w:rPr>
              <w:t>ФУНКЦИЯ</w:t>
            </w:r>
          </w:p>
        </w:tc>
        <w:tc>
          <w:tcPr>
            <w:tcW w:type="dxa" w:w="6840"/>
            <w:shd w:fill="0B2545"/>
            <w:tcMar>
              <w:top w:w="100" w:type="dxa"/>
              <w:start w:w="130" w:type="dxa"/>
              <w:bottom w:w="100" w:type="dxa"/>
              <w:end w:w="130" w:type="dxa"/>
            </w:tcMar>
            <w:vAlign w:val="center"/>
          </w:tcPr>
          <w:p>
            <w:pPr>
              <w:spacing w:after="0" w:line="240" w:lineRule="auto"/>
            </w:pPr>
            <w:r>
              <w:rPr>
                <w:rFonts w:ascii="Aptos" w:hAnsi="Aptos" w:eastAsia="Aptos"/>
                <w:b/>
                <w:color w:val="FFFFFF"/>
                <w:sz w:val="19"/>
              </w:rPr>
              <w:t>ОСНОВНАЯ ОТВЕТСТВЕННОСТЬ</w:t>
            </w:r>
          </w:p>
        </w:tc>
      </w:tr>
      <w:tr>
        <w:trPr>
          <w:cantSplit/>
        </w:trPr>
        <w:tc>
          <w:tcPr>
            <w:tcW w:type="dxa" w:w="2520"/>
            <w:tcMar>
              <w:top w:w="100" w:type="dxa"/>
              <w:start w:w="130" w:type="dxa"/>
              <w:bottom w:w="100" w:type="dxa"/>
              <w:end w:w="130" w:type="dxa"/>
            </w:tcMar>
            <w:vAlign w:val="center"/>
          </w:tcPr>
          <w:p>
            <w:pPr>
              <w:spacing w:after="0" w:line="252" w:lineRule="auto"/>
            </w:pPr>
            <w:r>
              <w:rPr>
                <w:rFonts w:ascii="Aptos" w:hAnsi="Aptos" w:eastAsia="Aptos"/>
                <w:b/>
                <w:color w:val="0B2545"/>
                <w:sz w:val="19"/>
              </w:rPr>
              <w:t>CEO / Founder</w:t>
            </w:r>
          </w:p>
        </w:tc>
        <w:tc>
          <w:tcPr>
            <w:tcW w:type="dxa" w:w="6840"/>
            <w:tcMar>
              <w:top w:w="100" w:type="dxa"/>
              <w:start w:w="130" w:type="dxa"/>
              <w:bottom w:w="100" w:type="dxa"/>
              <w:end w:w="130" w:type="dxa"/>
            </w:tcMar>
            <w:vAlign w:val="center"/>
          </w:tcPr>
          <w:p>
            <w:pPr>
              <w:spacing w:after="0" w:line="252" w:lineRule="auto"/>
            </w:pPr>
            <w:r>
              <w:rPr>
                <w:rFonts w:ascii="Aptos" w:hAnsi="Aptos" w:eastAsia="Aptos"/>
                <w:b w:val="0"/>
                <w:color w:val="1F2933"/>
                <w:sz w:val="19"/>
              </w:rPr>
              <w:t>Доктрина, ключевые собственники, существенные сделки, исключения и репутационный риск.</w:t>
            </w:r>
          </w:p>
        </w:tc>
      </w:tr>
      <w:tr>
        <w:trPr>
          <w:cantSplit/>
        </w:trPr>
        <w:tc>
          <w:tcPr>
            <w:tcW w:type="dxa" w:w="2520"/>
            <w:tcMar>
              <w:top w:w="100" w:type="dxa"/>
              <w:start w:w="130" w:type="dxa"/>
              <w:bottom w:w="100" w:type="dxa"/>
              <w:end w:w="130" w:type="dxa"/>
            </w:tcMar>
            <w:vAlign w:val="center"/>
            <w:shd w:fill="FAFBFC"/>
          </w:tcPr>
          <w:p>
            <w:pPr>
              <w:spacing w:after="0" w:line="252" w:lineRule="auto"/>
            </w:pPr>
            <w:r>
              <w:rPr>
                <w:rFonts w:ascii="Aptos" w:hAnsi="Aptos" w:eastAsia="Aptos"/>
                <w:b/>
                <w:color w:val="0B2545"/>
                <w:sz w:val="19"/>
              </w:rPr>
              <w:t>Asset / Portfolio Lead</w:t>
            </w:r>
          </w:p>
        </w:tc>
        <w:tc>
          <w:tcPr>
            <w:tcW w:type="dxa" w:w="684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P&amp;L актива, owner report, бюджет, решения и межфункциональная координация.</w:t>
            </w:r>
          </w:p>
        </w:tc>
      </w:tr>
      <w:tr>
        <w:trPr>
          <w:cantSplit/>
        </w:trPr>
        <w:tc>
          <w:tcPr>
            <w:tcW w:type="dxa" w:w="2520"/>
            <w:tcMar>
              <w:top w:w="100" w:type="dxa"/>
              <w:start w:w="130" w:type="dxa"/>
              <w:bottom w:w="100" w:type="dxa"/>
              <w:end w:w="130" w:type="dxa"/>
            </w:tcMar>
            <w:vAlign w:val="center"/>
          </w:tcPr>
          <w:p>
            <w:pPr>
              <w:spacing w:after="0" w:line="252" w:lineRule="auto"/>
            </w:pPr>
            <w:r>
              <w:rPr>
                <w:rFonts w:ascii="Aptos" w:hAnsi="Aptos" w:eastAsia="Aptos"/>
                <w:b/>
                <w:color w:val="0B2545"/>
                <w:sz w:val="19"/>
              </w:rPr>
              <w:t>Revenue &amp; Distribution</w:t>
            </w:r>
          </w:p>
        </w:tc>
        <w:tc>
          <w:tcPr>
            <w:tcW w:type="dxa" w:w="6840"/>
            <w:tcMar>
              <w:top w:w="100" w:type="dxa"/>
              <w:start w:w="130" w:type="dxa"/>
              <w:bottom w:w="100" w:type="dxa"/>
              <w:end w:w="130" w:type="dxa"/>
            </w:tcMar>
            <w:vAlign w:val="center"/>
          </w:tcPr>
          <w:p>
            <w:pPr>
              <w:spacing w:after="0" w:line="252" w:lineRule="auto"/>
            </w:pPr>
            <w:r>
              <w:rPr>
                <w:rFonts w:ascii="Aptos" w:hAnsi="Aptos" w:eastAsia="Aptos"/>
                <w:b w:val="0"/>
                <w:color w:val="1F2933"/>
                <w:sz w:val="19"/>
              </w:rPr>
              <w:t>Тариф, channel mix, direct demand, availability и contribution.</w:t>
            </w:r>
          </w:p>
        </w:tc>
      </w:tr>
      <w:tr>
        <w:trPr>
          <w:cantSplit/>
        </w:trPr>
        <w:tc>
          <w:tcPr>
            <w:tcW w:type="dxa" w:w="2520"/>
            <w:tcMar>
              <w:top w:w="100" w:type="dxa"/>
              <w:start w:w="130" w:type="dxa"/>
              <w:bottom w:w="100" w:type="dxa"/>
              <w:end w:w="130" w:type="dxa"/>
            </w:tcMar>
            <w:vAlign w:val="center"/>
            <w:shd w:fill="FAFBFC"/>
          </w:tcPr>
          <w:p>
            <w:pPr>
              <w:spacing w:after="0" w:line="252" w:lineRule="auto"/>
            </w:pPr>
            <w:r>
              <w:rPr>
                <w:rFonts w:ascii="Aptos" w:hAnsi="Aptos" w:eastAsia="Aptos"/>
                <w:b/>
                <w:color w:val="0B2545"/>
                <w:sz w:val="19"/>
              </w:rPr>
              <w:t>Operations &amp; Guest</w:t>
            </w:r>
          </w:p>
        </w:tc>
        <w:tc>
          <w:tcPr>
            <w:tcW w:type="dxa" w:w="684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Сервис, property care, подрядчики, SLA и инциденты.</w:t>
            </w:r>
          </w:p>
        </w:tc>
      </w:tr>
      <w:tr>
        <w:trPr>
          <w:cantSplit/>
        </w:trPr>
        <w:tc>
          <w:tcPr>
            <w:tcW w:type="dxa" w:w="2520"/>
            <w:tcMar>
              <w:top w:w="100" w:type="dxa"/>
              <w:start w:w="130" w:type="dxa"/>
              <w:bottom w:w="100" w:type="dxa"/>
              <w:end w:w="130" w:type="dxa"/>
            </w:tcMar>
            <w:vAlign w:val="center"/>
          </w:tcPr>
          <w:p>
            <w:pPr>
              <w:spacing w:after="0" w:line="252" w:lineRule="auto"/>
            </w:pPr>
            <w:r>
              <w:rPr>
                <w:rFonts w:ascii="Aptos" w:hAnsi="Aptos" w:eastAsia="Aptos"/>
                <w:b/>
                <w:color w:val="0B2545"/>
                <w:sz w:val="19"/>
              </w:rPr>
              <w:t>Transactions &amp; ClearView</w:t>
            </w:r>
          </w:p>
        </w:tc>
        <w:tc>
          <w:tcPr>
            <w:tcW w:type="dxa" w:w="6840"/>
            <w:tcMar>
              <w:top w:w="100" w:type="dxa"/>
              <w:start w:w="130" w:type="dxa"/>
              <w:bottom w:w="100" w:type="dxa"/>
              <w:end w:w="130" w:type="dxa"/>
            </w:tcMar>
            <w:vAlign w:val="center"/>
          </w:tcPr>
          <w:p>
            <w:pPr>
              <w:spacing w:after="0" w:line="252" w:lineRule="auto"/>
            </w:pPr>
            <w:r>
              <w:rPr>
                <w:rFonts w:ascii="Aptos" w:hAnsi="Aptos" w:eastAsia="Aptos"/>
                <w:b w:val="0"/>
                <w:color w:val="1F2933"/>
                <w:sz w:val="19"/>
              </w:rPr>
              <w:t>Квалификация, underwriting, shortlist, negotiation, data room и disclosure.</w:t>
            </w:r>
          </w:p>
        </w:tc>
      </w:tr>
      <w:tr>
        <w:trPr>
          <w:cantSplit/>
        </w:trPr>
        <w:tc>
          <w:tcPr>
            <w:tcW w:type="dxa" w:w="2520"/>
            <w:tcMar>
              <w:top w:w="100" w:type="dxa"/>
              <w:start w:w="130" w:type="dxa"/>
              <w:bottom w:w="100" w:type="dxa"/>
              <w:end w:w="130" w:type="dxa"/>
            </w:tcMar>
            <w:vAlign w:val="center"/>
            <w:shd w:fill="FAFBFC"/>
          </w:tcPr>
          <w:p>
            <w:pPr>
              <w:spacing w:after="0" w:line="252" w:lineRule="auto"/>
            </w:pPr>
            <w:r>
              <w:rPr>
                <w:rFonts w:ascii="Aptos" w:hAnsi="Aptos" w:eastAsia="Aptos"/>
                <w:b/>
                <w:color w:val="0B2545"/>
                <w:sz w:val="19"/>
              </w:rPr>
              <w:t>Finance &amp; Control</w:t>
            </w:r>
          </w:p>
        </w:tc>
        <w:tc>
          <w:tcPr>
            <w:tcW w:type="dxa" w:w="684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Budget, invoice, reconciliation, tax support, cash и owner statement.</w:t>
            </w:r>
          </w:p>
        </w:tc>
      </w:tr>
      <w:tr>
        <w:trPr>
          <w:cantSplit/>
        </w:trPr>
        <w:tc>
          <w:tcPr>
            <w:tcW w:type="dxa" w:w="2520"/>
            <w:tcMar>
              <w:top w:w="100" w:type="dxa"/>
              <w:start w:w="130" w:type="dxa"/>
              <w:bottom w:w="100" w:type="dxa"/>
              <w:end w:w="130" w:type="dxa"/>
            </w:tcMar>
            <w:vAlign w:val="center"/>
          </w:tcPr>
          <w:p>
            <w:pPr>
              <w:spacing w:after="0" w:line="252" w:lineRule="auto"/>
            </w:pPr>
            <w:r>
              <w:rPr>
                <w:rFonts w:ascii="Aptos" w:hAnsi="Aptos" w:eastAsia="Aptos"/>
                <w:b/>
                <w:color w:val="0B2545"/>
                <w:sz w:val="19"/>
              </w:rPr>
              <w:t>Data &amp; Technology</w:t>
            </w:r>
          </w:p>
        </w:tc>
        <w:tc>
          <w:tcPr>
            <w:tcW w:type="dxa" w:w="6840"/>
            <w:tcMar>
              <w:top w:w="100" w:type="dxa"/>
              <w:start w:w="130" w:type="dxa"/>
              <w:bottom w:w="100" w:type="dxa"/>
              <w:end w:w="130" w:type="dxa"/>
            </w:tcMar>
            <w:vAlign w:val="center"/>
          </w:tcPr>
          <w:p>
            <w:pPr>
              <w:spacing w:after="0" w:line="252" w:lineRule="auto"/>
            </w:pPr>
            <w:r>
              <w:rPr>
                <w:rFonts w:ascii="Aptos" w:hAnsi="Aptos" w:eastAsia="Aptos"/>
                <w:b w:val="0"/>
                <w:color w:val="1F2933"/>
                <w:sz w:val="19"/>
              </w:rPr>
              <w:t>Systems of record, access, integrations, reliability, security и audit trail.</w:t>
            </w:r>
          </w:p>
        </w:tc>
      </w:tr>
      <w:tr>
        <w:trPr>
          <w:cantSplit/>
        </w:trPr>
        <w:tc>
          <w:tcPr>
            <w:tcW w:type="dxa" w:w="2520"/>
            <w:tcMar>
              <w:top w:w="100" w:type="dxa"/>
              <w:start w:w="130" w:type="dxa"/>
              <w:bottom w:w="100" w:type="dxa"/>
              <w:end w:w="130" w:type="dxa"/>
            </w:tcMar>
            <w:vAlign w:val="center"/>
            <w:shd w:fill="FAFBFC"/>
          </w:tcPr>
          <w:p>
            <w:pPr>
              <w:spacing w:after="0" w:line="252" w:lineRule="auto"/>
            </w:pPr>
            <w:r>
              <w:rPr>
                <w:rFonts w:ascii="Aptos" w:hAnsi="Aptos" w:eastAsia="Aptos"/>
                <w:b/>
                <w:color w:val="0B2545"/>
                <w:sz w:val="19"/>
              </w:rPr>
              <w:t>Marketing &amp; Partnerships</w:t>
            </w:r>
          </w:p>
        </w:tc>
        <w:tc>
          <w:tcPr>
            <w:tcW w:type="dxa" w:w="684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Message, content, attribution, partner governance и qualified demand.</w:t>
            </w:r>
          </w:p>
        </w:tc>
      </w:tr>
    </w:tbl>
    <w:p>
      <w:pPr>
        <w:spacing w:before="0" w:after="40" w:line="264" w:lineRule="auto"/>
        <w:jc w:val="left"/>
      </w:pPr>
    </w:p>
    <w:p>
      <w:pPr>
        <w:pStyle w:val="Heading2"/>
        <w:keepNext/>
      </w:pPr>
      <w:r>
        <w:t>25.2. Decision Rights</w:t>
      </w:r>
    </w:p>
    <w:tbl>
      <w:tblPr>
        <w:tblW w:type="dxa" w:w="9360"/>
        <w:jc w:val="left"/>
        <w:tblLayout w:type="fixed"/>
        <w:tblLook w:firstColumn="1" w:firstRow="1" w:lastColumn="0" w:lastRow="0" w:noHBand="0" w:noVBand="1" w:val="04A0"/>
        <w:tblInd w:w="120" w:type="dxa"/>
        <w:tblBorders>
          <w:top w:val="single" w:sz="6" w:space="0" w:color="D6DCE2"/>
          <w:left w:val="single" w:sz="6" w:space="0" w:color="D6DCE2"/>
          <w:bottom w:val="single" w:sz="6" w:space="0" w:color="D6DCE2"/>
          <w:right w:val="single" w:sz="6" w:space="0" w:color="D6DCE2"/>
          <w:insideH w:val="single" w:sz="6" w:space="0" w:color="D6DCE2"/>
          <w:insideV w:val="single" w:sz="6" w:space="0" w:color="D6DCE2"/>
        </w:tblBorders>
      </w:tblPr>
      <w:tblGrid>
        <w:gridCol w:w="2100"/>
        <w:gridCol w:w="1980"/>
        <w:gridCol w:w="2580"/>
        <w:gridCol w:w="2700"/>
      </w:tblGrid>
      <w:tr>
        <w:trPr>
          <w:tblHeader w:val="true"/>
          <w:cantSplit/>
        </w:trPr>
        <w:tc>
          <w:tcPr>
            <w:tcW w:type="dxa" w:w="2100"/>
            <w:shd w:fill="0B2545"/>
            <w:tcMar>
              <w:top w:w="100" w:type="dxa"/>
              <w:start w:w="130" w:type="dxa"/>
              <w:bottom w:w="100" w:type="dxa"/>
              <w:end w:w="130" w:type="dxa"/>
            </w:tcMar>
            <w:vAlign w:val="center"/>
          </w:tcPr>
          <w:p>
            <w:pPr>
              <w:spacing w:after="0" w:line="240" w:lineRule="auto"/>
            </w:pPr>
            <w:r>
              <w:rPr>
                <w:rFonts w:ascii="Aptos" w:hAnsi="Aptos" w:eastAsia="Aptos"/>
                <w:b/>
                <w:color w:val="FFFFFF"/>
                <w:sz w:val="19"/>
              </w:rPr>
              <w:t>РЕШЕНИЕ</w:t>
            </w:r>
          </w:p>
        </w:tc>
        <w:tc>
          <w:tcPr>
            <w:tcW w:type="dxa" w:w="1980"/>
            <w:shd w:fill="0B2545"/>
            <w:tcMar>
              <w:top w:w="100" w:type="dxa"/>
              <w:start w:w="130" w:type="dxa"/>
              <w:bottom w:w="100" w:type="dxa"/>
              <w:end w:w="130" w:type="dxa"/>
            </w:tcMar>
            <w:vAlign w:val="center"/>
          </w:tcPr>
          <w:p>
            <w:pPr>
              <w:spacing w:after="0" w:line="240" w:lineRule="auto"/>
            </w:pPr>
            <w:r>
              <w:rPr>
                <w:rFonts w:ascii="Aptos" w:hAnsi="Aptos" w:eastAsia="Aptos"/>
                <w:b/>
                <w:color w:val="FFFFFF"/>
                <w:sz w:val="19"/>
              </w:rPr>
              <w:t>ПРЕДЛАГАЕТ</w:t>
            </w:r>
          </w:p>
        </w:tc>
        <w:tc>
          <w:tcPr>
            <w:tcW w:type="dxa" w:w="2580"/>
            <w:shd w:fill="0B2545"/>
            <w:tcMar>
              <w:top w:w="100" w:type="dxa"/>
              <w:start w:w="130" w:type="dxa"/>
              <w:bottom w:w="100" w:type="dxa"/>
              <w:end w:w="130" w:type="dxa"/>
            </w:tcMar>
            <w:vAlign w:val="center"/>
          </w:tcPr>
          <w:p>
            <w:pPr>
              <w:spacing w:after="0" w:line="240" w:lineRule="auto"/>
            </w:pPr>
            <w:r>
              <w:rPr>
                <w:rFonts w:ascii="Aptos" w:hAnsi="Aptos" w:eastAsia="Aptos"/>
                <w:b/>
                <w:color w:val="FFFFFF"/>
                <w:sz w:val="19"/>
              </w:rPr>
              <w:t>УТВЕРЖДАЕТ</w:t>
            </w:r>
          </w:p>
        </w:tc>
        <w:tc>
          <w:tcPr>
            <w:tcW w:type="dxa" w:w="2700"/>
            <w:shd w:fill="0B2545"/>
            <w:tcMar>
              <w:top w:w="100" w:type="dxa"/>
              <w:start w:w="130" w:type="dxa"/>
              <w:bottom w:w="100" w:type="dxa"/>
              <w:end w:w="130" w:type="dxa"/>
            </w:tcMar>
            <w:vAlign w:val="center"/>
          </w:tcPr>
          <w:p>
            <w:pPr>
              <w:spacing w:after="0" w:line="240" w:lineRule="auto"/>
            </w:pPr>
            <w:r>
              <w:rPr>
                <w:rFonts w:ascii="Aptos" w:hAnsi="Aptos" w:eastAsia="Aptos"/>
                <w:b/>
                <w:color w:val="FFFFFF"/>
                <w:sz w:val="19"/>
              </w:rPr>
              <w:t>КОНТРОЛЬ</w:t>
            </w:r>
          </w:p>
        </w:tc>
      </w:tr>
      <w:tr>
        <w:trPr>
          <w:cantSplit/>
        </w:trPr>
        <w:tc>
          <w:tcPr>
            <w:tcW w:type="dxa" w:w="2100"/>
            <w:tcMar>
              <w:top w:w="100" w:type="dxa"/>
              <w:start w:w="130" w:type="dxa"/>
              <w:bottom w:w="100" w:type="dxa"/>
              <w:end w:w="130" w:type="dxa"/>
            </w:tcMar>
            <w:vAlign w:val="center"/>
          </w:tcPr>
          <w:p>
            <w:pPr>
              <w:spacing w:after="0" w:line="252" w:lineRule="auto"/>
            </w:pPr>
            <w:r>
              <w:rPr>
                <w:rFonts w:ascii="Aptos" w:hAnsi="Aptos" w:eastAsia="Aptos"/>
                <w:b/>
                <w:color w:val="0B2545"/>
                <w:sz w:val="19"/>
              </w:rPr>
              <w:t>Принять актив</w:t>
            </w:r>
          </w:p>
        </w:tc>
        <w:tc>
          <w:tcPr>
            <w:tcW w:type="dxa" w:w="1980"/>
            <w:tcMar>
              <w:top w:w="100" w:type="dxa"/>
              <w:start w:w="130" w:type="dxa"/>
              <w:bottom w:w="100" w:type="dxa"/>
              <w:end w:w="130" w:type="dxa"/>
            </w:tcMar>
            <w:vAlign w:val="center"/>
          </w:tcPr>
          <w:p>
            <w:pPr>
              <w:spacing w:after="0" w:line="252" w:lineRule="auto"/>
            </w:pPr>
            <w:r>
              <w:rPr>
                <w:rFonts w:ascii="Aptos" w:hAnsi="Aptos" w:eastAsia="Aptos"/>
                <w:b w:val="0"/>
                <w:color w:val="1F2933"/>
                <w:sz w:val="19"/>
              </w:rPr>
              <w:t>Asset Lead + ClearView</w:t>
            </w:r>
          </w:p>
        </w:tc>
        <w:tc>
          <w:tcPr>
            <w:tcW w:type="dxa" w:w="2580"/>
            <w:tcMar>
              <w:top w:w="100" w:type="dxa"/>
              <w:start w:w="130" w:type="dxa"/>
              <w:bottom w:w="100" w:type="dxa"/>
              <w:end w:w="130" w:type="dxa"/>
            </w:tcMar>
            <w:vAlign w:val="center"/>
          </w:tcPr>
          <w:p>
            <w:pPr>
              <w:spacing w:after="0" w:line="252" w:lineRule="auto"/>
            </w:pPr>
            <w:r>
              <w:rPr>
                <w:rFonts w:ascii="Aptos" w:hAnsi="Aptos" w:eastAsia="Aptos"/>
                <w:b w:val="0"/>
                <w:color w:val="1F2933"/>
                <w:sz w:val="19"/>
              </w:rPr>
              <w:t>CEO</w:t>
            </w:r>
          </w:p>
        </w:tc>
        <w:tc>
          <w:tcPr>
            <w:tcW w:type="dxa" w:w="2700"/>
            <w:tcMar>
              <w:top w:w="100" w:type="dxa"/>
              <w:start w:w="130" w:type="dxa"/>
              <w:bottom w:w="100" w:type="dxa"/>
              <w:end w:w="130" w:type="dxa"/>
            </w:tcMar>
            <w:vAlign w:val="center"/>
          </w:tcPr>
          <w:p>
            <w:pPr>
              <w:spacing w:after="0" w:line="252" w:lineRule="auto"/>
            </w:pPr>
            <w:r>
              <w:rPr>
                <w:rFonts w:ascii="Aptos" w:hAnsi="Aptos" w:eastAsia="Aptos"/>
                <w:b w:val="0"/>
                <w:color w:val="1F2933"/>
                <w:sz w:val="19"/>
              </w:rPr>
              <w:t>Legal/finance/operations gates.</w:t>
            </w:r>
          </w:p>
        </w:tc>
      </w:tr>
      <w:tr>
        <w:trPr>
          <w:cantSplit/>
        </w:trPr>
        <w:tc>
          <w:tcPr>
            <w:tcW w:type="dxa" w:w="2100"/>
            <w:tcMar>
              <w:top w:w="100" w:type="dxa"/>
              <w:start w:w="130" w:type="dxa"/>
              <w:bottom w:w="100" w:type="dxa"/>
              <w:end w:w="130" w:type="dxa"/>
            </w:tcMar>
            <w:vAlign w:val="center"/>
            <w:shd w:fill="FAFBFC"/>
          </w:tcPr>
          <w:p>
            <w:pPr>
              <w:spacing w:after="0" w:line="252" w:lineRule="auto"/>
            </w:pPr>
            <w:r>
              <w:rPr>
                <w:rFonts w:ascii="Aptos" w:hAnsi="Aptos" w:eastAsia="Aptos"/>
                <w:b/>
                <w:color w:val="0B2545"/>
                <w:sz w:val="19"/>
              </w:rPr>
              <w:t>Использовать myUNO публично</w:t>
            </w:r>
          </w:p>
        </w:tc>
        <w:tc>
          <w:tcPr>
            <w:tcW w:type="dxa" w:w="198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Operations + Brand</w:t>
            </w:r>
          </w:p>
        </w:tc>
        <w:tc>
          <w:tcPr>
            <w:tcW w:type="dxa" w:w="258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CEO / назначенный brand owner</w:t>
            </w:r>
          </w:p>
        </w:tc>
        <w:tc>
          <w:tcPr>
            <w:tcW w:type="dxa" w:w="270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Quality score и мандат.</w:t>
            </w:r>
          </w:p>
        </w:tc>
      </w:tr>
      <w:tr>
        <w:trPr>
          <w:cantSplit/>
        </w:trPr>
        <w:tc>
          <w:tcPr>
            <w:tcW w:type="dxa" w:w="2100"/>
            <w:tcMar>
              <w:top w:w="100" w:type="dxa"/>
              <w:start w:w="130" w:type="dxa"/>
              <w:bottom w:w="100" w:type="dxa"/>
              <w:end w:w="130" w:type="dxa"/>
            </w:tcMar>
            <w:vAlign w:val="center"/>
          </w:tcPr>
          <w:p>
            <w:pPr>
              <w:spacing w:after="0" w:line="252" w:lineRule="auto"/>
            </w:pPr>
            <w:r>
              <w:rPr>
                <w:rFonts w:ascii="Aptos" w:hAnsi="Aptos" w:eastAsia="Aptos"/>
                <w:b/>
                <w:color w:val="0B2545"/>
                <w:sz w:val="19"/>
              </w:rPr>
              <w:t>Тариф в стратегии</w:t>
            </w:r>
          </w:p>
        </w:tc>
        <w:tc>
          <w:tcPr>
            <w:tcW w:type="dxa" w:w="1980"/>
            <w:tcMar>
              <w:top w:w="100" w:type="dxa"/>
              <w:start w:w="130" w:type="dxa"/>
              <w:bottom w:w="100" w:type="dxa"/>
              <w:end w:w="130" w:type="dxa"/>
            </w:tcMar>
            <w:vAlign w:val="center"/>
          </w:tcPr>
          <w:p>
            <w:pPr>
              <w:spacing w:after="0" w:line="252" w:lineRule="auto"/>
            </w:pPr>
            <w:r>
              <w:rPr>
                <w:rFonts w:ascii="Aptos" w:hAnsi="Aptos" w:eastAsia="Aptos"/>
                <w:b w:val="0"/>
                <w:color w:val="1F2933"/>
                <w:sz w:val="19"/>
              </w:rPr>
              <w:t>Revenue</w:t>
            </w:r>
          </w:p>
        </w:tc>
        <w:tc>
          <w:tcPr>
            <w:tcW w:type="dxa" w:w="2580"/>
            <w:tcMar>
              <w:top w:w="100" w:type="dxa"/>
              <w:start w:w="130" w:type="dxa"/>
              <w:bottom w:w="100" w:type="dxa"/>
              <w:end w:w="130" w:type="dxa"/>
            </w:tcMar>
            <w:vAlign w:val="center"/>
          </w:tcPr>
          <w:p>
            <w:pPr>
              <w:spacing w:after="0" w:line="252" w:lineRule="auto"/>
            </w:pPr>
            <w:r>
              <w:rPr>
                <w:rFonts w:ascii="Aptos" w:hAnsi="Aptos" w:eastAsia="Aptos"/>
                <w:b w:val="0"/>
                <w:color w:val="1F2933"/>
                <w:sz w:val="19"/>
              </w:rPr>
              <w:t>Portfolio Lead</w:t>
            </w:r>
          </w:p>
        </w:tc>
        <w:tc>
          <w:tcPr>
            <w:tcW w:type="dxa" w:w="2700"/>
            <w:tcMar>
              <w:top w:w="100" w:type="dxa"/>
              <w:start w:w="130" w:type="dxa"/>
              <w:bottom w:w="100" w:type="dxa"/>
              <w:end w:w="130" w:type="dxa"/>
            </w:tcMar>
            <w:vAlign w:val="center"/>
          </w:tcPr>
          <w:p>
            <w:pPr>
              <w:spacing w:after="0" w:line="252" w:lineRule="auto"/>
            </w:pPr>
            <w:r>
              <w:rPr>
                <w:rFonts w:ascii="Aptos" w:hAnsi="Aptos" w:eastAsia="Aptos"/>
                <w:b w:val="0"/>
                <w:color w:val="1F2933"/>
                <w:sz w:val="19"/>
              </w:rPr>
              <w:t>Owner floor, contribution и audit log.</w:t>
            </w:r>
          </w:p>
        </w:tc>
      </w:tr>
      <w:tr>
        <w:trPr>
          <w:cantSplit/>
        </w:trPr>
        <w:tc>
          <w:tcPr>
            <w:tcW w:type="dxa" w:w="2100"/>
            <w:tcMar>
              <w:top w:w="100" w:type="dxa"/>
              <w:start w:w="130" w:type="dxa"/>
              <w:bottom w:w="100" w:type="dxa"/>
              <w:end w:w="130" w:type="dxa"/>
            </w:tcMar>
            <w:vAlign w:val="center"/>
            <w:shd w:fill="FAFBFC"/>
          </w:tcPr>
          <w:p>
            <w:pPr>
              <w:spacing w:after="0" w:line="252" w:lineRule="auto"/>
            </w:pPr>
            <w:r>
              <w:rPr>
                <w:rFonts w:ascii="Aptos" w:hAnsi="Aptos" w:eastAsia="Aptos"/>
                <w:b/>
                <w:color w:val="0B2545"/>
                <w:sz w:val="19"/>
              </w:rPr>
              <w:t>CAPEX / внебюджетный расход</w:t>
            </w:r>
          </w:p>
        </w:tc>
        <w:tc>
          <w:tcPr>
            <w:tcW w:type="dxa" w:w="198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Portfolio / Operations</w:t>
            </w:r>
          </w:p>
        </w:tc>
        <w:tc>
          <w:tcPr>
            <w:tcW w:type="dxa" w:w="258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Собственник или лимитированный approver</w:t>
            </w:r>
          </w:p>
        </w:tc>
        <w:tc>
          <w:tcPr>
            <w:tcW w:type="dxa" w:w="270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Scope, bids, evidence и budget.</w:t>
            </w:r>
          </w:p>
        </w:tc>
      </w:tr>
      <w:tr>
        <w:trPr>
          <w:cantSplit/>
        </w:trPr>
        <w:tc>
          <w:tcPr>
            <w:tcW w:type="dxa" w:w="2100"/>
            <w:tcMar>
              <w:top w:w="100" w:type="dxa"/>
              <w:start w:w="130" w:type="dxa"/>
              <w:bottom w:w="100" w:type="dxa"/>
              <w:end w:w="130" w:type="dxa"/>
            </w:tcMar>
            <w:vAlign w:val="center"/>
          </w:tcPr>
          <w:p>
            <w:pPr>
              <w:spacing w:after="0" w:line="252" w:lineRule="auto"/>
            </w:pPr>
            <w:r>
              <w:rPr>
                <w:rFonts w:ascii="Aptos" w:hAnsi="Aptos" w:eastAsia="Aptos"/>
                <w:b/>
                <w:color w:val="0B2545"/>
                <w:sz w:val="19"/>
              </w:rPr>
              <w:t>Refund / компенсация</w:t>
            </w:r>
          </w:p>
        </w:tc>
        <w:tc>
          <w:tcPr>
            <w:tcW w:type="dxa" w:w="1980"/>
            <w:tcMar>
              <w:top w:w="100" w:type="dxa"/>
              <w:start w:w="130" w:type="dxa"/>
              <w:bottom w:w="100" w:type="dxa"/>
              <w:end w:w="130" w:type="dxa"/>
            </w:tcMar>
            <w:vAlign w:val="center"/>
          </w:tcPr>
          <w:p>
            <w:pPr>
              <w:spacing w:after="0" w:line="252" w:lineRule="auto"/>
            </w:pPr>
            <w:r>
              <w:rPr>
                <w:rFonts w:ascii="Aptos" w:hAnsi="Aptos" w:eastAsia="Aptos"/>
                <w:b w:val="0"/>
                <w:color w:val="1F2933"/>
                <w:sz w:val="19"/>
              </w:rPr>
              <w:t>Guest Lead</w:t>
            </w:r>
          </w:p>
        </w:tc>
        <w:tc>
          <w:tcPr>
            <w:tcW w:type="dxa" w:w="2580"/>
            <w:tcMar>
              <w:top w:w="100" w:type="dxa"/>
              <w:start w:w="130" w:type="dxa"/>
              <w:bottom w:w="100" w:type="dxa"/>
              <w:end w:w="130" w:type="dxa"/>
            </w:tcMar>
            <w:vAlign w:val="center"/>
          </w:tcPr>
          <w:p>
            <w:pPr>
              <w:spacing w:after="0" w:line="252" w:lineRule="auto"/>
            </w:pPr>
            <w:r>
              <w:rPr>
                <w:rFonts w:ascii="Aptos" w:hAnsi="Aptos" w:eastAsia="Aptos"/>
                <w:b w:val="0"/>
                <w:color w:val="1F2933"/>
                <w:sz w:val="19"/>
              </w:rPr>
              <w:t>Лимитированный approver</w:t>
            </w:r>
          </w:p>
        </w:tc>
        <w:tc>
          <w:tcPr>
            <w:tcW w:type="dxa" w:w="2700"/>
            <w:tcMar>
              <w:top w:w="100" w:type="dxa"/>
              <w:start w:w="130" w:type="dxa"/>
              <w:bottom w:w="100" w:type="dxa"/>
              <w:end w:w="130" w:type="dxa"/>
            </w:tcMar>
            <w:vAlign w:val="center"/>
          </w:tcPr>
          <w:p>
            <w:pPr>
              <w:spacing w:after="0" w:line="252" w:lineRule="auto"/>
            </w:pPr>
            <w:r>
              <w:rPr>
                <w:rFonts w:ascii="Aptos" w:hAnsi="Aptos" w:eastAsia="Aptos"/>
                <w:b w:val="0"/>
                <w:color w:val="1F2933"/>
                <w:sz w:val="19"/>
              </w:rPr>
              <w:t>Причина, источник покрытия, incident link.</w:t>
            </w:r>
          </w:p>
        </w:tc>
      </w:tr>
      <w:tr>
        <w:trPr>
          <w:cantSplit/>
        </w:trPr>
        <w:tc>
          <w:tcPr>
            <w:tcW w:type="dxa" w:w="2100"/>
            <w:tcMar>
              <w:top w:w="100" w:type="dxa"/>
              <w:start w:w="130" w:type="dxa"/>
              <w:bottom w:w="100" w:type="dxa"/>
              <w:end w:w="130" w:type="dxa"/>
            </w:tcMar>
            <w:vAlign w:val="center"/>
            <w:shd w:fill="FAFBFC"/>
          </w:tcPr>
          <w:p>
            <w:pPr>
              <w:spacing w:after="0" w:line="252" w:lineRule="auto"/>
            </w:pPr>
            <w:r>
              <w:rPr>
                <w:rFonts w:ascii="Aptos" w:hAnsi="Aptos" w:eastAsia="Aptos"/>
                <w:b/>
                <w:color w:val="0B2545"/>
                <w:sz w:val="19"/>
              </w:rPr>
              <w:t>ClearView conclusion</w:t>
            </w:r>
          </w:p>
        </w:tc>
        <w:tc>
          <w:tcPr>
            <w:tcW w:type="dxa" w:w="198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Analyst</w:t>
            </w:r>
          </w:p>
        </w:tc>
        <w:tc>
          <w:tcPr>
            <w:tcW w:type="dxa" w:w="258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Независимый reviewer / CEO</w:t>
            </w:r>
          </w:p>
        </w:tc>
        <w:tc>
          <w:tcPr>
            <w:tcW w:type="dxa" w:w="270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Evidence, conflicts и version history.</w:t>
            </w:r>
          </w:p>
        </w:tc>
      </w:tr>
      <w:tr>
        <w:trPr>
          <w:cantSplit/>
        </w:trPr>
        <w:tc>
          <w:tcPr>
            <w:tcW w:type="dxa" w:w="2100"/>
            <w:tcMar>
              <w:top w:w="100" w:type="dxa"/>
              <w:start w:w="130" w:type="dxa"/>
              <w:bottom w:w="100" w:type="dxa"/>
              <w:end w:w="130" w:type="dxa"/>
            </w:tcMar>
            <w:vAlign w:val="center"/>
          </w:tcPr>
          <w:p>
            <w:pPr>
              <w:spacing w:after="0" w:line="252" w:lineRule="auto"/>
            </w:pPr>
            <w:r>
              <w:rPr>
                <w:rFonts w:ascii="Aptos" w:hAnsi="Aptos" w:eastAsia="Aptos"/>
                <w:b/>
                <w:color w:val="0B2545"/>
                <w:sz w:val="19"/>
              </w:rPr>
              <w:t>Продать актив</w:t>
            </w:r>
          </w:p>
        </w:tc>
        <w:tc>
          <w:tcPr>
            <w:tcW w:type="dxa" w:w="1980"/>
            <w:tcMar>
              <w:top w:w="100" w:type="dxa"/>
              <w:start w:w="130" w:type="dxa"/>
              <w:bottom w:w="100" w:type="dxa"/>
              <w:end w:w="130" w:type="dxa"/>
            </w:tcMar>
            <w:vAlign w:val="center"/>
          </w:tcPr>
          <w:p>
            <w:pPr>
              <w:spacing w:after="0" w:line="252" w:lineRule="auto"/>
            </w:pPr>
            <w:r>
              <w:rPr>
                <w:rFonts w:ascii="Aptos" w:hAnsi="Aptos" w:eastAsia="Aptos"/>
                <w:b w:val="0"/>
                <w:color w:val="1F2933"/>
                <w:sz w:val="19"/>
              </w:rPr>
              <w:t>Transactions</w:t>
            </w:r>
          </w:p>
        </w:tc>
        <w:tc>
          <w:tcPr>
            <w:tcW w:type="dxa" w:w="2580"/>
            <w:tcMar>
              <w:top w:w="100" w:type="dxa"/>
              <w:start w:w="130" w:type="dxa"/>
              <w:bottom w:w="100" w:type="dxa"/>
              <w:end w:w="130" w:type="dxa"/>
            </w:tcMar>
            <w:vAlign w:val="center"/>
          </w:tcPr>
          <w:p>
            <w:pPr>
              <w:spacing w:after="0" w:line="252" w:lineRule="auto"/>
            </w:pPr>
            <w:r>
              <w:rPr>
                <w:rFonts w:ascii="Aptos" w:hAnsi="Aptos" w:eastAsia="Aptos"/>
                <w:b w:val="0"/>
                <w:color w:val="1F2933"/>
                <w:sz w:val="19"/>
              </w:rPr>
              <w:t>Собственник</w:t>
            </w:r>
          </w:p>
        </w:tc>
        <w:tc>
          <w:tcPr>
            <w:tcW w:type="dxa" w:w="2700"/>
            <w:tcMar>
              <w:top w:w="100" w:type="dxa"/>
              <w:start w:w="130" w:type="dxa"/>
              <w:bottom w:w="100" w:type="dxa"/>
              <w:end w:w="130" w:type="dxa"/>
            </w:tcMar>
            <w:vAlign w:val="center"/>
          </w:tcPr>
          <w:p>
            <w:pPr>
              <w:spacing w:after="0" w:line="252" w:lineRule="auto"/>
            </w:pPr>
            <w:r>
              <w:rPr>
                <w:rFonts w:ascii="Aptos" w:hAnsi="Aptos" w:eastAsia="Aptos"/>
                <w:b w:val="0"/>
                <w:color w:val="1F2933"/>
                <w:sz w:val="19"/>
              </w:rPr>
              <w:t>Mandate, disclosure, data room и offers.</w:t>
            </w:r>
          </w:p>
        </w:tc>
      </w:tr>
      <w:tr>
        <w:trPr>
          <w:cantSplit/>
        </w:trPr>
        <w:tc>
          <w:tcPr>
            <w:tcW w:type="dxa" w:w="2100"/>
            <w:tcMar>
              <w:top w:w="100" w:type="dxa"/>
              <w:start w:w="130" w:type="dxa"/>
              <w:bottom w:w="100" w:type="dxa"/>
              <w:end w:w="130" w:type="dxa"/>
            </w:tcMar>
            <w:vAlign w:val="center"/>
            <w:shd w:fill="FAFBFC"/>
          </w:tcPr>
          <w:p>
            <w:pPr>
              <w:spacing w:after="0" w:line="252" w:lineRule="auto"/>
            </w:pPr>
            <w:r>
              <w:rPr>
                <w:rFonts w:ascii="Aptos" w:hAnsi="Aptos" w:eastAsia="Aptos"/>
                <w:b/>
                <w:color w:val="0B2545"/>
                <w:sz w:val="19"/>
              </w:rPr>
              <w:t>P0 incident</w:t>
            </w:r>
          </w:p>
        </w:tc>
        <w:tc>
          <w:tcPr>
            <w:tcW w:type="dxa" w:w="198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Incident lead</w:t>
            </w:r>
          </w:p>
        </w:tc>
        <w:tc>
          <w:tcPr>
            <w:tcW w:type="dxa" w:w="258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CEO координирует; emergency authority действует сразу</w:t>
            </w:r>
          </w:p>
        </w:tc>
        <w:tc>
          <w:tcPr>
            <w:tcW w:type="dxa" w:w="270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Timeline, evidence, notification и review.</w:t>
            </w:r>
          </w:p>
        </w:tc>
      </w:tr>
    </w:tbl>
    <w:p>
      <w:pPr>
        <w:spacing w:before="0" w:after="40" w:line="264" w:lineRule="auto"/>
        <w:jc w:val="left"/>
      </w:pPr>
    </w:p>
    <w:p>
      <w:pPr>
        <w:pStyle w:val="Heading2"/>
        <w:keepNext/>
      </w:pPr>
      <w:r>
        <w:t>25.3. Ритм управления</w:t>
      </w:r>
    </w:p>
    <w:p>
      <w:pPr>
        <w:pStyle w:val="ListBullet"/>
        <w:spacing w:after="80" w:line="264" w:lineRule="auto"/>
      </w:pPr>
      <w:r>
        <w:rPr>
          <w:rFonts w:ascii="Aptos" w:hAnsi="Aptos" w:eastAsia="Aptos"/>
          <w:color w:val="1F2933"/>
          <w:sz w:val="22"/>
        </w:rPr>
        <w:t>Ежедневно: arrivals, incidents, cash exceptions, availability и критические задачи.</w:t>
      </w:r>
    </w:p>
    <w:p>
      <w:pPr>
        <w:pStyle w:val="ListBullet"/>
        <w:spacing w:after="80" w:line="264" w:lineRule="auto"/>
      </w:pPr>
      <w:r>
        <w:rPr>
          <w:rFonts w:ascii="Aptos" w:hAnsi="Aptos" w:eastAsia="Aptos"/>
          <w:color w:val="1F2933"/>
          <w:sz w:val="22"/>
        </w:rPr>
        <w:t>Еженедельно: revenue, operations, owner/deal pipeline, partner requests и product reliability.</w:t>
      </w:r>
    </w:p>
    <w:p>
      <w:pPr>
        <w:pStyle w:val="ListBullet"/>
        <w:spacing w:after="80" w:line="264" w:lineRule="auto"/>
      </w:pPr>
      <w:r>
        <w:rPr>
          <w:rFonts w:ascii="Aptos" w:hAnsi="Aptos" w:eastAsia="Aptos"/>
          <w:color w:val="1F2933"/>
          <w:sz w:val="22"/>
        </w:rPr>
        <w:t>Ежемесячно: P&amp;L, reconciliation, owner reports, quality, marketing attribution и people capacity.</w:t>
      </w:r>
    </w:p>
    <w:p>
      <w:pPr>
        <w:pStyle w:val="ListBullet"/>
        <w:spacing w:after="80" w:line="264" w:lineRule="auto"/>
      </w:pPr>
      <w:r>
        <w:rPr>
          <w:rFonts w:ascii="Aptos" w:hAnsi="Aptos" w:eastAsia="Aptos"/>
          <w:color w:val="1F2933"/>
          <w:sz w:val="22"/>
        </w:rPr>
        <w:t>Ежеквартально: portfolio review, risks, pricing rules, experiments, strategy и приложения к библии.</w:t>
      </w:r>
    </w:p>
    <w:p>
      <w:pPr>
        <w:pStyle w:val="ListBullet"/>
        <w:spacing w:after="80" w:line="264" w:lineRule="auto"/>
      </w:pPr>
      <w:r>
        <w:rPr>
          <w:rFonts w:ascii="Aptos" w:hAnsi="Aptos" w:eastAsia="Aptos"/>
          <w:color w:val="1F2933"/>
          <w:sz w:val="22"/>
        </w:rPr>
        <w:t>Ежегодно: доктрина, бюджет, targets, organisation design, compensation и succession readiness.</w:t>
      </w:r>
    </w:p>
    <w:p>
      <w:pPr>
        <w:pStyle w:val="Heading1"/>
        <w:keepNext/>
      </w:pPr>
      <w:r>
        <w:t>26. Партнёрская система</w:t>
      </w:r>
    </w:p>
    <w:p>
      <w:pPr>
        <w:spacing w:before="0" w:after="120" w:line="264" w:lineRule="auto"/>
        <w:jc w:val="left"/>
      </w:pPr>
      <w:r>
        <w:rPr>
          <w:rFonts w:ascii="Aptos" w:hAnsi="Aptos" w:eastAsia="Aptos"/>
          <w:b w:val="0"/>
          <w:i w:val="0"/>
          <w:color w:val="1F2933"/>
          <w:sz w:val="22"/>
        </w:rPr>
        <w:t>Партнёрство расширяет способность компании, но не размывает границы бренда, данных и ответственности.</w:t>
      </w:r>
    </w:p>
    <w:tbl>
      <w:tblPr>
        <w:tblW w:type="dxa" w:w="9360"/>
        <w:jc w:val="left"/>
        <w:tblLayout w:type="fixed"/>
        <w:tblLook w:firstColumn="1" w:firstRow="1" w:lastColumn="0" w:lastRow="0" w:noHBand="0" w:noVBand="1" w:val="04A0"/>
        <w:tblInd w:w="120" w:type="dxa"/>
        <w:tblBorders>
          <w:top w:val="single" w:sz="6" w:space="0" w:color="D6DCE2"/>
          <w:left w:val="single" w:sz="6" w:space="0" w:color="D6DCE2"/>
          <w:bottom w:val="single" w:sz="6" w:space="0" w:color="D6DCE2"/>
          <w:right w:val="single" w:sz="6" w:space="0" w:color="D6DCE2"/>
          <w:insideH w:val="single" w:sz="6" w:space="0" w:color="D6DCE2"/>
          <w:insideV w:val="single" w:sz="6" w:space="0" w:color="D6DCE2"/>
        </w:tblBorders>
      </w:tblPr>
      <w:tblGrid>
        <w:gridCol w:w="2100"/>
        <w:gridCol w:w="3960"/>
        <w:gridCol w:w="3300"/>
      </w:tblGrid>
      <w:tr>
        <w:trPr>
          <w:tblHeader w:val="true"/>
          <w:cantSplit/>
        </w:trPr>
        <w:tc>
          <w:tcPr>
            <w:tcW w:type="dxa" w:w="2100"/>
            <w:shd w:fill="0B2545"/>
            <w:tcMar>
              <w:top w:w="100" w:type="dxa"/>
              <w:start w:w="130" w:type="dxa"/>
              <w:bottom w:w="100" w:type="dxa"/>
              <w:end w:w="130" w:type="dxa"/>
            </w:tcMar>
            <w:vAlign w:val="center"/>
          </w:tcPr>
          <w:p>
            <w:pPr>
              <w:spacing w:after="0" w:line="240" w:lineRule="auto"/>
            </w:pPr>
            <w:r>
              <w:rPr>
                <w:rFonts w:ascii="Aptos" w:hAnsi="Aptos" w:eastAsia="Aptos"/>
                <w:b/>
                <w:color w:val="FFFFFF"/>
                <w:sz w:val="19"/>
              </w:rPr>
              <w:t>ТИП</w:t>
            </w:r>
          </w:p>
        </w:tc>
        <w:tc>
          <w:tcPr>
            <w:tcW w:type="dxa" w:w="3960"/>
            <w:shd w:fill="0B2545"/>
            <w:tcMar>
              <w:top w:w="100" w:type="dxa"/>
              <w:start w:w="130" w:type="dxa"/>
              <w:bottom w:w="100" w:type="dxa"/>
              <w:end w:w="130" w:type="dxa"/>
            </w:tcMar>
            <w:vAlign w:val="center"/>
          </w:tcPr>
          <w:p>
            <w:pPr>
              <w:spacing w:after="0" w:line="240" w:lineRule="auto"/>
            </w:pPr>
            <w:r>
              <w:rPr>
                <w:rFonts w:ascii="Aptos" w:hAnsi="Aptos" w:eastAsia="Aptos"/>
                <w:b/>
                <w:color w:val="FFFFFF"/>
                <w:sz w:val="19"/>
              </w:rPr>
              <w:t>РОЛЬ</w:t>
            </w:r>
          </w:p>
        </w:tc>
        <w:tc>
          <w:tcPr>
            <w:tcW w:type="dxa" w:w="3300"/>
            <w:shd w:fill="0B2545"/>
            <w:tcMar>
              <w:top w:w="100" w:type="dxa"/>
              <w:start w:w="130" w:type="dxa"/>
              <w:bottom w:w="100" w:type="dxa"/>
              <w:end w:w="130" w:type="dxa"/>
            </w:tcMar>
            <w:vAlign w:val="center"/>
          </w:tcPr>
          <w:p>
            <w:pPr>
              <w:spacing w:after="0" w:line="240" w:lineRule="auto"/>
            </w:pPr>
            <w:r>
              <w:rPr>
                <w:rFonts w:ascii="Aptos" w:hAnsi="Aptos" w:eastAsia="Aptos"/>
                <w:b/>
                <w:color w:val="FFFFFF"/>
                <w:sz w:val="19"/>
              </w:rPr>
              <w:t>МИНИМАЛЬНЫЙ КОНТРОЛЬ</w:t>
            </w:r>
          </w:p>
        </w:tc>
      </w:tr>
      <w:tr>
        <w:trPr>
          <w:cantSplit/>
        </w:trPr>
        <w:tc>
          <w:tcPr>
            <w:tcW w:type="dxa" w:w="2100"/>
            <w:tcMar>
              <w:top w:w="100" w:type="dxa"/>
              <w:start w:w="130" w:type="dxa"/>
              <w:bottom w:w="100" w:type="dxa"/>
              <w:end w:w="130" w:type="dxa"/>
            </w:tcMar>
            <w:vAlign w:val="center"/>
          </w:tcPr>
          <w:p>
            <w:pPr>
              <w:spacing w:after="0" w:line="252" w:lineRule="auto"/>
            </w:pPr>
            <w:r>
              <w:rPr>
                <w:rFonts w:ascii="Aptos" w:hAnsi="Aptos" w:eastAsia="Aptos"/>
                <w:b/>
                <w:color w:val="0B2545"/>
                <w:sz w:val="19"/>
              </w:rPr>
              <w:t>Referral partner</w:t>
            </w:r>
          </w:p>
        </w:tc>
        <w:tc>
          <w:tcPr>
            <w:tcW w:type="dxa" w:w="3960"/>
            <w:tcMar>
              <w:top w:w="100" w:type="dxa"/>
              <w:start w:w="130" w:type="dxa"/>
              <w:bottom w:w="100" w:type="dxa"/>
              <w:end w:w="130" w:type="dxa"/>
            </w:tcMar>
            <w:vAlign w:val="center"/>
          </w:tcPr>
          <w:p>
            <w:pPr>
              <w:spacing w:after="0" w:line="252" w:lineRule="auto"/>
            </w:pPr>
            <w:r>
              <w:rPr>
                <w:rFonts w:ascii="Aptos" w:hAnsi="Aptos" w:eastAsia="Aptos"/>
                <w:b w:val="0"/>
                <w:color w:val="1F2933"/>
                <w:sz w:val="19"/>
              </w:rPr>
              <w:t>Тёплое представление подтверждённого клиента или актива.</w:t>
            </w:r>
          </w:p>
        </w:tc>
        <w:tc>
          <w:tcPr>
            <w:tcW w:type="dxa" w:w="3300"/>
            <w:tcMar>
              <w:top w:w="100" w:type="dxa"/>
              <w:start w:w="130" w:type="dxa"/>
              <w:bottom w:w="100" w:type="dxa"/>
              <w:end w:w="130" w:type="dxa"/>
            </w:tcMar>
            <w:vAlign w:val="center"/>
          </w:tcPr>
          <w:p>
            <w:pPr>
              <w:spacing w:after="0" w:line="252" w:lineRule="auto"/>
            </w:pPr>
            <w:r>
              <w:rPr>
                <w:rFonts w:ascii="Aptos" w:hAnsi="Aptos" w:eastAsia="Aptos"/>
                <w:b w:val="0"/>
                <w:color w:val="1F2933"/>
                <w:sz w:val="19"/>
              </w:rPr>
              <w:t>Регистрация источника, срок защиты, комиссия и статус.</w:t>
            </w:r>
          </w:p>
        </w:tc>
      </w:tr>
      <w:tr>
        <w:trPr>
          <w:cantSplit/>
        </w:trPr>
        <w:tc>
          <w:tcPr>
            <w:tcW w:type="dxa" w:w="2100"/>
            <w:tcMar>
              <w:top w:w="100" w:type="dxa"/>
              <w:start w:w="130" w:type="dxa"/>
              <w:bottom w:w="100" w:type="dxa"/>
              <w:end w:w="130" w:type="dxa"/>
            </w:tcMar>
            <w:vAlign w:val="center"/>
            <w:shd w:fill="FAFBFC"/>
          </w:tcPr>
          <w:p>
            <w:pPr>
              <w:spacing w:after="0" w:line="252" w:lineRule="auto"/>
            </w:pPr>
            <w:r>
              <w:rPr>
                <w:rFonts w:ascii="Aptos" w:hAnsi="Aptos" w:eastAsia="Aptos"/>
                <w:b/>
                <w:color w:val="0B2545"/>
                <w:sz w:val="19"/>
              </w:rPr>
              <w:t>Booking / distribution</w:t>
            </w:r>
          </w:p>
        </w:tc>
        <w:tc>
          <w:tcPr>
            <w:tcW w:type="dxa" w:w="396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Продажа доступного инвентаря.</w:t>
            </w:r>
          </w:p>
        </w:tc>
        <w:tc>
          <w:tcPr>
            <w:tcW w:type="dxa" w:w="330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Цена, availability, payment, cancellation, SLA и attribution.</w:t>
            </w:r>
          </w:p>
        </w:tc>
      </w:tr>
      <w:tr>
        <w:trPr>
          <w:cantSplit/>
        </w:trPr>
        <w:tc>
          <w:tcPr>
            <w:tcW w:type="dxa" w:w="2100"/>
            <w:tcMar>
              <w:top w:w="100" w:type="dxa"/>
              <w:start w:w="130" w:type="dxa"/>
              <w:bottom w:w="100" w:type="dxa"/>
              <w:end w:w="130" w:type="dxa"/>
            </w:tcMar>
            <w:vAlign w:val="center"/>
          </w:tcPr>
          <w:p>
            <w:pPr>
              <w:spacing w:after="0" w:line="252" w:lineRule="auto"/>
            </w:pPr>
            <w:r>
              <w:rPr>
                <w:rFonts w:ascii="Aptos" w:hAnsi="Aptos" w:eastAsia="Aptos"/>
                <w:b/>
                <w:color w:val="0B2545"/>
                <w:sz w:val="19"/>
              </w:rPr>
              <w:t>External operator</w:t>
            </w:r>
          </w:p>
        </w:tc>
        <w:tc>
          <w:tcPr>
            <w:tcW w:type="dxa" w:w="3960"/>
            <w:tcMar>
              <w:top w:w="100" w:type="dxa"/>
              <w:start w:w="130" w:type="dxa"/>
              <w:bottom w:w="100" w:type="dxa"/>
              <w:end w:w="130" w:type="dxa"/>
            </w:tcMar>
            <w:vAlign w:val="center"/>
          </w:tcPr>
          <w:p>
            <w:pPr>
              <w:spacing w:after="0" w:line="252" w:lineRule="auto"/>
            </w:pPr>
            <w:r>
              <w:rPr>
                <w:rFonts w:ascii="Aptos" w:hAnsi="Aptos" w:eastAsia="Aptos"/>
                <w:b w:val="0"/>
                <w:color w:val="1F2933"/>
                <w:sz w:val="19"/>
              </w:rPr>
              <w:t>Фактическое исполнение партнёрского объекта.</w:t>
            </w:r>
          </w:p>
        </w:tc>
        <w:tc>
          <w:tcPr>
            <w:tcW w:type="dxa" w:w="3300"/>
            <w:tcMar>
              <w:top w:w="100" w:type="dxa"/>
              <w:start w:w="130" w:type="dxa"/>
              <w:bottom w:w="100" w:type="dxa"/>
              <w:end w:w="130" w:type="dxa"/>
            </w:tcMar>
            <w:vAlign w:val="center"/>
          </w:tcPr>
          <w:p>
            <w:pPr>
              <w:spacing w:after="0" w:line="252" w:lineRule="auto"/>
            </w:pPr>
            <w:r>
              <w:rPr>
                <w:rFonts w:ascii="Aptos" w:hAnsi="Aptos" w:eastAsia="Aptos"/>
                <w:b w:val="0"/>
                <w:color w:val="1F2933"/>
                <w:sz w:val="19"/>
              </w:rPr>
              <w:t>Легальность, страховка, качество, жалобы, данные и ответственность.</w:t>
            </w:r>
          </w:p>
        </w:tc>
      </w:tr>
      <w:tr>
        <w:trPr>
          <w:cantSplit/>
        </w:trPr>
        <w:tc>
          <w:tcPr>
            <w:tcW w:type="dxa" w:w="2100"/>
            <w:tcMar>
              <w:top w:w="100" w:type="dxa"/>
              <w:start w:w="130" w:type="dxa"/>
              <w:bottom w:w="100" w:type="dxa"/>
              <w:end w:w="130" w:type="dxa"/>
            </w:tcMar>
            <w:vAlign w:val="center"/>
            <w:shd w:fill="FAFBFC"/>
          </w:tcPr>
          <w:p>
            <w:pPr>
              <w:spacing w:after="0" w:line="252" w:lineRule="auto"/>
            </w:pPr>
            <w:r>
              <w:rPr>
                <w:rFonts w:ascii="Aptos" w:hAnsi="Aptos" w:eastAsia="Aptos"/>
                <w:b/>
                <w:color w:val="0B2545"/>
                <w:sz w:val="19"/>
              </w:rPr>
              <w:t>Service provider</w:t>
            </w:r>
          </w:p>
        </w:tc>
        <w:tc>
          <w:tcPr>
            <w:tcW w:type="dxa" w:w="396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Уборка, maintenance, трансфер или иная функция.</w:t>
            </w:r>
          </w:p>
        </w:tc>
        <w:tc>
          <w:tcPr>
            <w:tcW w:type="dxa" w:w="330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Scope, price, access, evidence, safety и substitution right.</w:t>
            </w:r>
          </w:p>
        </w:tc>
      </w:tr>
      <w:tr>
        <w:trPr>
          <w:cantSplit/>
        </w:trPr>
        <w:tc>
          <w:tcPr>
            <w:tcW w:type="dxa" w:w="2100"/>
            <w:tcMar>
              <w:top w:w="100" w:type="dxa"/>
              <w:start w:w="130" w:type="dxa"/>
              <w:bottom w:w="100" w:type="dxa"/>
              <w:end w:w="130" w:type="dxa"/>
            </w:tcMar>
            <w:vAlign w:val="center"/>
          </w:tcPr>
          <w:p>
            <w:pPr>
              <w:spacing w:after="0" w:line="252" w:lineRule="auto"/>
            </w:pPr>
            <w:r>
              <w:rPr>
                <w:rFonts w:ascii="Aptos" w:hAnsi="Aptos" w:eastAsia="Aptos"/>
                <w:b/>
                <w:color w:val="0B2545"/>
                <w:sz w:val="19"/>
              </w:rPr>
              <w:t>Sales partner</w:t>
            </w:r>
          </w:p>
        </w:tc>
        <w:tc>
          <w:tcPr>
            <w:tcW w:type="dxa" w:w="3960"/>
            <w:tcMar>
              <w:top w:w="100" w:type="dxa"/>
              <w:start w:w="130" w:type="dxa"/>
              <w:bottom w:w="100" w:type="dxa"/>
              <w:end w:w="130" w:type="dxa"/>
            </w:tcMar>
            <w:vAlign w:val="center"/>
          </w:tcPr>
          <w:p>
            <w:pPr>
              <w:spacing w:after="0" w:line="252" w:lineRule="auto"/>
            </w:pPr>
            <w:r>
              <w:rPr>
                <w:rFonts w:ascii="Aptos" w:hAnsi="Aptos" w:eastAsia="Aptos"/>
                <w:b w:val="0"/>
                <w:color w:val="1F2933"/>
                <w:sz w:val="19"/>
              </w:rPr>
              <w:t>Покупатель, продавец или совместная сделка.</w:t>
            </w:r>
          </w:p>
        </w:tc>
        <w:tc>
          <w:tcPr>
            <w:tcW w:type="dxa" w:w="3300"/>
            <w:tcMar>
              <w:top w:w="100" w:type="dxa"/>
              <w:start w:w="130" w:type="dxa"/>
              <w:bottom w:w="100" w:type="dxa"/>
              <w:end w:w="130" w:type="dxa"/>
            </w:tcMar>
            <w:vAlign w:val="center"/>
          </w:tcPr>
          <w:p>
            <w:pPr>
              <w:spacing w:after="0" w:line="252" w:lineRule="auto"/>
            </w:pPr>
            <w:r>
              <w:rPr>
                <w:rFonts w:ascii="Aptos" w:hAnsi="Aptos" w:eastAsia="Aptos"/>
                <w:b w:val="0"/>
                <w:color w:val="1F2933"/>
                <w:sz w:val="19"/>
              </w:rPr>
              <w:t>Lead ownership, disclosure, non-circumvention и closing statement.</w:t>
            </w:r>
          </w:p>
        </w:tc>
      </w:tr>
      <w:tr>
        <w:trPr>
          <w:cantSplit/>
        </w:trPr>
        <w:tc>
          <w:tcPr>
            <w:tcW w:type="dxa" w:w="2100"/>
            <w:tcMar>
              <w:top w:w="100" w:type="dxa"/>
              <w:start w:w="130" w:type="dxa"/>
              <w:bottom w:w="100" w:type="dxa"/>
              <w:end w:w="130" w:type="dxa"/>
            </w:tcMar>
            <w:vAlign w:val="center"/>
            <w:shd w:fill="FAFBFC"/>
          </w:tcPr>
          <w:p>
            <w:pPr>
              <w:spacing w:after="0" w:line="252" w:lineRule="auto"/>
            </w:pPr>
            <w:r>
              <w:rPr>
                <w:rFonts w:ascii="Aptos" w:hAnsi="Aptos" w:eastAsia="Aptos"/>
                <w:b/>
                <w:color w:val="0B2545"/>
                <w:sz w:val="19"/>
              </w:rPr>
              <w:t>Professional adviser</w:t>
            </w:r>
          </w:p>
        </w:tc>
        <w:tc>
          <w:tcPr>
            <w:tcW w:type="dxa" w:w="396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Юридическая, налоговая, техническая или иная независимая экспертиза.</w:t>
            </w:r>
          </w:p>
        </w:tc>
        <w:tc>
          <w:tcPr>
            <w:tcW w:type="dxa" w:w="330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Компетенция, independence, engagement scope и reliance limits.</w:t>
            </w:r>
          </w:p>
        </w:tc>
      </w:tr>
    </w:tbl>
    <w:p>
      <w:pPr>
        <w:spacing w:before="0" w:after="40" w:line="264" w:lineRule="auto"/>
        <w:jc w:val="left"/>
      </w:pPr>
    </w:p>
    <w:p>
      <w:pPr>
        <w:spacing w:before="0" w:after="120" w:line="264" w:lineRule="auto"/>
        <w:jc w:val="left"/>
      </w:pPr>
      <w:r>
        <w:rPr>
          <w:rFonts w:ascii="Aptos" w:hAnsi="Aptos" w:eastAsia="Aptos"/>
          <w:b w:val="0"/>
          <w:i w:val="0"/>
          <w:color w:val="1F2933"/>
          <w:sz w:val="22"/>
        </w:rPr>
        <w:t>Партнёр проходит Apply → Verify → Contract → Pilot → Score → Scale / Suspend. Дублирование лида решается по подтверждённому source trail, а не по должности или устному заявлению. Комиссия возникает только при определённом договором событии; возвраты, отмены и повторные сделки учитываются заранее.</w:t>
      </w:r>
    </w:p>
    <w:p>
      <w:r>
        <w:br w:type="page"/>
      </w:r>
    </w:p>
    <w:p>
      <w:pPr>
        <w:pStyle w:val="Heading1"/>
        <w:keepNext/>
      </w:pPr>
      <w:r>
        <w:t>27. Риск, право, этика и конфликты интересов</w:t>
      </w:r>
    </w:p>
    <w:p>
      <w:pPr>
        <w:pStyle w:val="Heading2"/>
        <w:keepNext/>
      </w:pPr>
      <w:r>
        <w:t>27.1. Реестр рисков</w:t>
      </w:r>
    </w:p>
    <w:p>
      <w:pPr>
        <w:spacing w:before="0" w:after="120" w:line="264" w:lineRule="auto"/>
        <w:jc w:val="left"/>
      </w:pPr>
      <w:r>
        <w:rPr>
          <w:rFonts w:ascii="Aptos" w:hAnsi="Aptos" w:eastAsia="Aptos"/>
          <w:b w:val="0"/>
          <w:i w:val="0"/>
          <w:color w:val="1F2933"/>
          <w:sz w:val="22"/>
        </w:rPr>
        <w:t>Компания ведёт единый risk register по категориям: лицензирование и правила здания; безопасность; договоры; налоги; качество строительства; финансовое мошенничество; cybersecurity и privacy; недостоверный маркетинг; контрагенты; сезонность; концентрация; OTA и platform dependency; репутация; key-person risk; валютные и макроэкономические изменения. Для каждого риска фиксируются вероятность, воздействие, владелец, контроль, residual risk и дата review.</w:t>
      </w:r>
    </w:p>
    <w:p>
      <w:pPr>
        <w:pStyle w:val="Heading2"/>
        <w:keepNext/>
      </w:pPr>
      <w:r>
        <w:t>27.2. Полное раскрытие</w:t>
      </w:r>
    </w:p>
    <w:p>
      <w:pPr>
        <w:spacing w:before="0" w:after="120" w:line="264" w:lineRule="auto"/>
        <w:jc w:val="left"/>
      </w:pPr>
      <w:r>
        <w:rPr>
          <w:rFonts w:ascii="Aptos" w:hAnsi="Aptos" w:eastAsia="Aptos"/>
          <w:b w:val="0"/>
          <w:i w:val="0"/>
          <w:color w:val="1F2933"/>
          <w:sz w:val="22"/>
        </w:rPr>
        <w:t>Собственнику раскрываются management и performance fee, агентские и партнёрские комиссии, маржа на услугах, связанные лица и иные материальные интересы. Покупателю раскрывается, кто платит компании и где компания одновременно управляет или продаёт актив. Гостю раскрывается фактический оператор партнёрского объекта.</w:t>
      </w:r>
    </w:p>
    <w:p>
      <w:pPr>
        <w:pStyle w:val="Heading2"/>
        <w:keepNext/>
      </w:pPr>
      <w:r>
        <w:t>27.3. Конфликты интересов</w:t>
      </w:r>
    </w:p>
    <w:tbl>
      <w:tblPr>
        <w:tblW w:type="dxa" w:w="9360"/>
        <w:jc w:val="left"/>
        <w:tblLayout w:type="fixed"/>
        <w:tblLook w:firstColumn="1" w:firstRow="1" w:lastColumn="0" w:lastRow="0" w:noHBand="0" w:noVBand="1" w:val="04A0"/>
        <w:tblInd w:w="120" w:type="dxa"/>
        <w:tblBorders>
          <w:top w:val="single" w:sz="6" w:space="0" w:color="D6DCE2"/>
          <w:left w:val="single" w:sz="6" w:space="0" w:color="D6DCE2"/>
          <w:bottom w:val="single" w:sz="6" w:space="0" w:color="D6DCE2"/>
          <w:right w:val="single" w:sz="6" w:space="0" w:color="D6DCE2"/>
          <w:insideH w:val="single" w:sz="6" w:space="0" w:color="D6DCE2"/>
          <w:insideV w:val="single" w:sz="6" w:space="0" w:color="D6DCE2"/>
        </w:tblBorders>
      </w:tblPr>
      <w:tblGrid>
        <w:gridCol w:w="3900"/>
        <w:gridCol w:w="5460"/>
      </w:tblGrid>
      <w:tr>
        <w:trPr>
          <w:tblHeader w:val="true"/>
          <w:cantSplit/>
        </w:trPr>
        <w:tc>
          <w:tcPr>
            <w:tcW w:type="dxa" w:w="3900"/>
            <w:shd w:fill="0B2545"/>
            <w:tcMar>
              <w:top w:w="100" w:type="dxa"/>
              <w:start w:w="130" w:type="dxa"/>
              <w:bottom w:w="100" w:type="dxa"/>
              <w:end w:w="130" w:type="dxa"/>
            </w:tcMar>
            <w:vAlign w:val="center"/>
          </w:tcPr>
          <w:p>
            <w:pPr>
              <w:spacing w:after="0" w:line="240" w:lineRule="auto"/>
            </w:pPr>
            <w:r>
              <w:rPr>
                <w:rFonts w:ascii="Aptos" w:hAnsi="Aptos" w:eastAsia="Aptos"/>
                <w:b/>
                <w:color w:val="FFFFFF"/>
                <w:sz w:val="19"/>
              </w:rPr>
              <w:t>СИТУАЦИЯ</w:t>
            </w:r>
          </w:p>
        </w:tc>
        <w:tc>
          <w:tcPr>
            <w:tcW w:type="dxa" w:w="5460"/>
            <w:shd w:fill="0B2545"/>
            <w:tcMar>
              <w:top w:w="100" w:type="dxa"/>
              <w:start w:w="130" w:type="dxa"/>
              <w:bottom w:w="100" w:type="dxa"/>
              <w:end w:w="130" w:type="dxa"/>
            </w:tcMar>
            <w:vAlign w:val="center"/>
          </w:tcPr>
          <w:p>
            <w:pPr>
              <w:spacing w:after="0" w:line="240" w:lineRule="auto"/>
            </w:pPr>
            <w:r>
              <w:rPr>
                <w:rFonts w:ascii="Aptos" w:hAnsi="Aptos" w:eastAsia="Aptos"/>
                <w:b/>
                <w:color w:val="FFFFFF"/>
                <w:sz w:val="19"/>
              </w:rPr>
              <w:t>ОБЯЗАТЕЛЬНОЕ ДЕЙСТВИЕ</w:t>
            </w:r>
          </w:p>
        </w:tc>
      </w:tr>
      <w:tr>
        <w:trPr>
          <w:cantSplit/>
        </w:trPr>
        <w:tc>
          <w:tcPr>
            <w:tcW w:type="dxa" w:w="3900"/>
            <w:tcMar>
              <w:top w:w="100" w:type="dxa"/>
              <w:start w:w="130" w:type="dxa"/>
              <w:bottom w:w="100" w:type="dxa"/>
              <w:end w:w="130" w:type="dxa"/>
            </w:tcMar>
            <w:vAlign w:val="center"/>
          </w:tcPr>
          <w:p>
            <w:pPr>
              <w:spacing w:after="0" w:line="252" w:lineRule="auto"/>
            </w:pPr>
            <w:r>
              <w:rPr>
                <w:rFonts w:ascii="Aptos" w:hAnsi="Aptos" w:eastAsia="Aptos"/>
                <w:b/>
                <w:color w:val="0B2545"/>
                <w:sz w:val="19"/>
              </w:rPr>
              <w:t>Компания управляет и продаёт актив</w:t>
            </w:r>
          </w:p>
        </w:tc>
        <w:tc>
          <w:tcPr>
            <w:tcW w:type="dxa" w:w="5460"/>
            <w:tcMar>
              <w:top w:w="100" w:type="dxa"/>
              <w:start w:w="130" w:type="dxa"/>
              <w:bottom w:w="100" w:type="dxa"/>
              <w:end w:w="130" w:type="dxa"/>
            </w:tcMar>
            <w:vAlign w:val="center"/>
          </w:tcPr>
          <w:p>
            <w:pPr>
              <w:spacing w:after="0" w:line="252" w:lineRule="auto"/>
            </w:pPr>
            <w:r>
              <w:rPr>
                <w:rFonts w:ascii="Aptos" w:hAnsi="Aptos" w:eastAsia="Aptos"/>
                <w:b w:val="0"/>
                <w:color w:val="1F2933"/>
                <w:sz w:val="19"/>
              </w:rPr>
              <w:t>Раскрыть обе роли, обосновать цену, дать собственнику право решения и документировать offers.</w:t>
            </w:r>
          </w:p>
        </w:tc>
      </w:tr>
      <w:tr>
        <w:trPr>
          <w:cantSplit/>
        </w:trPr>
        <w:tc>
          <w:tcPr>
            <w:tcW w:type="dxa" w:w="3900"/>
            <w:tcMar>
              <w:top w:w="100" w:type="dxa"/>
              <w:start w:w="130" w:type="dxa"/>
              <w:bottom w:w="100" w:type="dxa"/>
              <w:end w:w="130" w:type="dxa"/>
            </w:tcMar>
            <w:vAlign w:val="center"/>
            <w:shd w:fill="FAFBFC"/>
          </w:tcPr>
          <w:p>
            <w:pPr>
              <w:spacing w:after="0" w:line="252" w:lineRule="auto"/>
            </w:pPr>
            <w:r>
              <w:rPr>
                <w:rFonts w:ascii="Aptos" w:hAnsi="Aptos" w:eastAsia="Aptos"/>
                <w:b/>
                <w:color w:val="0B2545"/>
                <w:sz w:val="19"/>
              </w:rPr>
              <w:t>Покупатель представлен при комиссии продавца</w:t>
            </w:r>
          </w:p>
        </w:tc>
        <w:tc>
          <w:tcPr>
            <w:tcW w:type="dxa" w:w="546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Раскрыть источник оплаты и предел независимого представительства.</w:t>
            </w:r>
          </w:p>
        </w:tc>
      </w:tr>
      <w:tr>
        <w:trPr>
          <w:cantSplit/>
        </w:trPr>
        <w:tc>
          <w:tcPr>
            <w:tcW w:type="dxa" w:w="3900"/>
            <w:tcMar>
              <w:top w:w="100" w:type="dxa"/>
              <w:start w:w="130" w:type="dxa"/>
              <w:bottom w:w="100" w:type="dxa"/>
              <w:end w:w="130" w:type="dxa"/>
            </w:tcMar>
            <w:vAlign w:val="center"/>
          </w:tcPr>
          <w:p>
            <w:pPr>
              <w:spacing w:after="0" w:line="252" w:lineRule="auto"/>
            </w:pPr>
            <w:r>
              <w:rPr>
                <w:rFonts w:ascii="Aptos" w:hAnsi="Aptos" w:eastAsia="Aptos"/>
                <w:b/>
                <w:color w:val="0B2545"/>
                <w:sz w:val="19"/>
              </w:rPr>
              <w:t>ClearView оценивает платящего клиента</w:t>
            </w:r>
          </w:p>
        </w:tc>
        <w:tc>
          <w:tcPr>
            <w:tcW w:type="dxa" w:w="5460"/>
            <w:tcMar>
              <w:top w:w="100" w:type="dxa"/>
              <w:start w:w="130" w:type="dxa"/>
              <w:bottom w:w="100" w:type="dxa"/>
              <w:end w:w="130" w:type="dxa"/>
            </w:tcMar>
            <w:vAlign w:val="center"/>
          </w:tcPr>
          <w:p>
            <w:pPr>
              <w:spacing w:after="0" w:line="252" w:lineRule="auto"/>
            </w:pPr>
            <w:r>
              <w:rPr>
                <w:rFonts w:ascii="Aptos" w:hAnsi="Aptos" w:eastAsia="Aptos"/>
                <w:b w:val="0"/>
                <w:color w:val="1F2933"/>
                <w:sz w:val="19"/>
              </w:rPr>
              <w:t>Коммерческая функция не меняет метод, evidence или reviewer conclusion.</w:t>
            </w:r>
          </w:p>
        </w:tc>
      </w:tr>
      <w:tr>
        <w:trPr>
          <w:cantSplit/>
        </w:trPr>
        <w:tc>
          <w:tcPr>
            <w:tcW w:type="dxa" w:w="3900"/>
            <w:tcMar>
              <w:top w:w="100" w:type="dxa"/>
              <w:start w:w="130" w:type="dxa"/>
              <w:bottom w:w="100" w:type="dxa"/>
              <w:end w:w="130" w:type="dxa"/>
            </w:tcMar>
            <w:vAlign w:val="center"/>
            <w:shd w:fill="FAFBFC"/>
          </w:tcPr>
          <w:p>
            <w:pPr>
              <w:spacing w:after="0" w:line="252" w:lineRule="auto"/>
            </w:pPr>
            <w:r>
              <w:rPr>
                <w:rFonts w:ascii="Aptos" w:hAnsi="Aptos" w:eastAsia="Aptos"/>
                <w:b/>
                <w:color w:val="0B2545"/>
                <w:sz w:val="19"/>
              </w:rPr>
              <w:t>Гость размещён у партнёра</w:t>
            </w:r>
          </w:p>
        </w:tc>
        <w:tc>
          <w:tcPr>
            <w:tcW w:type="dxa" w:w="546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Назвать оператора, роль Ignatev Estate, комиссию где требуется и границы ответственности.</w:t>
            </w:r>
          </w:p>
        </w:tc>
      </w:tr>
      <w:tr>
        <w:trPr>
          <w:cantSplit/>
        </w:trPr>
        <w:tc>
          <w:tcPr>
            <w:tcW w:type="dxa" w:w="3900"/>
            <w:tcMar>
              <w:top w:w="100" w:type="dxa"/>
              <w:start w:w="130" w:type="dxa"/>
              <w:bottom w:w="100" w:type="dxa"/>
              <w:end w:w="130" w:type="dxa"/>
            </w:tcMar>
            <w:vAlign w:val="center"/>
          </w:tcPr>
          <w:p>
            <w:pPr>
              <w:spacing w:after="0" w:line="252" w:lineRule="auto"/>
            </w:pPr>
            <w:r>
              <w:rPr>
                <w:rFonts w:ascii="Aptos" w:hAnsi="Aptos" w:eastAsia="Aptos"/>
                <w:b/>
                <w:color w:val="0B2545"/>
                <w:sz w:val="19"/>
              </w:rPr>
              <w:t>Связанный подрядчик</w:t>
            </w:r>
          </w:p>
        </w:tc>
        <w:tc>
          <w:tcPr>
            <w:tcW w:type="dxa" w:w="5460"/>
            <w:tcMar>
              <w:top w:w="100" w:type="dxa"/>
              <w:start w:w="130" w:type="dxa"/>
              <w:bottom w:w="100" w:type="dxa"/>
              <w:end w:w="130" w:type="dxa"/>
            </w:tcMar>
            <w:vAlign w:val="center"/>
          </w:tcPr>
          <w:p>
            <w:pPr>
              <w:spacing w:after="0" w:line="252" w:lineRule="auto"/>
            </w:pPr>
            <w:r>
              <w:rPr>
                <w:rFonts w:ascii="Aptos" w:hAnsi="Aptos" w:eastAsia="Aptos"/>
                <w:b w:val="0"/>
                <w:color w:val="1F2933"/>
                <w:sz w:val="19"/>
              </w:rPr>
              <w:t>Раскрыть связь, сравнить условия и получить независимое approval.</w:t>
            </w:r>
          </w:p>
        </w:tc>
      </w:tr>
      <w:tr>
        <w:trPr>
          <w:cantSplit/>
        </w:trPr>
        <w:tc>
          <w:tcPr>
            <w:tcW w:type="dxa" w:w="3900"/>
            <w:tcMar>
              <w:top w:w="100" w:type="dxa"/>
              <w:start w:w="130" w:type="dxa"/>
              <w:bottom w:w="100" w:type="dxa"/>
              <w:end w:w="130" w:type="dxa"/>
            </w:tcMar>
            <w:vAlign w:val="center"/>
            <w:shd w:fill="FAFBFC"/>
          </w:tcPr>
          <w:p>
            <w:pPr>
              <w:spacing w:after="0" w:line="252" w:lineRule="auto"/>
            </w:pPr>
            <w:r>
              <w:rPr>
                <w:rFonts w:ascii="Aptos" w:hAnsi="Aptos" w:eastAsia="Aptos"/>
                <w:b/>
                <w:color w:val="0B2545"/>
                <w:sz w:val="19"/>
              </w:rPr>
              <w:t>Интересы гостя и собственника расходятся</w:t>
            </w:r>
          </w:p>
        </w:tc>
        <w:tc>
          <w:tcPr>
            <w:tcW w:type="dxa" w:w="546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Безопасность и законность прежде экономики; спор эскалируется одному decision owner.</w:t>
            </w:r>
          </w:p>
        </w:tc>
      </w:tr>
    </w:tbl>
    <w:p>
      <w:pPr>
        <w:spacing w:before="0" w:after="40" w:line="264" w:lineRule="auto"/>
        <w:jc w:val="left"/>
      </w:pPr>
    </w:p>
    <w:p>
      <w:pPr>
        <w:spacing w:before="0" w:after="120" w:line="264" w:lineRule="auto"/>
        <w:jc w:val="left"/>
      </w:pPr>
      <w:r>
        <w:rPr>
          <w:rFonts w:ascii="Aptos" w:hAnsi="Aptos" w:eastAsia="Aptos"/>
          <w:b w:val="0"/>
          <w:i w:val="0"/>
          <w:color w:val="1F2933"/>
          <w:sz w:val="22"/>
        </w:rPr>
        <w:t>Раскрытие не всегда устраняет конфликт. Компания отказывается от одной роли, если невозможно дать добросовестное суждение, защитить конфиденциальность или избежать существенного ущерба стороне.</w:t>
      </w:r>
    </w:p>
    <w:p>
      <w:pPr>
        <w:pStyle w:val="Heading2"/>
        <w:keepNext/>
      </w:pPr>
      <w:r>
        <w:t>27.4. Продажа управляемого актива и кейс</w:t>
      </w:r>
    </w:p>
    <w:p>
      <w:pPr>
        <w:spacing w:before="0" w:after="120" w:line="264" w:lineRule="auto"/>
        <w:jc w:val="left"/>
      </w:pPr>
      <w:r>
        <w:rPr>
          <w:rFonts w:ascii="Aptos" w:hAnsi="Aptos" w:eastAsia="Aptos"/>
          <w:b w:val="0"/>
          <w:i w:val="0"/>
          <w:color w:val="1F2933"/>
          <w:sz w:val="22"/>
        </w:rPr>
        <w:t>Роль в будущей продаже, эксклюзивность, KPI, комиссия и post-termination tail согласуются заранее, но не лишают собственника разумного выхода при ненадлежащем исполнении. После завершения мандата компания может описывать только исторически достоверный период и согласованные материалы, не создавая впечатления продолжающегося управления.</w:t>
      </w:r>
    </w:p>
    <w:p>
      <w:pPr>
        <w:pStyle w:val="Heading1"/>
        <w:keepNext/>
      </w:pPr>
      <w:r>
        <w:t>28. Логика масштабирования</w:t>
      </w:r>
    </w:p>
    <w:p>
      <w:pPr>
        <w:spacing w:before="0" w:after="120" w:line="264" w:lineRule="auto"/>
        <w:jc w:val="left"/>
      </w:pPr>
      <w:r>
        <w:rPr>
          <w:rFonts w:ascii="Aptos" w:hAnsi="Aptos" w:eastAsia="Aptos"/>
          <w:b w:val="0"/>
          <w:i w:val="0"/>
          <w:color w:val="1F2933"/>
          <w:sz w:val="22"/>
        </w:rPr>
        <w:t>Масштабирование означает рост контролируемой прибыльной экономики при сохранении стандарта. Количество контактов, партнёров, объектов или функций само по себе не является ростом.</w:t>
      </w:r>
    </w:p>
    <w:tbl>
      <w:tblPr>
        <w:tblW w:type="dxa" w:w="9360"/>
        <w:jc w:val="left"/>
        <w:tblLayout w:type="fixed"/>
        <w:tblLook w:firstColumn="1" w:firstRow="1" w:lastColumn="0" w:lastRow="0" w:noHBand="0" w:noVBand="1" w:val="04A0"/>
        <w:tblInd w:w="120" w:type="dxa"/>
        <w:tblBorders>
          <w:top w:val="single" w:sz="6" w:space="0" w:color="D6DCE2"/>
          <w:left w:val="single" w:sz="6" w:space="0" w:color="D6DCE2"/>
          <w:bottom w:val="single" w:sz="6" w:space="0" w:color="D6DCE2"/>
          <w:right w:val="single" w:sz="6" w:space="0" w:color="D6DCE2"/>
          <w:insideH w:val="single" w:sz="6" w:space="0" w:color="D6DCE2"/>
          <w:insideV w:val="single" w:sz="6" w:space="0" w:color="D6DCE2"/>
        </w:tblBorders>
      </w:tblPr>
      <w:tblGrid>
        <w:gridCol w:w="1680"/>
        <w:gridCol w:w="3840"/>
        <w:gridCol w:w="3840"/>
      </w:tblGrid>
      <w:tr>
        <w:trPr>
          <w:tblHeader w:val="true"/>
          <w:cantSplit/>
        </w:trPr>
        <w:tc>
          <w:tcPr>
            <w:tcW w:type="dxa" w:w="1680"/>
            <w:shd w:fill="0B2545"/>
            <w:tcMar>
              <w:top w:w="100" w:type="dxa"/>
              <w:start w:w="130" w:type="dxa"/>
              <w:bottom w:w="100" w:type="dxa"/>
              <w:end w:w="130" w:type="dxa"/>
            </w:tcMar>
            <w:vAlign w:val="center"/>
          </w:tcPr>
          <w:p>
            <w:pPr>
              <w:spacing w:after="0" w:line="240" w:lineRule="auto"/>
            </w:pPr>
            <w:r>
              <w:rPr>
                <w:rFonts w:ascii="Aptos" w:hAnsi="Aptos" w:eastAsia="Aptos"/>
                <w:b/>
                <w:color w:val="FFFFFF"/>
                <w:sz w:val="19"/>
              </w:rPr>
              <w:t>УРОВЕНЬ</w:t>
            </w:r>
          </w:p>
        </w:tc>
        <w:tc>
          <w:tcPr>
            <w:tcW w:type="dxa" w:w="3840"/>
            <w:shd w:fill="0B2545"/>
            <w:tcMar>
              <w:top w:w="100" w:type="dxa"/>
              <w:start w:w="130" w:type="dxa"/>
              <w:bottom w:w="100" w:type="dxa"/>
              <w:end w:w="130" w:type="dxa"/>
            </w:tcMar>
            <w:vAlign w:val="center"/>
          </w:tcPr>
          <w:p>
            <w:pPr>
              <w:spacing w:after="0" w:line="240" w:lineRule="auto"/>
            </w:pPr>
            <w:r>
              <w:rPr>
                <w:rFonts w:ascii="Aptos" w:hAnsi="Aptos" w:eastAsia="Aptos"/>
                <w:b/>
                <w:color w:val="FFFFFF"/>
                <w:sz w:val="19"/>
              </w:rPr>
              <w:t>ЦЕЛЬ</w:t>
            </w:r>
          </w:p>
        </w:tc>
        <w:tc>
          <w:tcPr>
            <w:tcW w:type="dxa" w:w="3840"/>
            <w:shd w:fill="0B2545"/>
            <w:tcMar>
              <w:top w:w="100" w:type="dxa"/>
              <w:start w:w="130" w:type="dxa"/>
              <w:bottom w:w="100" w:type="dxa"/>
              <w:end w:w="130" w:type="dxa"/>
            </w:tcMar>
            <w:vAlign w:val="center"/>
          </w:tcPr>
          <w:p>
            <w:pPr>
              <w:spacing w:after="0" w:line="240" w:lineRule="auto"/>
            </w:pPr>
            <w:r>
              <w:rPr>
                <w:rFonts w:ascii="Aptos" w:hAnsi="Aptos" w:eastAsia="Aptos"/>
                <w:b/>
                <w:color w:val="FFFFFF"/>
                <w:sz w:val="19"/>
              </w:rPr>
              <w:t>READINESS GATE</w:t>
            </w:r>
          </w:p>
        </w:tc>
      </w:tr>
      <w:tr>
        <w:trPr>
          <w:cantSplit/>
        </w:trPr>
        <w:tc>
          <w:tcPr>
            <w:tcW w:type="dxa" w:w="1680"/>
            <w:tcMar>
              <w:top w:w="100" w:type="dxa"/>
              <w:start w:w="130" w:type="dxa"/>
              <w:bottom w:w="100" w:type="dxa"/>
              <w:end w:w="130" w:type="dxa"/>
            </w:tcMar>
            <w:vAlign w:val="center"/>
          </w:tcPr>
          <w:p>
            <w:pPr>
              <w:spacing w:after="0" w:line="252" w:lineRule="auto"/>
            </w:pPr>
            <w:r>
              <w:rPr>
                <w:rFonts w:ascii="Aptos" w:hAnsi="Aptos" w:eastAsia="Aptos"/>
                <w:b/>
                <w:color w:val="0B2545"/>
                <w:sz w:val="19"/>
              </w:rPr>
              <w:t>1. Existing asset</w:t>
            </w:r>
          </w:p>
        </w:tc>
        <w:tc>
          <w:tcPr>
            <w:tcW w:type="dxa" w:w="3840"/>
            <w:tcMar>
              <w:top w:w="100" w:type="dxa"/>
              <w:start w:w="130" w:type="dxa"/>
              <w:bottom w:w="100" w:type="dxa"/>
              <w:end w:w="130" w:type="dxa"/>
            </w:tcMar>
            <w:vAlign w:val="center"/>
          </w:tcPr>
          <w:p>
            <w:pPr>
              <w:spacing w:after="0" w:line="252" w:lineRule="auto"/>
            </w:pPr>
            <w:r>
              <w:rPr>
                <w:rFonts w:ascii="Aptos" w:hAnsi="Aptos" w:eastAsia="Aptos"/>
                <w:b w:val="0"/>
                <w:color w:val="1F2933"/>
                <w:sz w:val="19"/>
              </w:rPr>
              <w:t>Увеличить доход, direct share, качество и дополнительные отношения.</w:t>
            </w:r>
          </w:p>
        </w:tc>
        <w:tc>
          <w:tcPr>
            <w:tcW w:type="dxa" w:w="3840"/>
            <w:tcMar>
              <w:top w:w="100" w:type="dxa"/>
              <w:start w:w="130" w:type="dxa"/>
              <w:bottom w:w="100" w:type="dxa"/>
              <w:end w:w="130" w:type="dxa"/>
            </w:tcMar>
            <w:vAlign w:val="center"/>
          </w:tcPr>
          <w:p>
            <w:pPr>
              <w:spacing w:after="0" w:line="252" w:lineRule="auto"/>
            </w:pPr>
            <w:r>
              <w:rPr>
                <w:rFonts w:ascii="Aptos" w:hAnsi="Aptos" w:eastAsia="Aptos"/>
                <w:b w:val="0"/>
                <w:color w:val="1F2933"/>
                <w:sz w:val="19"/>
              </w:rPr>
              <w:t>Baseline, стабильный SLA, положительный contribution и owner trust.</w:t>
            </w:r>
          </w:p>
        </w:tc>
      </w:tr>
      <w:tr>
        <w:trPr>
          <w:cantSplit/>
        </w:trPr>
        <w:tc>
          <w:tcPr>
            <w:tcW w:type="dxa" w:w="1680"/>
            <w:tcMar>
              <w:top w:w="100" w:type="dxa"/>
              <w:start w:w="130" w:type="dxa"/>
              <w:bottom w:w="100" w:type="dxa"/>
              <w:end w:w="130" w:type="dxa"/>
            </w:tcMar>
            <w:vAlign w:val="center"/>
            <w:shd w:fill="FAFBFC"/>
          </w:tcPr>
          <w:p>
            <w:pPr>
              <w:spacing w:after="0" w:line="252" w:lineRule="auto"/>
            </w:pPr>
            <w:r>
              <w:rPr>
                <w:rFonts w:ascii="Aptos" w:hAnsi="Aptos" w:eastAsia="Aptos"/>
                <w:b/>
                <w:color w:val="0B2545"/>
                <w:sz w:val="19"/>
              </w:rPr>
              <w:t>2. Building / cluster</w:t>
            </w:r>
          </w:p>
        </w:tc>
        <w:tc>
          <w:tcPr>
            <w:tcW w:type="dxa" w:w="384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Добавить соседний инвентарь и общую операцию.</w:t>
            </w:r>
          </w:p>
        </w:tc>
        <w:tc>
          <w:tcPr>
            <w:tcW w:type="dxa" w:w="384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Плотность снижает стоимость без ухудшения response time и контроля.</w:t>
            </w:r>
          </w:p>
        </w:tc>
      </w:tr>
      <w:tr>
        <w:trPr>
          <w:cantSplit/>
        </w:trPr>
        <w:tc>
          <w:tcPr>
            <w:tcW w:type="dxa" w:w="1680"/>
            <w:tcMar>
              <w:top w:w="100" w:type="dxa"/>
              <w:start w:w="130" w:type="dxa"/>
              <w:bottom w:w="100" w:type="dxa"/>
              <w:end w:w="130" w:type="dxa"/>
            </w:tcMar>
            <w:vAlign w:val="center"/>
          </w:tcPr>
          <w:p>
            <w:pPr>
              <w:spacing w:after="0" w:line="252" w:lineRule="auto"/>
            </w:pPr>
            <w:r>
              <w:rPr>
                <w:rFonts w:ascii="Aptos" w:hAnsi="Aptos" w:eastAsia="Aptos"/>
                <w:b/>
                <w:color w:val="0B2545"/>
                <w:sz w:val="19"/>
              </w:rPr>
              <w:t>3. Full complex</w:t>
            </w:r>
          </w:p>
        </w:tc>
        <w:tc>
          <w:tcPr>
            <w:tcW w:type="dxa" w:w="3840"/>
            <w:tcMar>
              <w:top w:w="100" w:type="dxa"/>
              <w:start w:w="130" w:type="dxa"/>
              <w:bottom w:w="100" w:type="dxa"/>
              <w:end w:w="130" w:type="dxa"/>
            </w:tcMar>
            <w:vAlign w:val="center"/>
          </w:tcPr>
          <w:p>
            <w:pPr>
              <w:spacing w:after="0" w:line="252" w:lineRule="auto"/>
            </w:pPr>
            <w:r>
              <w:rPr>
                <w:rFonts w:ascii="Aptos" w:hAnsi="Aptos" w:eastAsia="Aptos"/>
                <w:b w:val="0"/>
                <w:color w:val="1F2933"/>
                <w:sz w:val="19"/>
              </w:rPr>
              <w:t>Получить пул или весь комплекс.</w:t>
            </w:r>
          </w:p>
        </w:tc>
        <w:tc>
          <w:tcPr>
            <w:tcW w:type="dxa" w:w="3840"/>
            <w:tcMar>
              <w:top w:w="100" w:type="dxa"/>
              <w:start w:w="130" w:type="dxa"/>
              <w:bottom w:w="100" w:type="dxa"/>
              <w:end w:w="130" w:type="dxa"/>
            </w:tcMar>
            <w:vAlign w:val="center"/>
          </w:tcPr>
          <w:p>
            <w:pPr>
              <w:spacing w:after="0" w:line="252" w:lineRule="auto"/>
            </w:pPr>
            <w:r>
              <w:rPr>
                <w:rFonts w:ascii="Aptos" w:hAnsi="Aptos" w:eastAsia="Aptos"/>
                <w:b w:val="0"/>
                <w:color w:val="1F2933"/>
                <w:sz w:val="19"/>
              </w:rPr>
              <w:t>Команда, общие зоны, juristic coordination, бюджет и systems готовы.</w:t>
            </w:r>
          </w:p>
        </w:tc>
      </w:tr>
      <w:tr>
        <w:trPr>
          <w:cantSplit/>
        </w:trPr>
        <w:tc>
          <w:tcPr>
            <w:tcW w:type="dxa" w:w="1680"/>
            <w:tcMar>
              <w:top w:w="100" w:type="dxa"/>
              <w:start w:w="130" w:type="dxa"/>
              <w:bottom w:w="100" w:type="dxa"/>
              <w:end w:w="130" w:type="dxa"/>
            </w:tcMar>
            <w:vAlign w:val="center"/>
            <w:shd w:fill="FAFBFC"/>
          </w:tcPr>
          <w:p>
            <w:pPr>
              <w:spacing w:after="0" w:line="252" w:lineRule="auto"/>
            </w:pPr>
            <w:r>
              <w:rPr>
                <w:rFonts w:ascii="Aptos" w:hAnsi="Aptos" w:eastAsia="Aptos"/>
                <w:b/>
                <w:color w:val="0B2545"/>
                <w:sz w:val="19"/>
              </w:rPr>
              <w:t>4. Hotel / resort</w:t>
            </w:r>
          </w:p>
        </w:tc>
        <w:tc>
          <w:tcPr>
            <w:tcW w:type="dxa" w:w="384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Управлять полным GOP и брендом.</w:t>
            </w:r>
          </w:p>
        </w:tc>
        <w:tc>
          <w:tcPr>
            <w:tcW w:type="dxa" w:w="384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Лицензия, leadership team, 24/7 coverage, controls и owner mandate.</w:t>
            </w:r>
          </w:p>
        </w:tc>
      </w:tr>
      <w:tr>
        <w:trPr>
          <w:cantSplit/>
        </w:trPr>
        <w:tc>
          <w:tcPr>
            <w:tcW w:type="dxa" w:w="1680"/>
            <w:tcMar>
              <w:top w:w="100" w:type="dxa"/>
              <w:start w:w="130" w:type="dxa"/>
              <w:bottom w:w="100" w:type="dxa"/>
              <w:end w:w="130" w:type="dxa"/>
            </w:tcMar>
            <w:vAlign w:val="center"/>
          </w:tcPr>
          <w:p>
            <w:pPr>
              <w:spacing w:after="0" w:line="252" w:lineRule="auto"/>
            </w:pPr>
            <w:r>
              <w:rPr>
                <w:rFonts w:ascii="Aptos" w:hAnsi="Aptos" w:eastAsia="Aptos"/>
                <w:b/>
                <w:color w:val="0B2545"/>
                <w:sz w:val="19"/>
              </w:rPr>
              <w:t>5. New geography</w:t>
            </w:r>
          </w:p>
        </w:tc>
        <w:tc>
          <w:tcPr>
            <w:tcW w:type="dxa" w:w="3840"/>
            <w:tcMar>
              <w:top w:w="100" w:type="dxa"/>
              <w:start w:w="130" w:type="dxa"/>
              <w:bottom w:w="100" w:type="dxa"/>
              <w:end w:w="130" w:type="dxa"/>
            </w:tcMar>
            <w:vAlign w:val="center"/>
          </w:tcPr>
          <w:p>
            <w:pPr>
              <w:spacing w:after="0" w:line="252" w:lineRule="auto"/>
            </w:pPr>
            <w:r>
              <w:rPr>
                <w:rFonts w:ascii="Aptos" w:hAnsi="Aptos" w:eastAsia="Aptos"/>
                <w:b w:val="0"/>
                <w:color w:val="1F2933"/>
                <w:sz w:val="19"/>
              </w:rPr>
              <w:t>Воспроизвести модель вне действующего коридора.</w:t>
            </w:r>
          </w:p>
        </w:tc>
        <w:tc>
          <w:tcPr>
            <w:tcW w:type="dxa" w:w="3840"/>
            <w:tcMar>
              <w:top w:w="100" w:type="dxa"/>
              <w:start w:w="130" w:type="dxa"/>
              <w:bottom w:w="100" w:type="dxa"/>
              <w:end w:w="130" w:type="dxa"/>
            </w:tcMar>
            <w:vAlign w:val="center"/>
          </w:tcPr>
          <w:p>
            <w:pPr>
              <w:spacing w:after="0" w:line="252" w:lineRule="auto"/>
            </w:pPr>
            <w:r>
              <w:rPr>
                <w:rFonts w:ascii="Aptos" w:hAnsi="Aptos" w:eastAsia="Aptos"/>
                <w:b w:val="0"/>
                <w:color w:val="1F2933"/>
                <w:sz w:val="19"/>
              </w:rPr>
              <w:t>Текущий кластер прибыльный; есть local lead, supply, demand, partners и cash runway.</w:t>
            </w:r>
          </w:p>
        </w:tc>
      </w:tr>
    </w:tbl>
    <w:p>
      <w:pPr>
        <w:spacing w:before="0" w:after="40" w:line="264" w:lineRule="auto"/>
        <w:jc w:val="left"/>
      </w:pPr>
    </w:p>
    <w:p>
      <w:pPr>
        <w:pStyle w:val="Heading2"/>
        <w:keepNext/>
      </w:pPr>
      <w:r>
        <w:t>28.1. Build / Partner / Buy / Decline</w:t>
      </w:r>
    </w:p>
    <w:p>
      <w:pPr>
        <w:spacing w:before="0" w:after="120" w:line="264" w:lineRule="auto"/>
        <w:jc w:val="left"/>
      </w:pPr>
      <w:r>
        <w:rPr>
          <w:rFonts w:ascii="Aptos" w:hAnsi="Aptos" w:eastAsia="Aptos"/>
          <w:b w:val="0"/>
          <w:i w:val="0"/>
          <w:color w:val="1F2933"/>
          <w:sz w:val="22"/>
        </w:rPr>
        <w:t>Новую способность строят внутри, если она определяет доверие, данные, экономику или стандарт. Партнёра используют, если функция специализирована и контролируема через SLA. Готовую способность покупают, если скорость и интеграция экономически лучше разработки. От идеи отказываются, если она не усиливает core lifecycle, не имеет владельца, unit economics или безопасного исполнения.</w:t>
      </w:r>
    </w:p>
    <w:p>
      <w:pPr>
        <w:pStyle w:val="Heading2"/>
        <w:keepNext/>
      </w:pPr>
      <w:r>
        <w:t>28.2. Ограничители роста</w:t>
      </w:r>
    </w:p>
    <w:p>
      <w:pPr>
        <w:pStyle w:val="ListBullet"/>
        <w:spacing w:after="80" w:line="264" w:lineRule="auto"/>
      </w:pPr>
      <w:r>
        <w:rPr>
          <w:rFonts w:ascii="Aptos" w:hAnsi="Aptos" w:eastAsia="Aptos"/>
          <w:color w:val="1F2933"/>
          <w:sz w:val="22"/>
        </w:rPr>
        <w:t>Нельзя открывать новый кластер при отрицательной contribution margin действующего без утверждённого turnaround plan.</w:t>
      </w:r>
    </w:p>
    <w:p>
      <w:pPr>
        <w:pStyle w:val="ListBullet"/>
        <w:spacing w:after="80" w:line="264" w:lineRule="auto"/>
      </w:pPr>
      <w:r>
        <w:rPr>
          <w:rFonts w:ascii="Aptos" w:hAnsi="Aptos" w:eastAsia="Aptos"/>
          <w:color w:val="1F2933"/>
          <w:sz w:val="22"/>
        </w:rPr>
        <w:t>Нельзя добавлять инвентарь быстрее, чем команда, PMS, finance close и service desk способны его контролировать.</w:t>
      </w:r>
    </w:p>
    <w:p>
      <w:pPr>
        <w:pStyle w:val="ListBullet"/>
        <w:spacing w:after="80" w:line="264" w:lineRule="auto"/>
      </w:pPr>
      <w:r>
        <w:rPr>
          <w:rFonts w:ascii="Aptos" w:hAnsi="Aptos" w:eastAsia="Aptos"/>
          <w:color w:val="1F2933"/>
          <w:sz w:val="22"/>
        </w:rPr>
        <w:t>Нельзя увеличивать партнёрский контур так, чтобы клиент перестал понимать, кем управляется объект.</w:t>
      </w:r>
    </w:p>
    <w:p>
      <w:pPr>
        <w:pStyle w:val="ListBullet"/>
        <w:spacing w:after="80" w:line="264" w:lineRule="auto"/>
      </w:pPr>
      <w:r>
        <w:rPr>
          <w:rFonts w:ascii="Aptos" w:hAnsi="Aptos" w:eastAsia="Aptos"/>
          <w:color w:val="1F2933"/>
          <w:sz w:val="22"/>
        </w:rPr>
        <w:t>Нельзя масштабировать процесс, который зависит от личных чатов, ручной памяти или единственного человека.</w:t>
      </w:r>
    </w:p>
    <w:p>
      <w:pPr>
        <w:pStyle w:val="Heading1"/>
        <w:keepNext/>
      </w:pPr>
      <w:r>
        <w:t>29. Стратегические приоритеты и эксперименты</w:t>
      </w:r>
    </w:p>
    <w:tbl>
      <w:tblPr>
        <w:tblW w:type="dxa" w:w="9360"/>
        <w:jc w:val="left"/>
        <w:tblLayout w:type="fixed"/>
        <w:tblLook w:firstColumn="1" w:firstRow="1" w:lastColumn="0" w:lastRow="0" w:noHBand="0" w:noVBand="1" w:val="04A0"/>
        <w:tblInd w:w="120" w:type="dxa"/>
        <w:tblBorders>
          <w:top w:val="single" w:sz="6" w:space="0" w:color="D6DCE2"/>
          <w:left w:val="single" w:sz="6" w:space="0" w:color="D6DCE2"/>
          <w:bottom w:val="single" w:sz="6" w:space="0" w:color="D6DCE2"/>
          <w:right w:val="single" w:sz="6" w:space="0" w:color="D6DCE2"/>
          <w:insideH w:val="single" w:sz="6" w:space="0" w:color="D6DCE2"/>
          <w:insideV w:val="single" w:sz="6" w:space="0" w:color="D6DCE2"/>
        </w:tblBorders>
      </w:tblPr>
      <w:tblGrid>
        <w:gridCol w:w="2040"/>
        <w:gridCol w:w="7320"/>
      </w:tblGrid>
      <w:tr>
        <w:trPr>
          <w:tblHeader w:val="true"/>
          <w:cantSplit/>
        </w:trPr>
        <w:tc>
          <w:tcPr>
            <w:tcW w:type="dxa" w:w="2040"/>
            <w:shd w:fill="0B2545"/>
            <w:tcMar>
              <w:top w:w="100" w:type="dxa"/>
              <w:start w:w="130" w:type="dxa"/>
              <w:bottom w:w="100" w:type="dxa"/>
              <w:end w:w="130" w:type="dxa"/>
            </w:tcMar>
            <w:vAlign w:val="center"/>
          </w:tcPr>
          <w:p>
            <w:pPr>
              <w:spacing w:after="0" w:line="240" w:lineRule="auto"/>
            </w:pPr>
            <w:r>
              <w:rPr>
                <w:rFonts w:ascii="Aptos" w:hAnsi="Aptos" w:eastAsia="Aptos"/>
                <w:b/>
                <w:color w:val="FFFFFF"/>
                <w:sz w:val="19"/>
              </w:rPr>
              <w:t>КАТЕГОРИЯ</w:t>
            </w:r>
          </w:p>
        </w:tc>
        <w:tc>
          <w:tcPr>
            <w:tcW w:type="dxa" w:w="7320"/>
            <w:shd w:fill="0B2545"/>
            <w:tcMar>
              <w:top w:w="100" w:type="dxa"/>
              <w:start w:w="130" w:type="dxa"/>
              <w:bottom w:w="100" w:type="dxa"/>
              <w:end w:w="130" w:type="dxa"/>
            </w:tcMar>
            <w:vAlign w:val="center"/>
          </w:tcPr>
          <w:p>
            <w:pPr>
              <w:spacing w:after="0" w:line="240" w:lineRule="auto"/>
            </w:pPr>
            <w:r>
              <w:rPr>
                <w:rFonts w:ascii="Aptos" w:hAnsi="Aptos" w:eastAsia="Aptos"/>
                <w:b/>
                <w:color w:val="FFFFFF"/>
                <w:sz w:val="19"/>
              </w:rPr>
              <w:t>СОДЕРЖАНИЕ</w:t>
            </w:r>
          </w:p>
        </w:tc>
      </w:tr>
      <w:tr>
        <w:trPr>
          <w:cantSplit/>
        </w:trPr>
        <w:tc>
          <w:tcPr>
            <w:tcW w:type="dxa" w:w="2040"/>
            <w:tcMar>
              <w:top w:w="100" w:type="dxa"/>
              <w:start w:w="130" w:type="dxa"/>
              <w:bottom w:w="100" w:type="dxa"/>
              <w:end w:w="130" w:type="dxa"/>
            </w:tcMar>
            <w:vAlign w:val="center"/>
          </w:tcPr>
          <w:p>
            <w:pPr>
              <w:spacing w:after="0" w:line="252" w:lineRule="auto"/>
            </w:pPr>
            <w:r>
              <w:rPr>
                <w:rFonts w:ascii="Aptos" w:hAnsi="Aptos" w:eastAsia="Aptos"/>
                <w:b/>
                <w:color w:val="0B2545"/>
                <w:sz w:val="19"/>
              </w:rPr>
              <w:t>Core</w:t>
            </w:r>
          </w:p>
        </w:tc>
        <w:tc>
          <w:tcPr>
            <w:tcW w:type="dxa" w:w="7320"/>
            <w:tcMar>
              <w:top w:w="100" w:type="dxa"/>
              <w:start w:w="130" w:type="dxa"/>
              <w:bottom w:w="100" w:type="dxa"/>
              <w:end w:w="130" w:type="dxa"/>
            </w:tcMar>
            <w:vAlign w:val="center"/>
          </w:tcPr>
          <w:p>
            <w:pPr>
              <w:spacing w:after="0" w:line="252" w:lineRule="auto"/>
            </w:pPr>
            <w:r>
              <w:rPr>
                <w:rFonts w:ascii="Aptos" w:hAnsi="Aptos" w:eastAsia="Aptos"/>
                <w:b w:val="0"/>
                <w:color w:val="1F2933"/>
                <w:sz w:val="19"/>
              </w:rPr>
              <w:t>Owner representation, управление активами, myUNO Stays, прямой спрос, ClearView evidence и managed transactions.</w:t>
            </w:r>
          </w:p>
        </w:tc>
      </w:tr>
      <w:tr>
        <w:trPr>
          <w:cantSplit/>
        </w:trPr>
        <w:tc>
          <w:tcPr>
            <w:tcW w:type="dxa" w:w="2040"/>
            <w:tcMar>
              <w:top w:w="100" w:type="dxa"/>
              <w:start w:w="130" w:type="dxa"/>
              <w:bottom w:w="100" w:type="dxa"/>
              <w:end w:w="130" w:type="dxa"/>
            </w:tcMar>
            <w:vAlign w:val="center"/>
            <w:shd w:fill="FAFBFC"/>
          </w:tcPr>
          <w:p>
            <w:pPr>
              <w:spacing w:after="0" w:line="252" w:lineRule="auto"/>
            </w:pPr>
            <w:r>
              <w:rPr>
                <w:rFonts w:ascii="Aptos" w:hAnsi="Aptos" w:eastAsia="Aptos"/>
                <w:b/>
                <w:color w:val="0B2545"/>
                <w:sz w:val="19"/>
              </w:rPr>
              <w:t>Growth</w:t>
            </w:r>
          </w:p>
        </w:tc>
        <w:tc>
          <w:tcPr>
            <w:tcW w:type="dxa" w:w="732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Плотность в целевом коридоре, managed pools, whole-complex и hotel/resort mandates, guest-to-owner.</w:t>
            </w:r>
          </w:p>
        </w:tc>
      </w:tr>
      <w:tr>
        <w:trPr>
          <w:cantSplit/>
        </w:trPr>
        <w:tc>
          <w:tcPr>
            <w:tcW w:type="dxa" w:w="2040"/>
            <w:tcMar>
              <w:top w:w="100" w:type="dxa"/>
              <w:start w:w="130" w:type="dxa"/>
              <w:bottom w:w="100" w:type="dxa"/>
              <w:end w:w="130" w:type="dxa"/>
            </w:tcMar>
            <w:vAlign w:val="center"/>
          </w:tcPr>
          <w:p>
            <w:pPr>
              <w:spacing w:after="0" w:line="252" w:lineRule="auto"/>
            </w:pPr>
            <w:r>
              <w:rPr>
                <w:rFonts w:ascii="Aptos" w:hAnsi="Aptos" w:eastAsia="Aptos"/>
                <w:b/>
                <w:color w:val="0B2545"/>
                <w:sz w:val="19"/>
              </w:rPr>
              <w:t>Experiments</w:t>
            </w:r>
          </w:p>
        </w:tc>
        <w:tc>
          <w:tcPr>
            <w:tcW w:type="dxa" w:w="7320"/>
            <w:tcMar>
              <w:top w:w="100" w:type="dxa"/>
              <w:start w:w="130" w:type="dxa"/>
              <w:bottom w:w="100" w:type="dxa"/>
              <w:end w:w="130" w:type="dxa"/>
            </w:tcMar>
            <w:vAlign w:val="center"/>
          </w:tcPr>
          <w:p>
            <w:pPr>
              <w:spacing w:after="0" w:line="252" w:lineRule="auto"/>
            </w:pPr>
            <w:r>
              <w:rPr>
                <w:rFonts w:ascii="Aptos" w:hAnsi="Aptos" w:eastAsia="Aptos"/>
                <w:b w:val="0"/>
                <w:color w:val="1F2933"/>
                <w:sz w:val="19"/>
              </w:rPr>
              <w:t>Новые источники спроса, международные партнёрства, новые guest services и географии — только ограниченным тестом.</w:t>
            </w:r>
          </w:p>
        </w:tc>
      </w:tr>
      <w:tr>
        <w:trPr>
          <w:cantSplit/>
        </w:trPr>
        <w:tc>
          <w:tcPr>
            <w:tcW w:type="dxa" w:w="2040"/>
            <w:tcMar>
              <w:top w:w="100" w:type="dxa"/>
              <w:start w:w="130" w:type="dxa"/>
              <w:bottom w:w="100" w:type="dxa"/>
              <w:end w:w="130" w:type="dxa"/>
            </w:tcMar>
            <w:vAlign w:val="center"/>
            <w:shd w:fill="FAFBFC"/>
          </w:tcPr>
          <w:p>
            <w:pPr>
              <w:spacing w:after="0" w:line="252" w:lineRule="auto"/>
            </w:pPr>
            <w:r>
              <w:rPr>
                <w:rFonts w:ascii="Aptos" w:hAnsi="Aptos" w:eastAsia="Aptos"/>
                <w:b/>
                <w:color w:val="0B2545"/>
                <w:sz w:val="19"/>
              </w:rPr>
              <w:t>Parked</w:t>
            </w:r>
          </w:p>
        </w:tc>
        <w:tc>
          <w:tcPr>
            <w:tcW w:type="dxa" w:w="732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Продукты без подтверждённого клиента, владельца, экономики или инфраструктуры.</w:t>
            </w:r>
          </w:p>
        </w:tc>
      </w:tr>
      <w:tr>
        <w:trPr>
          <w:cantSplit/>
        </w:trPr>
        <w:tc>
          <w:tcPr>
            <w:tcW w:type="dxa" w:w="2040"/>
            <w:tcMar>
              <w:top w:w="100" w:type="dxa"/>
              <w:start w:w="130" w:type="dxa"/>
              <w:bottom w:w="100" w:type="dxa"/>
              <w:end w:w="130" w:type="dxa"/>
            </w:tcMar>
            <w:vAlign w:val="center"/>
          </w:tcPr>
          <w:p>
            <w:pPr>
              <w:spacing w:after="0" w:line="252" w:lineRule="auto"/>
            </w:pPr>
            <w:r>
              <w:rPr>
                <w:rFonts w:ascii="Aptos" w:hAnsi="Aptos" w:eastAsia="Aptos"/>
                <w:b/>
                <w:color w:val="0B2545"/>
                <w:sz w:val="19"/>
              </w:rPr>
              <w:t>Prohibited</w:t>
            </w:r>
          </w:p>
        </w:tc>
        <w:tc>
          <w:tcPr>
            <w:tcW w:type="dxa" w:w="7320"/>
            <w:tcMar>
              <w:top w:w="100" w:type="dxa"/>
              <w:start w:w="130" w:type="dxa"/>
              <w:bottom w:w="100" w:type="dxa"/>
              <w:end w:w="130" w:type="dxa"/>
            </w:tcMar>
            <w:vAlign w:val="center"/>
          </w:tcPr>
          <w:p>
            <w:pPr>
              <w:spacing w:after="0" w:line="252" w:lineRule="auto"/>
            </w:pPr>
            <w:r>
              <w:rPr>
                <w:rFonts w:ascii="Aptos" w:hAnsi="Aptos" w:eastAsia="Aptos"/>
                <w:b w:val="0"/>
                <w:color w:val="1F2933"/>
                <w:sz w:val="19"/>
              </w:rPr>
              <w:t>Скрытые комиссии, гарантированная доходность, непроверенные листинги под брендом, public sensitive data и ответственность без полномочий.</w:t>
            </w:r>
          </w:p>
        </w:tc>
      </w:tr>
    </w:tbl>
    <w:p>
      <w:pPr>
        <w:spacing w:before="0" w:after="40" w:line="264" w:lineRule="auto"/>
        <w:jc w:val="left"/>
      </w:pPr>
    </w:p>
    <w:p>
      <w:pPr>
        <w:spacing w:before="0" w:after="120" w:line="264" w:lineRule="auto"/>
        <w:jc w:val="left"/>
      </w:pPr>
      <w:r>
        <w:rPr>
          <w:rFonts w:ascii="Aptos" w:hAnsi="Aptos" w:eastAsia="Aptos"/>
          <w:b w:val="0"/>
          <w:i w:val="0"/>
          <w:color w:val="1F2933"/>
          <w:sz w:val="22"/>
        </w:rPr>
        <w:t>Эксперимент содержит гипотезу, аудиторию, минимальный тест, срок, бюджет, владельца, success metric и решение Scale / Iterate / Stop. Отсутствие ошибок или активности не доказывает ценность продукта: требуется измерять активацию, спрос и транзакции.</w:t>
      </w:r>
    </w:p>
    <w:p>
      <w:pPr>
        <w:pStyle w:val="Heading1"/>
        <w:keepNext/>
      </w:pPr>
      <w:r>
        <w:t>30. Корпоративная система показателей</w:t>
      </w:r>
    </w:p>
    <w:tbl>
      <w:tblPr>
        <w:tblW w:type="dxa" w:w="9360"/>
        <w:jc w:val="left"/>
        <w:tblLook w:firstColumn="1" w:firstRow="1" w:lastColumn="0" w:lastRow="0" w:noHBand="0" w:noVBand="1" w:val="04A0"/>
        <w:tblInd w:w="120" w:type="dxa"/>
        <w:tblBorders>
          <w:top w:val="single" w:sz="4" w:space="0" w:color="E8EEF5"/>
          <w:left w:val="single" w:sz="4" w:space="0" w:color="E8EEF5"/>
          <w:bottom w:val="single" w:sz="4" w:space="0" w:color="E8EEF5"/>
          <w:right w:val="single" w:sz="4" w:space="0" w:color="E8EEF5"/>
          <w:insideH w:val="single" w:sz="4" w:space="0" w:color="E8EEF5"/>
          <w:insideV w:val="single" w:sz="4" w:space="0" w:color="E8EEF5"/>
        </w:tblBorders>
      </w:tblPr>
      <w:tblGrid>
        <w:gridCol w:w="9360"/>
      </w:tblGrid>
      <w:tr>
        <w:tc>
          <w:tcPr>
            <w:tcW w:type="dxa" w:w="9360"/>
            <w:shd w:fill="E8EEF5"/>
            <w:tcMar>
              <w:top w:w="150" w:type="dxa"/>
              <w:start w:w="180" w:type="dxa"/>
              <w:bottom w:w="150" w:type="dxa"/>
              <w:end w:w="180" w:type="dxa"/>
            </w:tcMar>
          </w:tcPr>
          <w:p>
            <w:pPr>
              <w:spacing w:after="0" w:line="269" w:lineRule="auto"/>
            </w:pPr>
            <w:r>
              <w:rPr>
                <w:rFonts w:ascii="Aptos" w:hAnsi="Aptos" w:eastAsia="Aptos"/>
                <w:b/>
                <w:color w:val="0B2545"/>
                <w:sz w:val="21"/>
              </w:rPr>
              <w:t xml:space="preserve">North Star. </w:t>
            </w:r>
            <w:r>
              <w:rPr>
                <w:rFonts w:ascii="Aptos" w:hAnsi="Aptos" w:eastAsia="Aptos"/>
                <w:color w:val="1F2933"/>
                <w:sz w:val="21"/>
              </w:rPr>
              <w:t>Подтверждённый NOP управляемого портфеля — результат, создаваемый активами под достаточным мандатом и подтверждённый финансовым закрытием. Он рассматривается вместе с качеством, owner retention и contribution margin компании.</w:t>
            </w:r>
          </w:p>
        </w:tc>
      </w:tr>
    </w:tbl>
    <w:p>
      <w:pPr>
        <w:spacing w:before="0" w:after="40" w:line="264" w:lineRule="auto"/>
        <w:jc w:val="left"/>
      </w:pPr>
    </w:p>
    <w:tbl>
      <w:tblPr>
        <w:tblW w:type="dxa" w:w="9360"/>
        <w:jc w:val="left"/>
        <w:tblLayout w:type="fixed"/>
        <w:tblLook w:firstColumn="1" w:firstRow="1" w:lastColumn="0" w:lastRow="0" w:noHBand="0" w:noVBand="1" w:val="04A0"/>
        <w:tblInd w:w="120" w:type="dxa"/>
        <w:tblBorders>
          <w:top w:val="single" w:sz="6" w:space="0" w:color="D6DCE2"/>
          <w:left w:val="single" w:sz="6" w:space="0" w:color="D6DCE2"/>
          <w:bottom w:val="single" w:sz="6" w:space="0" w:color="D6DCE2"/>
          <w:right w:val="single" w:sz="6" w:space="0" w:color="D6DCE2"/>
          <w:insideH w:val="single" w:sz="6" w:space="0" w:color="D6DCE2"/>
          <w:insideV w:val="single" w:sz="6" w:space="0" w:color="D6DCE2"/>
        </w:tblBorders>
      </w:tblPr>
      <w:tblGrid>
        <w:gridCol w:w="2040"/>
        <w:gridCol w:w="7320"/>
      </w:tblGrid>
      <w:tr>
        <w:trPr>
          <w:tblHeader w:val="true"/>
          <w:cantSplit/>
        </w:trPr>
        <w:tc>
          <w:tcPr>
            <w:tcW w:type="dxa" w:w="2040"/>
            <w:shd w:fill="0B2545"/>
            <w:tcMar>
              <w:top w:w="100" w:type="dxa"/>
              <w:start w:w="130" w:type="dxa"/>
              <w:bottom w:w="100" w:type="dxa"/>
              <w:end w:w="130" w:type="dxa"/>
            </w:tcMar>
            <w:vAlign w:val="center"/>
          </w:tcPr>
          <w:p>
            <w:pPr>
              <w:spacing w:after="0" w:line="240" w:lineRule="auto"/>
            </w:pPr>
            <w:r>
              <w:rPr>
                <w:rFonts w:ascii="Aptos" w:hAnsi="Aptos" w:eastAsia="Aptos"/>
                <w:b/>
                <w:color w:val="FFFFFF"/>
                <w:sz w:val="19"/>
              </w:rPr>
              <w:t>УРОВЕНЬ</w:t>
            </w:r>
          </w:p>
        </w:tc>
        <w:tc>
          <w:tcPr>
            <w:tcW w:type="dxa" w:w="7320"/>
            <w:shd w:fill="0B2545"/>
            <w:tcMar>
              <w:top w:w="100" w:type="dxa"/>
              <w:start w:w="130" w:type="dxa"/>
              <w:bottom w:w="100" w:type="dxa"/>
              <w:end w:w="130" w:type="dxa"/>
            </w:tcMar>
            <w:vAlign w:val="center"/>
          </w:tcPr>
          <w:p>
            <w:pPr>
              <w:spacing w:after="0" w:line="240" w:lineRule="auto"/>
            </w:pPr>
            <w:r>
              <w:rPr>
                <w:rFonts w:ascii="Aptos" w:hAnsi="Aptos" w:eastAsia="Aptos"/>
                <w:b/>
                <w:color w:val="FFFFFF"/>
                <w:sz w:val="19"/>
              </w:rPr>
              <w:t>КЛЮЧЕВЫЕ ПОКАЗАТЕЛИ</w:t>
            </w:r>
          </w:p>
        </w:tc>
      </w:tr>
      <w:tr>
        <w:trPr>
          <w:cantSplit/>
        </w:trPr>
        <w:tc>
          <w:tcPr>
            <w:tcW w:type="dxa" w:w="2040"/>
            <w:tcMar>
              <w:top w:w="100" w:type="dxa"/>
              <w:start w:w="130" w:type="dxa"/>
              <w:bottom w:w="100" w:type="dxa"/>
              <w:end w:w="130" w:type="dxa"/>
            </w:tcMar>
            <w:vAlign w:val="center"/>
          </w:tcPr>
          <w:p>
            <w:pPr>
              <w:spacing w:after="0" w:line="252" w:lineRule="auto"/>
            </w:pPr>
            <w:r>
              <w:rPr>
                <w:rFonts w:ascii="Aptos" w:hAnsi="Aptos" w:eastAsia="Aptos"/>
                <w:b/>
                <w:color w:val="0B2545"/>
                <w:sz w:val="19"/>
              </w:rPr>
              <w:t>Portfolio value</w:t>
            </w:r>
          </w:p>
        </w:tc>
        <w:tc>
          <w:tcPr>
            <w:tcW w:type="dxa" w:w="7320"/>
            <w:tcMar>
              <w:top w:w="100" w:type="dxa"/>
              <w:start w:w="130" w:type="dxa"/>
              <w:bottom w:w="100" w:type="dxa"/>
              <w:end w:w="130" w:type="dxa"/>
            </w:tcMar>
            <w:vAlign w:val="center"/>
          </w:tcPr>
          <w:p>
            <w:pPr>
              <w:spacing w:after="0" w:line="252" w:lineRule="auto"/>
            </w:pPr>
            <w:r>
              <w:rPr>
                <w:rFonts w:ascii="Aptos" w:hAnsi="Aptos" w:eastAsia="Aptos"/>
                <w:b w:val="0"/>
                <w:color w:val="1F2933"/>
                <w:sz w:val="19"/>
              </w:rPr>
              <w:t>Adjusted GOP / NOI, distributable owner cash, состояние актива и доказуемость выхода.</w:t>
            </w:r>
          </w:p>
        </w:tc>
      </w:tr>
      <w:tr>
        <w:trPr>
          <w:cantSplit/>
        </w:trPr>
        <w:tc>
          <w:tcPr>
            <w:tcW w:type="dxa" w:w="2040"/>
            <w:tcMar>
              <w:top w:w="100" w:type="dxa"/>
              <w:start w:w="130" w:type="dxa"/>
              <w:bottom w:w="100" w:type="dxa"/>
              <w:end w:w="130" w:type="dxa"/>
            </w:tcMar>
            <w:vAlign w:val="center"/>
            <w:shd w:fill="FAFBFC"/>
          </w:tcPr>
          <w:p>
            <w:pPr>
              <w:spacing w:after="0" w:line="252" w:lineRule="auto"/>
            </w:pPr>
            <w:r>
              <w:rPr>
                <w:rFonts w:ascii="Aptos" w:hAnsi="Aptos" w:eastAsia="Aptos"/>
                <w:b/>
                <w:color w:val="0B2545"/>
                <w:sz w:val="19"/>
              </w:rPr>
              <w:t>Growth</w:t>
            </w:r>
          </w:p>
        </w:tc>
        <w:tc>
          <w:tcPr>
            <w:tcW w:type="dxa" w:w="732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Активы, ключи и контролируемая экономика; плотность; signed mandates; запуск в срок.</w:t>
            </w:r>
          </w:p>
        </w:tc>
      </w:tr>
      <w:tr>
        <w:trPr>
          <w:cantSplit/>
        </w:trPr>
        <w:tc>
          <w:tcPr>
            <w:tcW w:type="dxa" w:w="2040"/>
            <w:tcMar>
              <w:top w:w="100" w:type="dxa"/>
              <w:start w:w="130" w:type="dxa"/>
              <w:bottom w:w="100" w:type="dxa"/>
              <w:end w:w="130" w:type="dxa"/>
            </w:tcMar>
            <w:vAlign w:val="center"/>
          </w:tcPr>
          <w:p>
            <w:pPr>
              <w:spacing w:after="0" w:line="252" w:lineRule="auto"/>
            </w:pPr>
            <w:r>
              <w:rPr>
                <w:rFonts w:ascii="Aptos" w:hAnsi="Aptos" w:eastAsia="Aptos"/>
                <w:b/>
                <w:color w:val="0B2545"/>
                <w:sz w:val="19"/>
              </w:rPr>
              <w:t>Owner</w:t>
            </w:r>
          </w:p>
        </w:tc>
        <w:tc>
          <w:tcPr>
            <w:tcW w:type="dxa" w:w="7320"/>
            <w:tcMar>
              <w:top w:w="100" w:type="dxa"/>
              <w:start w:w="130" w:type="dxa"/>
              <w:bottom w:w="100" w:type="dxa"/>
              <w:end w:w="130" w:type="dxa"/>
            </w:tcMar>
            <w:vAlign w:val="center"/>
          </w:tcPr>
          <w:p>
            <w:pPr>
              <w:spacing w:after="0" w:line="252" w:lineRule="auto"/>
            </w:pPr>
            <w:r>
              <w:rPr>
                <w:rFonts w:ascii="Aptos" w:hAnsi="Aptos" w:eastAsia="Aptos"/>
                <w:b w:val="0"/>
                <w:color w:val="1F2933"/>
                <w:sz w:val="19"/>
              </w:rPr>
              <w:t>Retention, expansion, report timeliness, unresolved decisions и referrals.</w:t>
            </w:r>
          </w:p>
        </w:tc>
      </w:tr>
      <w:tr>
        <w:trPr>
          <w:cantSplit/>
        </w:trPr>
        <w:tc>
          <w:tcPr>
            <w:tcW w:type="dxa" w:w="2040"/>
            <w:tcMar>
              <w:top w:w="100" w:type="dxa"/>
              <w:start w:w="130" w:type="dxa"/>
              <w:bottom w:w="100" w:type="dxa"/>
              <w:end w:w="130" w:type="dxa"/>
            </w:tcMar>
            <w:vAlign w:val="center"/>
            <w:shd w:fill="FAFBFC"/>
          </w:tcPr>
          <w:p>
            <w:pPr>
              <w:spacing w:after="0" w:line="252" w:lineRule="auto"/>
            </w:pPr>
            <w:r>
              <w:rPr>
                <w:rFonts w:ascii="Aptos" w:hAnsi="Aptos" w:eastAsia="Aptos"/>
                <w:b/>
                <w:color w:val="0B2545"/>
                <w:sz w:val="19"/>
              </w:rPr>
              <w:t>Guest</w:t>
            </w:r>
          </w:p>
        </w:tc>
        <w:tc>
          <w:tcPr>
            <w:tcW w:type="dxa" w:w="732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Conversion, direct/repeat share, response time, review score, incidents и guest-to-owner.</w:t>
            </w:r>
          </w:p>
        </w:tc>
      </w:tr>
      <w:tr>
        <w:trPr>
          <w:cantSplit/>
        </w:trPr>
        <w:tc>
          <w:tcPr>
            <w:tcW w:type="dxa" w:w="2040"/>
            <w:tcMar>
              <w:top w:w="100" w:type="dxa"/>
              <w:start w:w="130" w:type="dxa"/>
              <w:bottom w:w="100" w:type="dxa"/>
              <w:end w:w="130" w:type="dxa"/>
            </w:tcMar>
            <w:vAlign w:val="center"/>
          </w:tcPr>
          <w:p>
            <w:pPr>
              <w:spacing w:after="0" w:line="252" w:lineRule="auto"/>
            </w:pPr>
            <w:r>
              <w:rPr>
                <w:rFonts w:ascii="Aptos" w:hAnsi="Aptos" w:eastAsia="Aptos"/>
                <w:b/>
                <w:color w:val="0B2545"/>
                <w:sz w:val="19"/>
              </w:rPr>
              <w:t>Economics</w:t>
            </w:r>
          </w:p>
        </w:tc>
        <w:tc>
          <w:tcPr>
            <w:tcW w:type="dxa" w:w="7320"/>
            <w:tcMar>
              <w:top w:w="100" w:type="dxa"/>
              <w:start w:w="130" w:type="dxa"/>
              <w:bottom w:w="100" w:type="dxa"/>
              <w:end w:w="130" w:type="dxa"/>
            </w:tcMar>
            <w:vAlign w:val="center"/>
          </w:tcPr>
          <w:p>
            <w:pPr>
              <w:spacing w:after="0" w:line="252" w:lineRule="auto"/>
            </w:pPr>
            <w:r>
              <w:rPr>
                <w:rFonts w:ascii="Aptos" w:hAnsi="Aptos" w:eastAsia="Aptos"/>
                <w:b w:val="0"/>
                <w:color w:val="1F2933"/>
                <w:sz w:val="19"/>
              </w:rPr>
              <w:t>Revenue mix, contribution margin, CAC payback, working capital, cash runway и concentration.</w:t>
            </w:r>
          </w:p>
        </w:tc>
      </w:tr>
      <w:tr>
        <w:trPr>
          <w:cantSplit/>
        </w:trPr>
        <w:tc>
          <w:tcPr>
            <w:tcW w:type="dxa" w:w="2040"/>
            <w:tcMar>
              <w:top w:w="100" w:type="dxa"/>
              <w:start w:w="130" w:type="dxa"/>
              <w:bottom w:w="100" w:type="dxa"/>
              <w:end w:w="130" w:type="dxa"/>
            </w:tcMar>
            <w:vAlign w:val="center"/>
            <w:shd w:fill="FAFBFC"/>
          </w:tcPr>
          <w:p>
            <w:pPr>
              <w:spacing w:after="0" w:line="252" w:lineRule="auto"/>
            </w:pPr>
            <w:r>
              <w:rPr>
                <w:rFonts w:ascii="Aptos" w:hAnsi="Aptos" w:eastAsia="Aptos"/>
                <w:b/>
                <w:color w:val="0B2545"/>
                <w:sz w:val="19"/>
              </w:rPr>
              <w:t>Quality</w:t>
            </w:r>
          </w:p>
        </w:tc>
        <w:tc>
          <w:tcPr>
            <w:tcW w:type="dxa" w:w="732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SLA, defects, readiness, refund/chargeback, asset condition и corrective actions.</w:t>
            </w:r>
          </w:p>
        </w:tc>
      </w:tr>
      <w:tr>
        <w:trPr>
          <w:cantSplit/>
        </w:trPr>
        <w:tc>
          <w:tcPr>
            <w:tcW w:type="dxa" w:w="2040"/>
            <w:tcMar>
              <w:top w:w="100" w:type="dxa"/>
              <w:start w:w="130" w:type="dxa"/>
              <w:bottom w:w="100" w:type="dxa"/>
              <w:end w:w="130" w:type="dxa"/>
            </w:tcMar>
            <w:vAlign w:val="center"/>
          </w:tcPr>
          <w:p>
            <w:pPr>
              <w:spacing w:after="0" w:line="252" w:lineRule="auto"/>
            </w:pPr>
            <w:r>
              <w:rPr>
                <w:rFonts w:ascii="Aptos" w:hAnsi="Aptos" w:eastAsia="Aptos"/>
                <w:b/>
                <w:color w:val="0B2545"/>
                <w:sz w:val="19"/>
              </w:rPr>
              <w:t>Control</w:t>
            </w:r>
          </w:p>
        </w:tc>
        <w:tc>
          <w:tcPr>
            <w:tcW w:type="dxa" w:w="7320"/>
            <w:tcMar>
              <w:top w:w="100" w:type="dxa"/>
              <w:start w:w="130" w:type="dxa"/>
              <w:bottom w:w="100" w:type="dxa"/>
              <w:end w:w="130" w:type="dxa"/>
            </w:tcMar>
            <w:vAlign w:val="center"/>
          </w:tcPr>
          <w:p>
            <w:pPr>
              <w:spacing w:after="0" w:line="252" w:lineRule="auto"/>
            </w:pPr>
            <w:r>
              <w:rPr>
                <w:rFonts w:ascii="Aptos" w:hAnsi="Aptos" w:eastAsia="Aptos"/>
                <w:b w:val="0"/>
                <w:color w:val="1F2933"/>
                <w:sz w:val="19"/>
              </w:rPr>
              <w:t>Reconciliation completeness, data completeness, access exceptions, audit findings и tax readiness.</w:t>
            </w:r>
          </w:p>
        </w:tc>
      </w:tr>
      <w:tr>
        <w:trPr>
          <w:cantSplit/>
        </w:trPr>
        <w:tc>
          <w:tcPr>
            <w:tcW w:type="dxa" w:w="2040"/>
            <w:tcMar>
              <w:top w:w="100" w:type="dxa"/>
              <w:start w:w="130" w:type="dxa"/>
              <w:bottom w:w="100" w:type="dxa"/>
              <w:end w:w="130" w:type="dxa"/>
            </w:tcMar>
            <w:vAlign w:val="center"/>
            <w:shd w:fill="FAFBFC"/>
          </w:tcPr>
          <w:p>
            <w:pPr>
              <w:spacing w:after="0" w:line="252" w:lineRule="auto"/>
            </w:pPr>
            <w:r>
              <w:rPr>
                <w:rFonts w:ascii="Aptos" w:hAnsi="Aptos" w:eastAsia="Aptos"/>
                <w:b/>
                <w:color w:val="0B2545"/>
                <w:sz w:val="19"/>
              </w:rPr>
              <w:t>Technology</w:t>
            </w:r>
          </w:p>
        </w:tc>
        <w:tc>
          <w:tcPr>
            <w:tcW w:type="dxa" w:w="732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Uptime, booking/payment success, security findings, restore tests, performance и accessibility.</w:t>
            </w:r>
          </w:p>
        </w:tc>
      </w:tr>
      <w:tr>
        <w:trPr>
          <w:cantSplit/>
        </w:trPr>
        <w:tc>
          <w:tcPr>
            <w:tcW w:type="dxa" w:w="2040"/>
            <w:tcMar>
              <w:top w:w="100" w:type="dxa"/>
              <w:start w:w="130" w:type="dxa"/>
              <w:bottom w:w="100" w:type="dxa"/>
              <w:end w:w="130" w:type="dxa"/>
            </w:tcMar>
            <w:vAlign w:val="center"/>
          </w:tcPr>
          <w:p>
            <w:pPr>
              <w:spacing w:after="0" w:line="252" w:lineRule="auto"/>
            </w:pPr>
            <w:r>
              <w:rPr>
                <w:rFonts w:ascii="Aptos" w:hAnsi="Aptos" w:eastAsia="Aptos"/>
                <w:b/>
                <w:color w:val="0B2545"/>
                <w:sz w:val="19"/>
              </w:rPr>
              <w:t>Founder dependency</w:t>
            </w:r>
          </w:p>
        </w:tc>
        <w:tc>
          <w:tcPr>
            <w:tcW w:type="dxa" w:w="7320"/>
            <w:tcMar>
              <w:top w:w="100" w:type="dxa"/>
              <w:start w:w="130" w:type="dxa"/>
              <w:bottom w:w="100" w:type="dxa"/>
              <w:end w:w="130" w:type="dxa"/>
            </w:tcMar>
            <w:vAlign w:val="center"/>
          </w:tcPr>
          <w:p>
            <w:pPr>
              <w:spacing w:after="0" w:line="252" w:lineRule="auto"/>
            </w:pPr>
            <w:r>
              <w:rPr>
                <w:rFonts w:ascii="Aptos" w:hAnsi="Aptos" w:eastAsia="Aptos"/>
                <w:b w:val="0"/>
                <w:color w:val="1F2933"/>
                <w:sz w:val="19"/>
              </w:rPr>
              <w:t>Доля решений, продаж и операций, которые может исполнить система без участия Павла.</w:t>
            </w:r>
          </w:p>
        </w:tc>
      </w:tr>
    </w:tbl>
    <w:p>
      <w:pPr>
        <w:spacing w:before="0" w:after="40" w:line="264" w:lineRule="auto"/>
        <w:jc w:val="left"/>
      </w:pPr>
    </w:p>
    <w:p>
      <w:pPr>
        <w:spacing w:before="0" w:after="120" w:line="264" w:lineRule="auto"/>
        <w:jc w:val="left"/>
      </w:pPr>
      <w:r>
        <w:rPr>
          <w:rFonts w:ascii="Aptos" w:hAnsi="Aptos" w:eastAsia="Aptos"/>
          <w:b w:val="0"/>
          <w:i w:val="0"/>
          <w:color w:val="1F2933"/>
          <w:sz w:val="22"/>
        </w:rPr>
        <w:t>Для каждого показателя ежегодное приложение определяет owner, формулу, источник данных, cadence, base, target, stretch и action threshold. Метрика без определения и владельца не используется для вознаграждения или публичного обещания.</w:t>
      </w:r>
    </w:p>
    <w:p>
      <w:r>
        <w:br w:type="page"/>
      </w:r>
    </w:p>
    <w:p>
      <w:pPr>
        <w:pStyle w:val="Heading1"/>
        <w:keepNext/>
      </w:pPr>
      <w:r>
        <w:t>31. Принципы, границы и лидерство</w:t>
      </w:r>
    </w:p>
    <w:p>
      <w:pPr>
        <w:spacing w:before="0" w:after="100" w:line="264" w:lineRule="auto"/>
        <w:jc w:val="left"/>
      </w:pPr>
      <w:r>
        <w:rPr>
          <w:rFonts w:ascii="Aptos" w:hAnsi="Aptos" w:eastAsia="Aptos"/>
          <w:b/>
          <w:i w:val="0"/>
          <w:color w:val="0B2545"/>
          <w:sz w:val="22"/>
        </w:rPr>
        <w:t xml:space="preserve">Интерес собственника прежде транзакции. </w:t>
      </w:r>
      <w:r>
        <w:rPr>
          <w:rFonts w:ascii="Aptos" w:hAnsi="Aptos" w:eastAsia="Aptos"/>
          <w:b w:val="0"/>
          <w:i w:val="0"/>
          <w:color w:val="1F2933"/>
          <w:sz w:val="22"/>
        </w:rPr>
        <w:t>Если решение не выдерживает проверки, компания отказывается от комиссии.</w:t>
      </w:r>
    </w:p>
    <w:p>
      <w:pPr>
        <w:spacing w:before="0" w:after="100" w:line="264" w:lineRule="auto"/>
        <w:jc w:val="left"/>
      </w:pPr>
      <w:r>
        <w:rPr>
          <w:rFonts w:ascii="Aptos" w:hAnsi="Aptos" w:eastAsia="Aptos"/>
          <w:b/>
          <w:i w:val="0"/>
          <w:color w:val="0B2545"/>
          <w:sz w:val="22"/>
        </w:rPr>
        <w:t xml:space="preserve">Безопасность и права клиента прежде экономики. </w:t>
      </w:r>
      <w:r>
        <w:rPr>
          <w:rFonts w:ascii="Aptos" w:hAnsi="Aptos" w:eastAsia="Aptos"/>
          <w:b w:val="0"/>
          <w:i w:val="0"/>
          <w:color w:val="1F2933"/>
          <w:sz w:val="22"/>
        </w:rPr>
        <w:t>Owner-side роль не оправдывает недостоверность или ущерб гостю и покупателю.</w:t>
      </w:r>
    </w:p>
    <w:p>
      <w:pPr>
        <w:spacing w:before="0" w:after="100" w:line="264" w:lineRule="auto"/>
        <w:jc w:val="left"/>
      </w:pPr>
      <w:r>
        <w:rPr>
          <w:rFonts w:ascii="Aptos" w:hAnsi="Aptos" w:eastAsia="Aptos"/>
          <w:b/>
          <w:i w:val="0"/>
          <w:color w:val="0B2545"/>
          <w:sz w:val="22"/>
        </w:rPr>
        <w:t xml:space="preserve">Никаких гарантированных доходностей. </w:t>
      </w:r>
      <w:r>
        <w:rPr>
          <w:rFonts w:ascii="Aptos" w:hAnsi="Aptos" w:eastAsia="Aptos"/>
          <w:b w:val="0"/>
          <w:i w:val="0"/>
          <w:color w:val="1F2933"/>
          <w:sz w:val="22"/>
        </w:rPr>
        <w:t>Допустимы цели, сценарии и sensitivity analysis с раскрытыми допущениями.</w:t>
      </w:r>
    </w:p>
    <w:p>
      <w:pPr>
        <w:spacing w:before="0" w:after="100" w:line="264" w:lineRule="auto"/>
        <w:jc w:val="left"/>
      </w:pPr>
      <w:r>
        <w:rPr>
          <w:rFonts w:ascii="Aptos" w:hAnsi="Aptos" w:eastAsia="Aptos"/>
          <w:b/>
          <w:i w:val="0"/>
          <w:color w:val="0B2545"/>
          <w:sz w:val="22"/>
        </w:rPr>
        <w:t xml:space="preserve">Полное раскрытие. </w:t>
      </w:r>
      <w:r>
        <w:rPr>
          <w:rFonts w:ascii="Aptos" w:hAnsi="Aptos" w:eastAsia="Aptos"/>
          <w:b w:val="0"/>
          <w:i w:val="0"/>
          <w:color w:val="1F2933"/>
          <w:sz w:val="22"/>
        </w:rPr>
        <w:t>Каждая сторона понимает роль компании, источник вознаграждения и существенный конфликт.</w:t>
      </w:r>
    </w:p>
    <w:p>
      <w:pPr>
        <w:spacing w:before="0" w:after="100" w:line="264" w:lineRule="auto"/>
        <w:jc w:val="left"/>
      </w:pPr>
      <w:r>
        <w:rPr>
          <w:rFonts w:ascii="Aptos" w:hAnsi="Aptos" w:eastAsia="Aptos"/>
          <w:b/>
          <w:i w:val="0"/>
          <w:color w:val="0B2545"/>
          <w:sz w:val="22"/>
        </w:rPr>
        <w:t xml:space="preserve">Доказательства прежде маркетинга. </w:t>
      </w:r>
      <w:r>
        <w:rPr>
          <w:rFonts w:ascii="Aptos" w:hAnsi="Aptos" w:eastAsia="Aptos"/>
          <w:b w:val="0"/>
          <w:i w:val="0"/>
          <w:color w:val="1F2933"/>
          <w:sz w:val="22"/>
        </w:rPr>
        <w:t>Факт, оценка и прогноз разделяются; у факта есть источник, статус и дата.</w:t>
      </w:r>
    </w:p>
    <w:p>
      <w:pPr>
        <w:spacing w:before="0" w:after="100" w:line="264" w:lineRule="auto"/>
        <w:jc w:val="left"/>
      </w:pPr>
      <w:r>
        <w:rPr>
          <w:rFonts w:ascii="Aptos" w:hAnsi="Aptos" w:eastAsia="Aptos"/>
          <w:b/>
          <w:i w:val="0"/>
          <w:color w:val="0B2545"/>
          <w:sz w:val="22"/>
        </w:rPr>
        <w:t xml:space="preserve">Полномочия соответствуют ответственности. </w:t>
      </w:r>
      <w:r>
        <w:rPr>
          <w:rFonts w:ascii="Aptos" w:hAnsi="Aptos" w:eastAsia="Aptos"/>
          <w:b w:val="0"/>
          <w:i w:val="0"/>
          <w:color w:val="1F2933"/>
          <w:sz w:val="22"/>
        </w:rPr>
        <w:t>Компания не отвечает за показатель, которым не может управлять.</w:t>
      </w:r>
    </w:p>
    <w:p>
      <w:pPr>
        <w:spacing w:before="0" w:after="100" w:line="264" w:lineRule="auto"/>
        <w:jc w:val="left"/>
      </w:pPr>
      <w:r>
        <w:rPr>
          <w:rFonts w:ascii="Aptos" w:hAnsi="Aptos" w:eastAsia="Aptos"/>
          <w:b/>
          <w:i w:val="0"/>
          <w:color w:val="0B2545"/>
          <w:sz w:val="22"/>
        </w:rPr>
        <w:t xml:space="preserve">Стандарт прежде бренда. </w:t>
      </w:r>
      <w:r>
        <w:rPr>
          <w:rFonts w:ascii="Aptos" w:hAnsi="Aptos" w:eastAsia="Aptos"/>
          <w:b w:val="0"/>
          <w:i w:val="0"/>
          <w:color w:val="1F2933"/>
          <w:sz w:val="22"/>
        </w:rPr>
        <w:t>myUNO видим только при подтверждённом качестве и фактическом контроле.</w:t>
      </w:r>
    </w:p>
    <w:p>
      <w:pPr>
        <w:spacing w:before="0" w:after="100" w:line="264" w:lineRule="auto"/>
        <w:jc w:val="left"/>
      </w:pPr>
      <w:r>
        <w:rPr>
          <w:rFonts w:ascii="Aptos" w:hAnsi="Aptos" w:eastAsia="Aptos"/>
          <w:b/>
          <w:i w:val="0"/>
          <w:color w:val="0B2545"/>
          <w:sz w:val="22"/>
        </w:rPr>
        <w:t xml:space="preserve">Плотность прежде экспансии. </w:t>
      </w:r>
      <w:r>
        <w:rPr>
          <w:rFonts w:ascii="Aptos" w:hAnsi="Aptos" w:eastAsia="Aptos"/>
          <w:b w:val="0"/>
          <w:i w:val="0"/>
          <w:color w:val="1F2933"/>
          <w:sz w:val="22"/>
        </w:rPr>
        <w:t>Новая территория следует после доказанной экономики и отделённой от основателя операции.</w:t>
      </w:r>
    </w:p>
    <w:p>
      <w:pPr>
        <w:spacing w:before="0" w:after="100" w:line="264" w:lineRule="auto"/>
        <w:jc w:val="left"/>
      </w:pPr>
      <w:r>
        <w:rPr>
          <w:rFonts w:ascii="Aptos" w:hAnsi="Aptos" w:eastAsia="Aptos"/>
          <w:b/>
          <w:i w:val="0"/>
          <w:color w:val="0B2545"/>
          <w:sz w:val="22"/>
        </w:rPr>
        <w:t xml:space="preserve">Система прежде героизма. </w:t>
      </w:r>
      <w:r>
        <w:rPr>
          <w:rFonts w:ascii="Aptos" w:hAnsi="Aptos" w:eastAsia="Aptos"/>
          <w:b w:val="0"/>
          <w:i w:val="0"/>
          <w:color w:val="1F2933"/>
          <w:sz w:val="22"/>
        </w:rPr>
        <w:t>Знание, решения, данные и задачи принадлежат процессу, а не личному чату.</w:t>
      </w:r>
    </w:p>
    <w:p>
      <w:pPr>
        <w:pStyle w:val="Heading2"/>
        <w:keepNext/>
      </w:pPr>
      <w:r>
        <w:t>31.1. Стратегические границы</w:t>
      </w:r>
    </w:p>
    <w:p>
      <w:pPr>
        <w:pStyle w:val="ListBullet"/>
        <w:spacing w:after="80" w:line="264" w:lineRule="auto"/>
      </w:pPr>
      <w:r>
        <w:rPr>
          <w:rFonts w:ascii="Aptos" w:hAnsi="Aptos" w:eastAsia="Aptos"/>
          <w:color w:val="1F2933"/>
          <w:sz w:val="22"/>
        </w:rPr>
        <w:t>Не открытый marketplace и не массовое агентство с непроверенными листингами.</w:t>
      </w:r>
    </w:p>
    <w:p>
      <w:pPr>
        <w:pStyle w:val="ListBullet"/>
        <w:spacing w:after="80" w:line="264" w:lineRule="auto"/>
      </w:pPr>
      <w:r>
        <w:rPr>
          <w:rFonts w:ascii="Aptos" w:hAnsi="Aptos" w:eastAsia="Aptos"/>
          <w:color w:val="1F2933"/>
          <w:sz w:val="22"/>
        </w:rPr>
        <w:t>Не универсальная сервисная служба и не подрядчик без связи с экономикой актива.</w:t>
      </w:r>
    </w:p>
    <w:p>
      <w:pPr>
        <w:pStyle w:val="ListBullet"/>
        <w:spacing w:after="80" w:line="264" w:lineRule="auto"/>
      </w:pPr>
      <w:r>
        <w:rPr>
          <w:rFonts w:ascii="Aptos" w:hAnsi="Aptos" w:eastAsia="Aptos"/>
          <w:color w:val="1F2933"/>
          <w:sz w:val="22"/>
        </w:rPr>
        <w:t>Не девелопер без отдельного инвестиционного решения, капитала и риска.</w:t>
      </w:r>
    </w:p>
    <w:p>
      <w:pPr>
        <w:pStyle w:val="ListBullet"/>
        <w:spacing w:after="80" w:line="264" w:lineRule="auto"/>
      </w:pPr>
      <w:r>
        <w:rPr>
          <w:rFonts w:ascii="Aptos" w:hAnsi="Aptos" w:eastAsia="Aptos"/>
          <w:color w:val="1F2933"/>
          <w:sz w:val="22"/>
        </w:rPr>
        <w:t>Не технологический проект, строящий десятки приложений без работающего revenue engine.</w:t>
      </w:r>
    </w:p>
    <w:p>
      <w:pPr>
        <w:pStyle w:val="ListBullet"/>
        <w:spacing w:after="80" w:line="264" w:lineRule="auto"/>
      </w:pPr>
      <w:r>
        <w:rPr>
          <w:rFonts w:ascii="Aptos" w:hAnsi="Aptos" w:eastAsia="Aptos"/>
          <w:color w:val="1F2933"/>
          <w:sz w:val="22"/>
        </w:rPr>
        <w:t>Не международная экспансия до доказанного Пхукетского кластера и readiness gate.</w:t>
      </w:r>
    </w:p>
    <w:p>
      <w:pPr>
        <w:spacing w:before="0" w:after="120" w:line="264" w:lineRule="auto"/>
        <w:jc w:val="left"/>
      </w:pPr>
      <w:r>
        <w:rPr>
          <w:rFonts w:ascii="Aptos" w:hAnsi="Aptos" w:eastAsia="Aptos"/>
          <w:b w:val="0"/>
          <w:i w:val="0"/>
          <w:color w:val="1F2933"/>
          <w:sz w:val="22"/>
        </w:rPr>
        <w:t>Concierge, транспорт, шеф, няня и дополнительные уборки поддерживают опыт и создают маржу, но развиваются только при подтверждённом спросе, качестве и unit economics.</w:t>
      </w:r>
    </w:p>
    <w:p>
      <w:pPr>
        <w:pStyle w:val="Heading2"/>
        <w:keepNext/>
      </w:pPr>
      <w:r>
        <w:t>31.2. Основатель и преемственность</w:t>
      </w:r>
    </w:p>
    <w:p>
      <w:pPr>
        <w:spacing w:before="0" w:after="120" w:line="264" w:lineRule="auto"/>
        <w:jc w:val="left"/>
      </w:pPr>
      <w:r>
        <w:rPr>
          <w:rFonts w:ascii="Aptos" w:hAnsi="Aptos" w:eastAsia="Aptos"/>
          <w:b w:val="0"/>
          <w:i w:val="0"/>
          <w:color w:val="1F2933"/>
          <w:sz w:val="22"/>
        </w:rPr>
        <w:t>Ignatev Estate носит фамилию Павла Игнатьева как знак персональной ответственности. Он сохраняет доктрину, ключевые отношения, существенное суждение, переговоры и исключения. Цель operating system — не убрать личное доверие, а превратить его обещание в повторяемое исполнение и снизить key-person risk.</w:t>
      </w:r>
    </w:p>
    <w:p>
      <w:pPr>
        <w:spacing w:before="0" w:after="120" w:line="264" w:lineRule="auto"/>
        <w:jc w:val="left"/>
      </w:pPr>
      <w:r>
        <w:rPr>
          <w:rFonts w:ascii="Aptos" w:hAnsi="Aptos" w:eastAsia="Aptos"/>
          <w:b w:val="0"/>
          <w:i w:val="0"/>
          <w:color w:val="1F2933"/>
          <w:sz w:val="22"/>
        </w:rPr>
        <w:t>Каждая критическая функция должна иметь documented process, доступный audit trail и назначенного заместителя. Доля выручки и решений, требующих личного участия основателя, должна измеряться и снижаться без снижения качества.</w:t>
      </w:r>
    </w:p>
    <w:p>
      <w:pPr>
        <w:spacing w:before="0" w:after="120" w:line="264" w:lineRule="auto"/>
        <w:jc w:val="left"/>
      </w:pPr>
      <w:r>
        <w:rPr>
          <w:rFonts w:ascii="Aptos" w:hAnsi="Aptos" w:eastAsia="Aptos"/>
          <w:b w:val="0"/>
          <w:i w:val="0"/>
          <w:color w:val="1F2933"/>
          <w:sz w:val="22"/>
        </w:rPr>
        <w:t>Внешние представительские мандаты Павла отражают доверие и коммуникационную способность, но не являются гарантией инвестиционного результата, юридическим заключением или одобрением актива.</w:t>
      </w:r>
    </w:p>
    <w:p>
      <w:pPr>
        <w:pStyle w:val="Heading1"/>
        <w:keepNext/>
      </w:pPr>
      <w:r>
        <w:t>32. Система корпоративных документов и формулировки</w:t>
      </w:r>
    </w:p>
    <w:p>
      <w:pPr>
        <w:pStyle w:val="Heading2"/>
        <w:keepNext/>
      </w:pPr>
      <w:r>
        <w:t>32.1. Иерархия документов</w:t>
      </w:r>
    </w:p>
    <w:tbl>
      <w:tblPr>
        <w:tblW w:type="dxa" w:w="9360"/>
        <w:jc w:val="left"/>
        <w:tblLayout w:type="fixed"/>
        <w:tblLook w:firstColumn="1" w:firstRow="1" w:lastColumn="0" w:lastRow="0" w:noHBand="0" w:noVBand="1" w:val="04A0"/>
        <w:tblInd w:w="120" w:type="dxa"/>
        <w:tblBorders>
          <w:top w:val="single" w:sz="6" w:space="0" w:color="D6DCE2"/>
          <w:left w:val="single" w:sz="6" w:space="0" w:color="D6DCE2"/>
          <w:bottom w:val="single" w:sz="6" w:space="0" w:color="D6DCE2"/>
          <w:right w:val="single" w:sz="6" w:space="0" w:color="D6DCE2"/>
          <w:insideH w:val="single" w:sz="6" w:space="0" w:color="D6DCE2"/>
          <w:insideV w:val="single" w:sz="6" w:space="0" w:color="D6DCE2"/>
        </w:tblBorders>
      </w:tblPr>
      <w:tblGrid>
        <w:gridCol w:w="1800"/>
        <w:gridCol w:w="4320"/>
        <w:gridCol w:w="3240"/>
      </w:tblGrid>
      <w:tr>
        <w:trPr>
          <w:tblHeader w:val="true"/>
          <w:cantSplit/>
        </w:trPr>
        <w:tc>
          <w:tcPr>
            <w:tcW w:type="dxa" w:w="1800"/>
            <w:shd w:fill="0B2545"/>
            <w:tcMar>
              <w:top w:w="100" w:type="dxa"/>
              <w:start w:w="130" w:type="dxa"/>
              <w:bottom w:w="100" w:type="dxa"/>
              <w:end w:w="130" w:type="dxa"/>
            </w:tcMar>
            <w:vAlign w:val="center"/>
          </w:tcPr>
          <w:p>
            <w:pPr>
              <w:spacing w:after="0" w:line="240" w:lineRule="auto"/>
            </w:pPr>
            <w:r>
              <w:rPr>
                <w:rFonts w:ascii="Aptos" w:hAnsi="Aptos" w:eastAsia="Aptos"/>
                <w:b/>
                <w:color w:val="FFFFFF"/>
                <w:sz w:val="19"/>
              </w:rPr>
              <w:t>УРОВЕНЬ</w:t>
            </w:r>
          </w:p>
        </w:tc>
        <w:tc>
          <w:tcPr>
            <w:tcW w:type="dxa" w:w="4320"/>
            <w:shd w:fill="0B2545"/>
            <w:tcMar>
              <w:top w:w="100" w:type="dxa"/>
              <w:start w:w="130" w:type="dxa"/>
              <w:bottom w:w="100" w:type="dxa"/>
              <w:end w:w="130" w:type="dxa"/>
            </w:tcMar>
            <w:vAlign w:val="center"/>
          </w:tcPr>
          <w:p>
            <w:pPr>
              <w:spacing w:after="0" w:line="240" w:lineRule="auto"/>
            </w:pPr>
            <w:r>
              <w:rPr>
                <w:rFonts w:ascii="Aptos" w:hAnsi="Aptos" w:eastAsia="Aptos"/>
                <w:b/>
                <w:color w:val="FFFFFF"/>
                <w:sz w:val="19"/>
              </w:rPr>
              <w:t>НАЗНАЧЕНИЕ</w:t>
            </w:r>
          </w:p>
        </w:tc>
        <w:tc>
          <w:tcPr>
            <w:tcW w:type="dxa" w:w="3240"/>
            <w:shd w:fill="0B2545"/>
            <w:tcMar>
              <w:top w:w="100" w:type="dxa"/>
              <w:start w:w="130" w:type="dxa"/>
              <w:bottom w:w="100" w:type="dxa"/>
              <w:end w:w="130" w:type="dxa"/>
            </w:tcMar>
            <w:vAlign w:val="center"/>
          </w:tcPr>
          <w:p>
            <w:pPr>
              <w:spacing w:after="0" w:line="240" w:lineRule="auto"/>
            </w:pPr>
            <w:r>
              <w:rPr>
                <w:rFonts w:ascii="Aptos" w:hAnsi="Aptos" w:eastAsia="Aptos"/>
                <w:b/>
                <w:color w:val="FFFFFF"/>
                <w:sz w:val="19"/>
              </w:rPr>
              <w:t>ПРИМЕР</w:t>
            </w:r>
          </w:p>
        </w:tc>
      </w:tr>
      <w:tr>
        <w:trPr>
          <w:cantSplit/>
        </w:trPr>
        <w:tc>
          <w:tcPr>
            <w:tcW w:type="dxa" w:w="1800"/>
            <w:tcMar>
              <w:top w:w="100" w:type="dxa"/>
              <w:start w:w="130" w:type="dxa"/>
              <w:bottom w:w="100" w:type="dxa"/>
              <w:end w:w="130" w:type="dxa"/>
            </w:tcMar>
            <w:vAlign w:val="center"/>
          </w:tcPr>
          <w:p>
            <w:pPr>
              <w:spacing w:after="0" w:line="252" w:lineRule="auto"/>
            </w:pPr>
            <w:r>
              <w:rPr>
                <w:rFonts w:ascii="Aptos" w:hAnsi="Aptos" w:eastAsia="Aptos"/>
                <w:b/>
                <w:color w:val="0B2545"/>
                <w:sz w:val="19"/>
              </w:rPr>
              <w:t>Corporate Bible</w:t>
            </w:r>
          </w:p>
        </w:tc>
        <w:tc>
          <w:tcPr>
            <w:tcW w:type="dxa" w:w="4320"/>
            <w:tcMar>
              <w:top w:w="100" w:type="dxa"/>
              <w:start w:w="130" w:type="dxa"/>
              <w:bottom w:w="100" w:type="dxa"/>
              <w:end w:w="130" w:type="dxa"/>
            </w:tcMar>
            <w:vAlign w:val="center"/>
          </w:tcPr>
          <w:p>
            <w:pPr>
              <w:spacing w:after="0" w:line="252" w:lineRule="auto"/>
            </w:pPr>
            <w:r>
              <w:rPr>
                <w:rFonts w:ascii="Aptos" w:hAnsi="Aptos" w:eastAsia="Aptos"/>
                <w:b w:val="0"/>
                <w:color w:val="1F2933"/>
                <w:sz w:val="19"/>
              </w:rPr>
              <w:t>Долгосрочная доктрина, бизнес-модель и decision rules.</w:t>
            </w:r>
          </w:p>
        </w:tc>
        <w:tc>
          <w:tcPr>
            <w:tcW w:type="dxa" w:w="3240"/>
            <w:tcMar>
              <w:top w:w="100" w:type="dxa"/>
              <w:start w:w="130" w:type="dxa"/>
              <w:bottom w:w="100" w:type="dxa"/>
              <w:end w:w="130" w:type="dxa"/>
            </w:tcMar>
            <w:vAlign w:val="center"/>
          </w:tcPr>
          <w:p>
            <w:pPr>
              <w:spacing w:after="0" w:line="252" w:lineRule="auto"/>
            </w:pPr>
            <w:r>
              <w:rPr>
                <w:rFonts w:ascii="Aptos" w:hAnsi="Aptos" w:eastAsia="Aptos"/>
                <w:b w:val="0"/>
                <w:color w:val="1F2933"/>
                <w:sz w:val="19"/>
              </w:rPr>
              <w:t>Настоящий документ.</w:t>
            </w:r>
          </w:p>
        </w:tc>
      </w:tr>
      <w:tr>
        <w:trPr>
          <w:cantSplit/>
        </w:trPr>
        <w:tc>
          <w:tcPr>
            <w:tcW w:type="dxa" w:w="1800"/>
            <w:tcMar>
              <w:top w:w="100" w:type="dxa"/>
              <w:start w:w="130" w:type="dxa"/>
              <w:bottom w:w="100" w:type="dxa"/>
              <w:end w:w="130" w:type="dxa"/>
            </w:tcMar>
            <w:vAlign w:val="center"/>
            <w:shd w:fill="FAFBFC"/>
          </w:tcPr>
          <w:p>
            <w:pPr>
              <w:spacing w:after="0" w:line="252" w:lineRule="auto"/>
            </w:pPr>
            <w:r>
              <w:rPr>
                <w:rFonts w:ascii="Aptos" w:hAnsi="Aptos" w:eastAsia="Aptos"/>
                <w:b/>
                <w:color w:val="0B2545"/>
                <w:sz w:val="19"/>
              </w:rPr>
              <w:t>Policy</w:t>
            </w:r>
          </w:p>
        </w:tc>
        <w:tc>
          <w:tcPr>
            <w:tcW w:type="dxa" w:w="432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Обязательное правило по отдельной области.</w:t>
            </w:r>
          </w:p>
        </w:tc>
        <w:tc>
          <w:tcPr>
            <w:tcW w:type="dxa" w:w="324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Data, conflicts, partner, finance, brand, AI.</w:t>
            </w:r>
          </w:p>
        </w:tc>
      </w:tr>
      <w:tr>
        <w:trPr>
          <w:cantSplit/>
        </w:trPr>
        <w:tc>
          <w:tcPr>
            <w:tcW w:type="dxa" w:w="1800"/>
            <w:tcMar>
              <w:top w:w="100" w:type="dxa"/>
              <w:start w:w="130" w:type="dxa"/>
              <w:bottom w:w="100" w:type="dxa"/>
              <w:end w:w="130" w:type="dxa"/>
            </w:tcMar>
            <w:vAlign w:val="center"/>
          </w:tcPr>
          <w:p>
            <w:pPr>
              <w:spacing w:after="0" w:line="252" w:lineRule="auto"/>
            </w:pPr>
            <w:r>
              <w:rPr>
                <w:rFonts w:ascii="Aptos" w:hAnsi="Aptos" w:eastAsia="Aptos"/>
                <w:b/>
                <w:color w:val="0B2545"/>
                <w:sz w:val="19"/>
              </w:rPr>
              <w:t>Playbook</w:t>
            </w:r>
          </w:p>
        </w:tc>
        <w:tc>
          <w:tcPr>
            <w:tcW w:type="dxa" w:w="4320"/>
            <w:tcMar>
              <w:top w:w="100" w:type="dxa"/>
              <w:start w:w="130" w:type="dxa"/>
              <w:bottom w:w="100" w:type="dxa"/>
              <w:end w:w="130" w:type="dxa"/>
            </w:tcMar>
            <w:vAlign w:val="center"/>
          </w:tcPr>
          <w:p>
            <w:pPr>
              <w:spacing w:after="0" w:line="252" w:lineRule="auto"/>
            </w:pPr>
            <w:r>
              <w:rPr>
                <w:rFonts w:ascii="Aptos" w:hAnsi="Aptos" w:eastAsia="Aptos"/>
                <w:b w:val="0"/>
                <w:color w:val="1F2933"/>
                <w:sz w:val="19"/>
              </w:rPr>
              <w:t>Модель исполнения повторяемого сценария.</w:t>
            </w:r>
          </w:p>
        </w:tc>
        <w:tc>
          <w:tcPr>
            <w:tcW w:type="dxa" w:w="3240"/>
            <w:tcMar>
              <w:top w:w="100" w:type="dxa"/>
              <w:start w:w="130" w:type="dxa"/>
              <w:bottom w:w="100" w:type="dxa"/>
              <w:end w:w="130" w:type="dxa"/>
            </w:tcMar>
            <w:vAlign w:val="center"/>
          </w:tcPr>
          <w:p>
            <w:pPr>
              <w:spacing w:after="0" w:line="252" w:lineRule="auto"/>
            </w:pPr>
            <w:r>
              <w:rPr>
                <w:rFonts w:ascii="Aptos" w:hAnsi="Aptos" w:eastAsia="Aptos"/>
                <w:b w:val="0"/>
                <w:color w:val="1F2933"/>
                <w:sz w:val="19"/>
              </w:rPr>
              <w:t>Asset launch, hotel turnaround, managed sale.</w:t>
            </w:r>
          </w:p>
        </w:tc>
      </w:tr>
      <w:tr>
        <w:trPr>
          <w:cantSplit/>
        </w:trPr>
        <w:tc>
          <w:tcPr>
            <w:tcW w:type="dxa" w:w="1800"/>
            <w:tcMar>
              <w:top w:w="100" w:type="dxa"/>
              <w:start w:w="130" w:type="dxa"/>
              <w:bottom w:w="100" w:type="dxa"/>
              <w:end w:w="130" w:type="dxa"/>
            </w:tcMar>
            <w:vAlign w:val="center"/>
            <w:shd w:fill="FAFBFC"/>
          </w:tcPr>
          <w:p>
            <w:pPr>
              <w:spacing w:after="0" w:line="252" w:lineRule="auto"/>
            </w:pPr>
            <w:r>
              <w:rPr>
                <w:rFonts w:ascii="Aptos" w:hAnsi="Aptos" w:eastAsia="Aptos"/>
                <w:b/>
                <w:color w:val="0B2545"/>
                <w:sz w:val="19"/>
              </w:rPr>
              <w:t>SOP</w:t>
            </w:r>
          </w:p>
        </w:tc>
        <w:tc>
          <w:tcPr>
            <w:tcW w:type="dxa" w:w="432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Пошаговая инструкция конкретной операции.</w:t>
            </w:r>
          </w:p>
        </w:tc>
        <w:tc>
          <w:tcPr>
            <w:tcW w:type="dxa" w:w="324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Check-in, reconciliation, incident response.</w:t>
            </w:r>
          </w:p>
        </w:tc>
      </w:tr>
      <w:tr>
        <w:trPr>
          <w:cantSplit/>
        </w:trPr>
        <w:tc>
          <w:tcPr>
            <w:tcW w:type="dxa" w:w="1800"/>
            <w:tcMar>
              <w:top w:w="100" w:type="dxa"/>
              <w:start w:w="130" w:type="dxa"/>
              <w:bottom w:w="100" w:type="dxa"/>
              <w:end w:w="130" w:type="dxa"/>
            </w:tcMar>
            <w:vAlign w:val="center"/>
          </w:tcPr>
          <w:p>
            <w:pPr>
              <w:spacing w:after="0" w:line="252" w:lineRule="auto"/>
            </w:pPr>
            <w:r>
              <w:rPr>
                <w:rFonts w:ascii="Aptos" w:hAnsi="Aptos" w:eastAsia="Aptos"/>
                <w:b/>
                <w:color w:val="0B2545"/>
                <w:sz w:val="19"/>
              </w:rPr>
              <w:t>Template</w:t>
            </w:r>
          </w:p>
        </w:tc>
        <w:tc>
          <w:tcPr>
            <w:tcW w:type="dxa" w:w="4320"/>
            <w:tcMar>
              <w:top w:w="100" w:type="dxa"/>
              <w:start w:w="130" w:type="dxa"/>
              <w:bottom w:w="100" w:type="dxa"/>
              <w:end w:w="130" w:type="dxa"/>
            </w:tcMar>
            <w:vAlign w:val="center"/>
          </w:tcPr>
          <w:p>
            <w:pPr>
              <w:spacing w:after="0" w:line="252" w:lineRule="auto"/>
            </w:pPr>
            <w:r>
              <w:rPr>
                <w:rFonts w:ascii="Aptos" w:hAnsi="Aptos" w:eastAsia="Aptos"/>
                <w:b w:val="0"/>
                <w:color w:val="1F2933"/>
                <w:sz w:val="19"/>
              </w:rPr>
              <w:t>Стандартный доказательный артефакт.</w:t>
            </w:r>
          </w:p>
        </w:tc>
        <w:tc>
          <w:tcPr>
            <w:tcW w:type="dxa" w:w="3240"/>
            <w:tcMar>
              <w:top w:w="100" w:type="dxa"/>
              <w:start w:w="130" w:type="dxa"/>
              <w:bottom w:w="100" w:type="dxa"/>
              <w:end w:w="130" w:type="dxa"/>
            </w:tcMar>
            <w:vAlign w:val="center"/>
          </w:tcPr>
          <w:p>
            <w:pPr>
              <w:spacing w:after="0" w:line="252" w:lineRule="auto"/>
            </w:pPr>
            <w:r>
              <w:rPr>
                <w:rFonts w:ascii="Aptos" w:hAnsi="Aptos" w:eastAsia="Aptos"/>
                <w:b w:val="0"/>
                <w:color w:val="1F2933"/>
                <w:sz w:val="19"/>
              </w:rPr>
              <w:t>Owner report, Product Card, checklist, agreement.</w:t>
            </w:r>
          </w:p>
        </w:tc>
      </w:tr>
      <w:tr>
        <w:trPr>
          <w:cantSplit/>
        </w:trPr>
        <w:tc>
          <w:tcPr>
            <w:tcW w:type="dxa" w:w="1800"/>
            <w:tcMar>
              <w:top w:w="100" w:type="dxa"/>
              <w:start w:w="130" w:type="dxa"/>
              <w:bottom w:w="100" w:type="dxa"/>
              <w:end w:w="130" w:type="dxa"/>
            </w:tcMar>
            <w:vAlign w:val="center"/>
            <w:shd w:fill="FAFBFC"/>
          </w:tcPr>
          <w:p>
            <w:pPr>
              <w:spacing w:after="0" w:line="252" w:lineRule="auto"/>
            </w:pPr>
            <w:r>
              <w:rPr>
                <w:rFonts w:ascii="Aptos" w:hAnsi="Aptos" w:eastAsia="Aptos"/>
                <w:b/>
                <w:color w:val="0B2545"/>
                <w:sz w:val="19"/>
              </w:rPr>
              <w:t>Decision Log</w:t>
            </w:r>
          </w:p>
        </w:tc>
        <w:tc>
          <w:tcPr>
            <w:tcW w:type="dxa" w:w="432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Кто, когда и почему изменил каноническое решение.</w:t>
            </w:r>
          </w:p>
        </w:tc>
        <w:tc>
          <w:tcPr>
            <w:tcW w:type="dxa" w:w="3240"/>
            <w:tcMar>
              <w:top w:w="100" w:type="dxa"/>
              <w:start w:w="130" w:type="dxa"/>
              <w:bottom w:w="100" w:type="dxa"/>
              <w:end w:w="130" w:type="dxa"/>
            </w:tcMar>
            <w:vAlign w:val="center"/>
            <w:shd w:fill="FAFBFC"/>
          </w:tcPr>
          <w:p>
            <w:pPr>
              <w:spacing w:after="0" w:line="252" w:lineRule="auto"/>
            </w:pPr>
            <w:r>
              <w:rPr>
                <w:rFonts w:ascii="Aptos" w:hAnsi="Aptos" w:eastAsia="Aptos"/>
                <w:b w:val="0"/>
                <w:color w:val="1F2933"/>
                <w:sz w:val="19"/>
              </w:rPr>
              <w:t>Дата, решение, основания, затронутые документы.</w:t>
            </w:r>
          </w:p>
        </w:tc>
      </w:tr>
    </w:tbl>
    <w:p>
      <w:pPr>
        <w:spacing w:before="0" w:after="40" w:line="264" w:lineRule="auto"/>
        <w:jc w:val="left"/>
      </w:pPr>
    </w:p>
    <w:p>
      <w:pPr>
        <w:spacing w:before="0" w:after="120" w:line="264" w:lineRule="auto"/>
        <w:jc w:val="left"/>
      </w:pPr>
      <w:r>
        <w:rPr>
          <w:rFonts w:ascii="Aptos" w:hAnsi="Aptos" w:eastAsia="Aptos"/>
          <w:b w:val="0"/>
          <w:i w:val="0"/>
          <w:color w:val="1F2933"/>
          <w:sz w:val="22"/>
        </w:rPr>
        <w:t>Обязательные приложения: Glossary; Product Cards; Asset Acceptance Checklist; RACI и approval limits; KPI Dictionary; SLA; Incident Matrix; Data Policy; Partner Policy; Finance Control Policy; Brand Rules; AI Policy; Risk Register; SOP Register и Decision Log.</w:t>
      </w:r>
    </w:p>
    <w:p>
      <w:pPr>
        <w:pStyle w:val="Heading2"/>
        <w:keepNext/>
      </w:pPr>
      <w:r>
        <w:t>32.2. Утверждённые корпоративные формулировки</w:t>
      </w:r>
    </w:p>
    <w:p>
      <w:pPr>
        <w:pStyle w:val="Heading3"/>
        <w:keepNext/>
      </w:pPr>
      <w:r>
        <w:t>Полная версия</w:t>
      </w:r>
    </w:p>
    <w:tbl>
      <w:tblPr>
        <w:tblW w:type="dxa" w:w="9360"/>
        <w:jc w:val="left"/>
        <w:tblLook w:firstColumn="1" w:firstRow="1" w:lastColumn="0" w:lastRow="0" w:noHBand="0" w:noVBand="1" w:val="04A0"/>
        <w:tblInd w:w="120" w:type="dxa"/>
        <w:tblBorders>
          <w:top w:val="single" w:sz="4" w:space="0" w:color="E8EEF5"/>
          <w:left w:val="single" w:sz="4" w:space="0" w:color="E8EEF5"/>
          <w:bottom w:val="single" w:sz="4" w:space="0" w:color="E8EEF5"/>
          <w:right w:val="single" w:sz="4" w:space="0" w:color="E8EEF5"/>
          <w:insideH w:val="single" w:sz="4" w:space="0" w:color="E8EEF5"/>
          <w:insideV w:val="single" w:sz="4" w:space="0" w:color="E8EEF5"/>
        </w:tblBorders>
      </w:tblPr>
      <w:tblGrid>
        <w:gridCol w:w="9360"/>
      </w:tblGrid>
      <w:tr>
        <w:tc>
          <w:tcPr>
            <w:tcW w:type="dxa" w:w="9360"/>
            <w:shd w:fill="E8EEF5"/>
            <w:tcMar>
              <w:top w:w="150" w:type="dxa"/>
              <w:start w:w="180" w:type="dxa"/>
              <w:bottom w:w="150" w:type="dxa"/>
              <w:end w:w="180" w:type="dxa"/>
            </w:tcMar>
          </w:tcPr>
          <w:p>
            <w:pPr>
              <w:spacing w:after="0" w:line="269" w:lineRule="auto"/>
            </w:pPr>
            <w:r>
              <w:rPr>
                <w:rFonts w:ascii="Aptos" w:hAnsi="Aptos" w:eastAsia="Aptos"/>
                <w:b/>
                <w:color w:val="0B2545"/>
                <w:sz w:val="21"/>
              </w:rPr>
              <w:t xml:space="preserve">IGNATEV ESTATE. </w:t>
            </w:r>
            <w:r>
              <w:rPr>
                <w:rFonts w:ascii="Aptos" w:hAnsi="Aptos" w:eastAsia="Aptos"/>
                <w:color w:val="1F2933"/>
                <w:sz w:val="21"/>
              </w:rPr>
              <w:t>Представитель собственника и оператор доходной недвижимости на Пхукете. Мы отбираем и проверяем активы, принимаем коммерческий мандат, организуем управление и поддерживаем ликвидность недвижимости на всём сроке владения — от приобретения до продажи. Ignatev означает ответственность и суждение, ClearView — проверку и доказательства, myUNO — операционный стандарт исполнения.</w:t>
            </w:r>
          </w:p>
        </w:tc>
      </w:tr>
    </w:tbl>
    <w:p>
      <w:pPr>
        <w:spacing w:before="0" w:after="40" w:line="264" w:lineRule="auto"/>
        <w:jc w:val="left"/>
      </w:pPr>
    </w:p>
    <w:p>
      <w:pPr>
        <w:pStyle w:val="Heading3"/>
        <w:keepNext/>
      </w:pPr>
      <w:r>
        <w:t>Короткая версия</w:t>
      </w:r>
    </w:p>
    <w:p>
      <w:pPr>
        <w:spacing w:before="0" w:after="120" w:line="264" w:lineRule="auto"/>
        <w:jc w:val="left"/>
      </w:pPr>
      <w:r>
        <w:rPr>
          <w:rFonts w:ascii="Aptos" w:hAnsi="Aptos" w:eastAsia="Aptos"/>
          <w:b/>
          <w:i w:val="0"/>
          <w:color w:val="0B2545"/>
          <w:sz w:val="26"/>
        </w:rPr>
        <w:t>Ignatev Estate управляет экономикой недвижимости собственника на Пхукете — от выбора актива до его эксплуатации и продажи.</w:t>
      </w:r>
    </w:p>
    <w:p>
      <w:pPr>
        <w:pStyle w:val="Heading3"/>
        <w:keepNext/>
      </w:pPr>
      <w:r>
        <w:t>Одно предложение для собственника</w:t>
      </w:r>
    </w:p>
    <w:p>
      <w:pPr>
        <w:spacing w:before="0" w:after="120" w:line="264" w:lineRule="auto"/>
        <w:jc w:val="left"/>
      </w:pPr>
      <w:r>
        <w:rPr>
          <w:rFonts w:ascii="Aptos" w:hAnsi="Aptos" w:eastAsia="Aptos"/>
          <w:b/>
          <w:i w:val="0"/>
          <w:color w:val="1F4D78"/>
          <w:sz w:val="24"/>
        </w:rPr>
        <w:t>Вы владеете активом; Ignatev Estate обеспечивает локальный контроль, прозрачную экономику и подготовленный выход.</w:t>
      </w:r>
    </w:p>
    <w:p>
      <w:pPr>
        <w:pStyle w:val="Heading3"/>
        <w:keepNext/>
      </w:pPr>
      <w:r>
        <w:t>Корпоративная подпись</w:t>
      </w:r>
    </w:p>
    <w:p>
      <w:pPr>
        <w:spacing w:before="0" w:after="120" w:line="264" w:lineRule="auto"/>
        <w:jc w:val="left"/>
      </w:pPr>
      <w:r>
        <w:rPr>
          <w:rFonts w:ascii="Aptos" w:hAnsi="Aptos" w:eastAsia="Aptos"/>
          <w:b/>
          <w:i w:val="0"/>
          <w:color w:val="0B2545"/>
          <w:sz w:val="21"/>
        </w:rPr>
        <w:t>IGNATEV ESTATE  |  OWNER REPRESENTATION · ASSET MANAGEMENT · TRANSACTIONS</w:t>
      </w:r>
    </w:p>
    <w:p>
      <w:r>
        <w:br w:type="page"/>
      </w:r>
    </w:p>
    <w:p>
      <w:pPr>
        <w:pStyle w:val="Heading2"/>
        <w:keepNext/>
      </w:pPr>
      <w:r>
        <w:t>32.3. Коммуникационные правила</w:t>
      </w:r>
    </w:p>
    <w:p>
      <w:pPr>
        <w:pStyle w:val="ListBullet"/>
        <w:spacing w:after="80" w:line="264" w:lineRule="auto"/>
      </w:pPr>
      <w:r>
        <w:rPr>
          <w:rFonts w:ascii="Aptos" w:hAnsi="Aptos" w:eastAsia="Aptos"/>
          <w:color w:val="1F2933"/>
          <w:sz w:val="22"/>
        </w:rPr>
        <w:t>Говорить «оператор доходной недвижимости» и «представитель собственника».</w:t>
      </w:r>
    </w:p>
    <w:p>
      <w:pPr>
        <w:pStyle w:val="ListBullet"/>
        <w:spacing w:after="80" w:line="264" w:lineRule="auto"/>
      </w:pPr>
      <w:r>
        <w:rPr>
          <w:rFonts w:ascii="Aptos" w:hAnsi="Aptos" w:eastAsia="Aptos"/>
          <w:color w:val="1F2933"/>
          <w:sz w:val="22"/>
        </w:rPr>
        <w:t>Говорить «целевая», «сценарная» или «фактическая» доходность — никогда «гарантированная», если гарантия не предоставлена независимой способной стороной и не проверена.</w:t>
      </w:r>
    </w:p>
    <w:p>
      <w:pPr>
        <w:pStyle w:val="ListBullet"/>
        <w:spacing w:after="80" w:line="264" w:lineRule="auto"/>
      </w:pPr>
      <w:r>
        <w:rPr>
          <w:rFonts w:ascii="Aptos" w:hAnsi="Aptos" w:eastAsia="Aptos"/>
          <w:color w:val="1F2933"/>
          <w:sz w:val="22"/>
        </w:rPr>
        <w:t>Говорить «управляемые резиденции» — не использовать обозначения, способные неверно описать юридический режим объекта.</w:t>
      </w:r>
    </w:p>
    <w:p>
      <w:pPr>
        <w:pStyle w:val="ListBullet"/>
        <w:spacing w:after="80" w:line="264" w:lineRule="auto"/>
      </w:pPr>
      <w:r>
        <w:rPr>
          <w:rFonts w:ascii="Aptos" w:hAnsi="Aptos" w:eastAsia="Aptos"/>
          <w:color w:val="1F2933"/>
          <w:sz w:val="22"/>
        </w:rPr>
        <w:t>Использовать «Managed by myUNO» только в пределах реально управляемого инвентаря; «Operated by myUNO» — только при полном коммерческом и операционном мандате.</w:t>
      </w:r>
    </w:p>
    <w:p>
      <w:pPr>
        <w:pStyle w:val="ListBullet"/>
        <w:spacing w:after="80" w:line="264" w:lineRule="auto"/>
      </w:pPr>
      <w:r>
        <w:rPr>
          <w:rFonts w:ascii="Aptos" w:hAnsi="Aptos" w:eastAsia="Aptos"/>
          <w:color w:val="1F2933"/>
          <w:sz w:val="22"/>
        </w:rPr>
        <w:t>Не создавать впечатление управления всем зданием или комплексом, если договор охватывает лишь отдельные юниты.</w:t>
      </w:r>
    </w:p>
    <w:p>
      <w:pPr>
        <w:pStyle w:val="ListBullet"/>
        <w:spacing w:after="80" w:line="264" w:lineRule="auto"/>
      </w:pPr>
      <w:r>
        <w:rPr>
          <w:rFonts w:ascii="Aptos" w:hAnsi="Aptos" w:eastAsia="Aptos"/>
          <w:color w:val="1F2933"/>
          <w:sz w:val="22"/>
        </w:rPr>
        <w:t>Партнёрский объект обозначать как sourced by Ignatev Estate и называть его фактического оператора; не использовать myUNO без операционного мандата.</w:t>
      </w:r>
    </w:p>
    <w:p>
      <w:pPr>
        <w:pStyle w:val="ListBullet"/>
        <w:spacing w:after="80" w:line="264" w:lineRule="auto"/>
      </w:pPr>
      <w:r>
        <w:rPr>
          <w:rFonts w:ascii="Aptos" w:hAnsi="Aptos" w:eastAsia="Aptos"/>
          <w:color w:val="1F2933"/>
          <w:sz w:val="22"/>
        </w:rPr>
        <w:t>Отделять факт, оценку и прогноз; указывать источник, статус и дату проверки существенных данных.</w:t>
      </w:r>
    </w:p>
    <w:p>
      <w:pPr>
        <w:pStyle w:val="ListBullet"/>
        <w:spacing w:after="80" w:line="264" w:lineRule="auto"/>
      </w:pPr>
      <w:r>
        <w:rPr>
          <w:rFonts w:ascii="Aptos" w:hAnsi="Aptos" w:eastAsia="Aptos"/>
          <w:color w:val="1F2933"/>
          <w:sz w:val="22"/>
        </w:rPr>
        <w:t>Не обещать полный контроль, если полномочия ограничены договором, бюджетом или решениями собственника.</w:t>
      </w:r>
    </w:p>
    <w:p>
      <w:r>
        <w:br w:type="page"/>
      </w:r>
    </w:p>
    <w:p>
      <w:pPr>
        <w:spacing w:before="2600" w:after="240" w:line="264" w:lineRule="auto"/>
        <w:jc w:val="center"/>
      </w:pPr>
      <w:r>
        <w:rPr>
          <w:rFonts w:ascii="Aptos" w:hAnsi="Aptos" w:eastAsia="Aptos"/>
          <w:b/>
          <w:i w:val="0"/>
          <w:color w:val="0B2545"/>
          <w:sz w:val="52"/>
        </w:rPr>
        <w:t>IGNATEV ESTATE</w:t>
      </w:r>
    </w:p>
    <w:p>
      <w:pPr>
        <w:spacing w:before="0" w:after="600" w:line="300" w:lineRule="auto"/>
        <w:jc w:val="center"/>
      </w:pPr>
      <w:r>
        <w:rPr>
          <w:rFonts w:ascii="Aptos" w:hAnsi="Aptos" w:eastAsia="Aptos"/>
          <w:b w:val="0"/>
          <w:i w:val="0"/>
          <w:color w:val="1F4D78"/>
          <w:sz w:val="30"/>
        </w:rPr>
        <w:t>Clarity in ownership. Discipline in operations.</w:t>
        <w:br/>
        <w:t>Evidence at exit.</w:t>
      </w:r>
    </w:p>
    <w:p>
      <w:pPr>
        <w:spacing w:before="0" w:after="440" w:line="264" w:lineRule="auto"/>
        <w:jc w:val="left"/>
        <w:pBdr>
          <w:bottom w:val="single" w:sz="14" w:space="1" w:color="A67C37"/>
        </w:pBdr>
      </w:pPr>
    </w:p>
    <w:p>
      <w:pPr>
        <w:spacing w:before="0" w:after="80" w:line="264" w:lineRule="auto"/>
        <w:jc w:val="center"/>
      </w:pPr>
      <w:r>
        <w:rPr>
          <w:rFonts w:ascii="Aptos" w:hAnsi="Aptos" w:eastAsia="Aptos"/>
          <w:b/>
          <w:i w:val="0"/>
          <w:color w:val="1F2933"/>
          <w:sz w:val="22"/>
        </w:rPr>
        <w:t>Ignatev Estate Co., Ltd.</w:t>
      </w:r>
    </w:p>
    <w:p>
      <w:pPr>
        <w:spacing w:before="0" w:after="80" w:line="264" w:lineRule="auto"/>
        <w:jc w:val="center"/>
      </w:pPr>
      <w:r>
        <w:rPr>
          <w:rFonts w:ascii="Aptos" w:hAnsi="Aptos" w:eastAsia="Aptos"/>
          <w:b w:val="0"/>
          <w:i w:val="0"/>
          <w:color w:val="5E6B75"/>
          <w:sz w:val="19"/>
        </w:rPr>
        <w:t>DBD Registration No. 083-5-56602358-7</w:t>
      </w:r>
    </w:p>
    <w:p>
      <w:pPr>
        <w:spacing w:before="0" w:after="120" w:line="276" w:lineRule="auto"/>
        <w:jc w:val="center"/>
      </w:pPr>
      <w:r>
        <w:rPr>
          <w:rFonts w:ascii="Aptos" w:hAnsi="Aptos" w:eastAsia="Aptos"/>
          <w:b w:val="0"/>
          <w:i w:val="0"/>
          <w:color w:val="5E6B75"/>
          <w:sz w:val="19"/>
        </w:rPr>
        <w:t>Plaza Del Mar, Offices 115–116</w:t>
        <w:br/>
        <w:t>No. 1 Pasak-Koktanod Road, Cherngtalay, Thalang, Phuket 83110</w:t>
      </w:r>
    </w:p>
    <w:p>
      <w:pPr>
        <w:spacing w:before="0" w:after="0" w:line="264" w:lineRule="auto"/>
        <w:jc w:val="center"/>
      </w:pPr>
      <w:r>
        <w:rPr>
          <w:rFonts w:ascii="Aptos" w:hAnsi="Aptos" w:eastAsia="Aptos"/>
          <w:b/>
          <w:i w:val="0"/>
          <w:color w:val="0B2545"/>
          <w:sz w:val="20"/>
        </w:rPr>
        <w:t>ignatevestate.co.th</w:t>
      </w:r>
    </w:p>
    <w:sectPr w:rsidR="00FC693F" w:rsidRPr="0006063C" w:rsidSect="00034616">
      <w:headerReference w:type="default" r:id="rId9"/>
      <w:footerReference w:type="default" r:id="rId10"/>
      <w:pgSz w:w="12240" w:h="15840"/>
      <w:pgMar w:top="1440" w:right="1440" w:bottom="1224" w:left="1440"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dxa" w:w="9360"/>
      <w:jc w:val="left"/>
      <w:tblLook w:firstColumn="1" w:firstRow="1" w:lastColumn="0" w:lastRow="0" w:noHBand="0" w:noVBand="1" w:val="04A0"/>
      <w:tblInd w:w="0" w:type="dxa"/>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7200"/>
      <w:gridCol w:w="2160"/>
    </w:tblGrid>
    <w:tr>
      <w:tc>
        <w:tcPr>
          <w:tcW w:type="dxa" w:w="7200"/>
          <w:tcMar>
            <w:top w:w="40" w:type="dxa"/>
            <w:start w:w="0" w:type="dxa"/>
            <w:bottom w:w="0" w:type="dxa"/>
            <w:end w:w="0" w:type="dxa"/>
          </w:tcMar>
        </w:tcPr>
        <w:p>
          <w:r>
            <w:rPr>
              <w:rFonts w:ascii="Aptos" w:hAnsi="Aptos" w:eastAsia="Aptos"/>
              <w:color w:val="5E6B75"/>
              <w:sz w:val="17"/>
            </w:rPr>
            <w:t>Ignatev Estate Co., Ltd.  |  Phuket, Thailand  |  August 2026</w:t>
          </w:r>
        </w:p>
      </w:tc>
      <w:tc>
        <w:tcPr>
          <w:tcW w:type="dxa" w:w="2160"/>
          <w:tcMar>
            <w:top w:w="40" w:type="dxa"/>
            <w:start w:w="0" w:type="dxa"/>
            <w:bottom w:w="0" w:type="dxa"/>
            <w:end w:w="0" w:type="dxa"/>
          </w:tcMar>
        </w:tcPr>
        <w:p>
          <w:pPr>
            <w:jc w:val="right"/>
          </w:pPr>
          <w:r>
            <w:rPr>
              <w:rFonts w:ascii="Aptos" w:hAnsi="Aptos" w:eastAsia="Aptos"/>
              <w:color w:val="5E6B75"/>
              <w:sz w:val="18"/>
            </w:rP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1" w:color="D6DCE2"/>
      </w:pBdr>
    </w:pPr>
    <w:r>
      <w:rPr>
        <w:rFonts w:ascii="Aptos" w:hAnsi="Aptos" w:eastAsia="Aptos"/>
        <w:b/>
        <w:color w:val="5E6B75"/>
        <w:sz w:val="17"/>
      </w:rPr>
      <w:t>IGNATEV ESTATE  |  CORPORATE OPERATING BIBLE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ptos" w:hAnsi="Aptos" w:eastAsia="Aptos"/>
      <w:color w:val="1F29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Display" w:hAnsi="Aptos Display" w:eastAsia="Aptos Display"/>
      <w:b/>
      <w:bCs/>
      <w:color w:val="0B254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eastAsia="Aptos Display"/>
      <w:b/>
      <w:bCs/>
      <w:color w:val="1F4D78"/>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eastAsia="Aptos Display"/>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ind w:left="720" w:hanging="360"/>
      <w:contextualSpacing/>
    </w:pPr>
    <w:rPr>
      <w:rFonts w:ascii="Aptos" w:hAnsi="Aptos" w:eastAsia="Aptos"/>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ind w:left="720" w:hanging="360"/>
      <w:contextualSpacing/>
    </w:pPr>
    <w:rPr>
      <w:rFonts w:ascii="Aptos" w:hAnsi="Aptos" w:eastAsia="Aptos"/>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Ignatev Estate — корпоративная библия</dc:title>
  <dc:subject>Стратегия, бизнес-модель и operating system, версия 9, август 2026</dc:subject>
  <dc:creator>Ignatev Estate Co., Ltd.</dc:creator>
  <cp:keywords>Ignatev Estate, myUNO, ClearView, Phuket, asset management</cp:keywords>
  <dc:description>Canonical corporate operating bible</dc:description>
  <cp:lastModifiedBy/>
  <cp:revision>1</cp:revision>
  <dcterms:created xsi:type="dcterms:W3CDTF">2013-12-23T23:15:00Z</dcterms:created>
  <dcterms:modified xsi:type="dcterms:W3CDTF">2013-12-23T23:15:00Z</dcterms:modified>
  <cp:category/>
</cp:coreProperties>
</file>