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320"/>
        <w:jc w:val="center"/>
      </w:pPr>
      <w:r>
        <w:rPr>
          <w:rFonts w:ascii="Calibri" w:hAnsi="Calibri" w:eastAsia="Calibri"/>
          <w:b/>
          <w:color w:val="2E74B5"/>
          <w:sz w:val="19"/>
        </w:rPr>
        <w:t>ИНСТИТУЦИОНАЛЬНОЕ ОБОСНОВАНИЕ</w:t>
      </w:r>
    </w:p>
    <w:p>
      <w:pPr>
        <w:pStyle w:val="Title"/>
        <w:spacing w:after="240"/>
        <w:jc w:val="center"/>
      </w:pPr>
      <w:r>
        <w:rPr>
          <w:rFonts w:ascii="Calibri" w:hAnsi="Calibri" w:eastAsia="Calibri"/>
          <w:b/>
          <w:color w:val="0B2545"/>
          <w:sz w:val="52"/>
        </w:rPr>
        <w:t>Пояснительная записка к проекту Устава Совета конституции голосования</w:t>
      </w:r>
    </w:p>
    <w:p>
      <w:pPr>
        <w:pStyle w:val="DocumentMetadata"/>
        <w:spacing w:after="120"/>
        <w:jc w:val="center"/>
      </w:pPr>
      <w:r>
        <w:rPr>
          <w:rFonts w:ascii="Calibri" w:hAnsi="Calibri" w:eastAsia="Calibri"/>
          <w:b w:val="0"/>
          <w:color w:val="555555"/>
          <w:sz w:val="21"/>
        </w:rPr>
        <w:t>Редакция 0.2 от 16 июля 2026 года</w:t>
      </w:r>
    </w:p>
    <w:p>
      <w:pPr>
        <w:pStyle w:val="DocumentMetadata"/>
        <w:spacing w:after="120"/>
        <w:jc w:val="center"/>
      </w:pPr>
      <w:r>
        <w:rPr>
          <w:rFonts w:ascii="Calibri" w:hAnsi="Calibri" w:eastAsia="Calibri"/>
          <w:b w:val="0"/>
          <w:color w:val="555555"/>
          <w:sz w:val="21"/>
        </w:rPr>
        <w:t>Связанный документ: «Устав Совета конституции голосования», проект редакции 0.2.</w:t>
      </w:r>
    </w:p>
    <w:p>
      <w:pPr>
        <w:spacing w:after="1600"/>
      </w:pPr>
    </w:p>
    <w:p>
      <w:pPr>
        <w:spacing w:after="0"/>
        <w:jc w:val="center"/>
      </w:pPr>
      <w:r>
        <w:rPr>
          <w:rFonts w:ascii="Calibri" w:hAnsi="Calibri" w:eastAsia="Calibri"/>
          <w:i/>
          <w:color w:val="1F4D78"/>
          <w:sz w:val="20"/>
        </w:rPr>
        <w:t>Экспертный вес без потолка • самостоятельная образовательная надбавка • усиленный Госплан</w:t>
      </w:r>
      <w:r>
        <w:br w:type="page"/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1. Решение, которое предлагает проект</w:t>
      </w:r>
    </w:p>
    <w:p>
      <w:r>
        <w:t>Проект сохраняет идею широкой прямой демократии и повышенного предметного влияния экспертов, но меняет институциональную оболочку. Вместо одного органа, который одновременно определяет темы, регулирует экзамены, назначает веса и окончательно решает жалобы, создаётся система из нескольких независимых контуров.</w:t>
      </w:r>
    </w:p>
    <w:p>
      <w:r>
        <w:t>Политическое решение принимает Палата общественного мандата, сформированная гражданским жребием и территориальными выборами. Госплан, предприятия, МСП, работники, потребители и наука участвуют через отдельную Коллегию экономики, планирования и общественных последствий. Она способна остановить плохо рассчитанный проект, потребовать альтернативу и заставить Палату ответить, но не может навсегда заменить общественное решение своим.</w:t>
      </w:r>
    </w:p>
    <w:p>
      <w:r>
        <w:t>Проект основан на четырёх содержательных решениях:</w:t>
      </w:r>
    </w:p>
    <w:p>
      <w:pPr>
        <w:numPr>
          <w:ilvl w:val="0"/>
          <w:numId w:val="10"/>
        </w:numPr>
        <w:spacing w:after="160" w:line="280" w:lineRule="auto"/>
      </w:pPr>
      <w:r>
        <w:t>индивидуальный экспертный вес не имеет верхнего числового предела;</w:t>
      </w:r>
    </w:p>
    <w:p>
      <w:pPr>
        <w:numPr>
          <w:ilvl w:val="0"/>
          <w:numId w:val="10"/>
        </w:numPr>
        <w:spacing w:after="160" w:line="280" w:lineRule="auto"/>
      </w:pPr>
      <w:r>
        <w:t>универсальной экспертной доли, включая 75 процентов, нет — каждая тема получает собственную матрицу;</w:t>
      </w:r>
    </w:p>
    <w:p>
      <w:pPr>
        <w:numPr>
          <w:ilvl w:val="0"/>
          <w:numId w:val="10"/>
        </w:numPr>
        <w:spacing w:after="160" w:line="280" w:lineRule="auto"/>
      </w:pPr>
      <w:r>
        <w:t>образовательная надбавка является самостоятельной аддитивной частью и не уменьшает предметную экспертизу;</w:t>
      </w:r>
    </w:p>
    <w:p>
      <w:pPr>
        <w:numPr>
          <w:ilvl w:val="0"/>
          <w:numId w:val="10"/>
        </w:numPr>
        <w:spacing w:after="160" w:line="280" w:lineRule="auto"/>
      </w:pPr>
      <w:r>
        <w:t>Госплан получает крупнейшее представительство в Коллегии и специальное право планового предупреждения.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2. Почему нельзя оставить прежний Совет</w:t>
      </w:r>
    </w:p>
    <w:p>
      <w:r>
        <w:t>Исходный устав соединял пять разных ролей:</w:t>
      </w:r>
    </w:p>
    <w:p>
      <w:pPr>
        <w:numPr>
          <w:ilvl w:val="0"/>
          <w:numId w:val="11"/>
        </w:numPr>
        <w:spacing w:after="160" w:line="280" w:lineRule="auto"/>
      </w:pPr>
      <w:r>
        <w:t>нормотворца квот и деградации;</w:t>
      </w:r>
    </w:p>
    <w:p>
      <w:pPr>
        <w:numPr>
          <w:ilvl w:val="0"/>
          <w:numId w:val="11"/>
        </w:numPr>
        <w:spacing w:after="160" w:line="280" w:lineRule="auto"/>
      </w:pPr>
      <w:r>
        <w:t>владельца каталога тем;</w:t>
      </w:r>
    </w:p>
    <w:p>
      <w:pPr>
        <w:numPr>
          <w:ilvl w:val="0"/>
          <w:numId w:val="11"/>
        </w:numPr>
        <w:spacing w:after="160" w:line="280" w:lineRule="auto"/>
      </w:pPr>
      <w:r>
        <w:t>регулятора границы экспертного статуса;</w:t>
      </w:r>
    </w:p>
    <w:p>
      <w:pPr>
        <w:numPr>
          <w:ilvl w:val="0"/>
          <w:numId w:val="11"/>
        </w:numPr>
        <w:spacing w:after="160" w:line="280" w:lineRule="auto"/>
      </w:pPr>
      <w:r>
        <w:t>окончательной инстанции индивидуальных апелляций;</w:t>
      </w:r>
    </w:p>
    <w:p>
      <w:pPr>
        <w:numPr>
          <w:ilvl w:val="0"/>
          <w:numId w:val="11"/>
        </w:numPr>
        <w:spacing w:after="160" w:line="280" w:lineRule="auto"/>
      </w:pPr>
      <w:r>
        <w:t>контролёра исполнения собственных решений.</w:t>
      </w:r>
    </w:p>
    <w:p>
      <w:r>
        <w:t>Эта конструкция создаёт самоподтверждающуюся власть. Орган определяет, кто считается экспертом; экспертный статус определяет политический вес; политический вес влияет на сохранение правил; жалоба возвращается тому же органу.</w:t>
      </w:r>
    </w:p>
    <w:p>
      <w:r>
        <w:t>Проблему нельзя устранить только честным первоначальным составом. Через несколько циклов влияние смещается к тем, кто контролирует экзаменационный вход, классификацию вопроса, исходные данные, секретариат и код. Поэтому новая редакция разносит эти функции по самостоятельным институтам.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3. Три рассмотренные архитектуры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1450"/>
        <w:gridCol w:w="2200"/>
        <w:gridCol w:w="2500"/>
        <w:gridCol w:w="3210"/>
      </w:tblGrid>
      <w:tr>
        <w:trPr>
          <w:tblHeader w:val="true"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sz w:val="19"/>
              </w:rPr>
              <w:t>Вариант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sz w:val="19"/>
              </w:rPr>
              <w:t>Устройство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sz w:val="19"/>
              </w:rPr>
              <w:t>Преимущество</w:t>
            </w:r>
          </w:p>
        </w:tc>
        <w:tc>
          <w:tcPr>
            <w:tcW w:type="dxa" w:w="3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sz w:val="19"/>
              </w:rPr>
              <w:t>Причина отказа или выбора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sz w:val="19"/>
              </w:rPr>
              <w:t>Минимальная реконструкция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sz w:val="19"/>
              </w:rPr>
              <w:t>Сохранение трёх равных частей прежнего Совета с подробными выборами, конфликтами интересов и внешней апелляцией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sz w:val="19"/>
              </w:rPr>
              <w:t>Быстрее внедрить</w:t>
            </w:r>
          </w:p>
        </w:tc>
        <w:tc>
          <w:tcPr>
            <w:tcW w:type="dxa" w:w="3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sz w:val="19"/>
              </w:rPr>
              <w:t>Экзаменационный фильтр гражданской части и постоянная коалиция любых двух курий сохраняют самовоспроизводство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sz w:val="19"/>
              </w:rPr>
              <w:t>Симметричная корпоративная палата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sz w:val="19"/>
              </w:rPr>
              <w:t>Граждане, территории, Госплан, предприятия, МСП, работники и наука голосуют в одной палате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sz w:val="19"/>
              </w:rPr>
              <w:t>Все интересы видны в одном месте</w:t>
            </w:r>
          </w:p>
        </w:tc>
        <w:tc>
          <w:tcPr>
            <w:tcW w:type="dxa" w:w="3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sz w:val="19"/>
              </w:rPr>
              <w:t>Заинтересованные организации сами получают право распределять политические веса; крупные структуры организуются лучше граждан и малого бизнеса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sz w:val="19"/>
              </w:rPr>
              <w:t>Асимметричная двухконтурная система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sz w:val="19"/>
              </w:rPr>
              <w:t>Палата общественного мандата решает; Коллегия экономики, планирования и последствий проверяет, предупреждает и один раз возвращает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sz w:val="19"/>
              </w:rPr>
              <w:t>Разделяет политический мандат и знание о последствиях</w:t>
            </w:r>
          </w:p>
        </w:tc>
        <w:tc>
          <w:tcPr>
            <w:tcW w:type="dxa" w:w="3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sz w:val="19"/>
              </w:rPr>
              <w:t>Выбрана как основной вариант; цена — более длительная процедура для крупных изменений</w:t>
            </w:r>
          </w:p>
        </w:tc>
      </w:tr>
    </w:tbl>
    <w:p>
      <w:pPr>
        <w:spacing w:before="0" w:after="80"/>
      </w:pPr>
    </w:p>
    <w:p>
      <w:r>
        <w:t>Рекомендуемая конструкция не строит две равноправные палаты. Коллегия — орган отлагательного контроля последствий. Такое различие важно: экономический анализ должен иметь силу остановить необоснованный проект, но не должен становиться самостоятельным источником политического суверенитета.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4. Почему экспертный вес не ограничен сверху</w:t>
      </w:r>
    </w:p>
    <w:p>
      <w:r>
        <w:t>Потолок в четыре базовых голоса был бы простым предохранителем, но он не соответствует замыслу системы. При очень широкой прямой демократии редкая компетентность должна иметь заметное влияние. В существующих политико-экономических системах министр, руководитель центрального планового органа или собственник системного предприятия фактически влияет на решения несопоставимо сильнее обычного избирателя. Предлагаемая модель не скрывает такое неравенство в должностях, капитале и неформальном доступе, а переводит часть его в публичную формулу.</w:t>
      </w:r>
    </w:p>
    <w:p>
      <w:r>
        <w:t>Отсутствие потолка означает, что эксперт высшего уровня может иметь вес в десятки, сотни или тысячи базовых голосов. Проект не объявляет это ошибкой. Ошибкой считается ситуация, когда один человек одновременно получает огромный вес, сам определяет границу своей темы, контролирует допуск конкурентов и не встречает независимой проверки.</w:t>
      </w:r>
    </w:p>
    <w:p>
      <w:r>
        <w:t>Поэтому ограничивается не число голоса, а необратимость решения из одного источника. Если удаление экспертной компоненты одного лица или связанного кластера меняет победителя, включаются:</w:t>
      </w:r>
    </w:p>
    <w:p>
      <w:pPr>
        <w:numPr>
          <w:ilvl w:val="0"/>
          <w:numId w:val="12"/>
        </w:numPr>
        <w:spacing w:after="160" w:line="280" w:lineRule="auto"/>
      </w:pPr>
      <w:r>
        <w:t>состязательное внешнее рецензирование;</w:t>
      </w:r>
    </w:p>
    <w:p>
      <w:pPr>
        <w:numPr>
          <w:ilvl w:val="0"/>
          <w:numId w:val="12"/>
        </w:numPr>
        <w:spacing w:after="160" w:line="280" w:lineRule="auto"/>
      </w:pPr>
      <w:r>
        <w:t>второе чтение;</w:t>
      </w:r>
    </w:p>
    <w:p>
      <w:pPr>
        <w:numPr>
          <w:ilvl w:val="0"/>
          <w:numId w:val="12"/>
        </w:numPr>
        <w:spacing w:after="160" w:line="280" w:lineRule="auto"/>
      </w:pPr>
      <w:r>
        <w:t>подтверждение несколькими независимыми источниками экспертизы;</w:t>
      </w:r>
    </w:p>
    <w:p>
      <w:pPr>
        <w:numPr>
          <w:ilvl w:val="0"/>
          <w:numId w:val="12"/>
        </w:numPr>
        <w:spacing w:after="160" w:line="280" w:lineRule="auto"/>
      </w:pPr>
      <w:r>
        <w:t>гражданская ассамблея, если дополнительных специалистов объективно нет;</w:t>
      </w:r>
    </w:p>
    <w:p>
      <w:pPr>
        <w:numPr>
          <w:ilvl w:val="0"/>
          <w:numId w:val="12"/>
        </w:numPr>
        <w:spacing w:after="160" w:line="280" w:lineRule="auto"/>
      </w:pPr>
      <w:r>
        <w:t>только обратимый пилот до завершения проверки.</w:t>
      </w:r>
    </w:p>
    <w:p>
      <w:r>
        <w:t>Эксперт сохраняет весь рассчитанный вес. Система лишь требует второго независимого ключа для необратимого результата.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5. Почему тематическая доля является калибровочной</w:t>
      </w:r>
    </w:p>
    <w:p>
      <w:r>
        <w:t>Невозможно одновременно гарантировать три условия при любом составе населения:</w:t>
      </w:r>
    </w:p>
    <w:p>
      <w:pPr>
        <w:numPr>
          <w:ilvl w:val="0"/>
          <w:numId w:val="13"/>
        </w:numPr>
        <w:spacing w:after="160" w:line="280" w:lineRule="auto"/>
      </w:pPr>
      <w:r>
        <w:t>жёсткую фиксированную долю экспертной категории;</w:t>
      </w:r>
    </w:p>
    <w:p>
      <w:pPr>
        <w:numPr>
          <w:ilvl w:val="0"/>
          <w:numId w:val="13"/>
        </w:numPr>
        <w:spacing w:after="160" w:line="280" w:lineRule="auto"/>
      </w:pPr>
      <w:r>
        <w:t>вес каждого эксперта выше базового;</w:t>
      </w:r>
    </w:p>
    <w:p>
      <w:pPr>
        <w:numPr>
          <w:ilvl w:val="0"/>
          <w:numId w:val="13"/>
        </w:numPr>
        <w:spacing w:after="160" w:line="280" w:lineRule="auto"/>
      </w:pPr>
      <w:r>
        <w:t>неограниченное число экспертов в категории.</w:t>
      </w:r>
    </w:p>
    <w:p>
      <w:r>
        <w:t>Если число экспертов растёт, а доля остаётся жёсткой, индивидуальный вес неизбежно может опуститься ниже единицы. Если экспертный минимум сохраняется, фактическая доля группы превысит квоту. Поэтому проект прямо устанавливает приоритет: экспертный минимум важнее точного совпадения с калибровочной долей.</w:t>
      </w:r>
    </w:p>
    <w:p>
      <w:r>
        <w:t>Квота в новой терминологии — это расчётная цель, а не собственность группы и не потолок. Отклонение не скрывается: оно публикуется до голосования вместе с причиной и анализом концентрации.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6. Рабочая математическая схема</w:t>
      </w:r>
    </w:p>
    <w:p>
      <w:r>
        <w:t xml:space="preserve">Для темы </w:t>
      </w:r>
      <w:r>
        <w:rPr>
          <w:rFonts w:ascii="Consolas" w:hAnsi="Consolas" w:eastAsia="Consolas"/>
          <w:color w:val="1F4D78"/>
          <w:sz w:val="21"/>
        </w:rPr>
        <w:t>t</w:t>
      </w:r>
      <w:r>
        <w:t xml:space="preserve"> задаются: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onsolas" w:hAnsi="Consolas" w:eastAsia="Consolas"/>
          <w:color w:val="1F4D78"/>
          <w:sz w:val="21"/>
        </w:rPr>
        <w:t>N0</w:t>
      </w:r>
      <w:r>
        <w:t xml:space="preserve"> — число неэкспертов в предварительно зафиксированном реестре;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onsolas" w:hAnsi="Consolas" w:eastAsia="Consolas"/>
          <w:color w:val="1F4D78"/>
          <w:sz w:val="21"/>
        </w:rPr>
        <w:t>Nk</w:t>
      </w:r>
      <w:r>
        <w:t xml:space="preserve"> — число признанных экспертов уровня </w:t>
      </w:r>
      <w:r>
        <w:rPr>
          <w:rFonts w:ascii="Consolas" w:hAnsi="Consolas" w:eastAsia="Consolas"/>
          <w:color w:val="1F4D78"/>
          <w:sz w:val="21"/>
        </w:rPr>
        <w:t>k</w:t>
      </w:r>
      <w:r>
        <w:t>;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onsolas" w:hAnsi="Consolas" w:eastAsia="Consolas"/>
          <w:color w:val="1F4D78"/>
          <w:sz w:val="21"/>
        </w:rPr>
        <w:t>q0, q1, … qL</w:t>
      </w:r>
      <w:r>
        <w:t xml:space="preserve"> — тематические калибровочные доли, сумма которых равна 1;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onsolas" w:hAnsi="Consolas" w:eastAsia="Consolas"/>
          <w:color w:val="1F4D78"/>
          <w:sz w:val="21"/>
        </w:rPr>
        <w:t>Dk</w:t>
      </w:r>
      <w:r>
        <w:t xml:space="preserve"> — независимый референтный знаменатель уровня;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onsolas" w:hAnsi="Consolas" w:eastAsia="Consolas"/>
          <w:color w:val="1F4D78"/>
          <w:sz w:val="21"/>
        </w:rPr>
        <w:t>Rk = max(Nk, Dk)</w:t>
      </w:r>
      <w:r>
        <w:t>;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onsolas" w:hAnsi="Consolas" w:eastAsia="Consolas"/>
          <w:color w:val="1F4D78"/>
          <w:sz w:val="21"/>
        </w:rPr>
        <w:t>Amax</w:t>
      </w:r>
      <w:r>
        <w:t xml:space="preserve"> — максимальная образовательная надбавка.</w:t>
      </w:r>
    </w:p>
    <w:p>
      <w:r>
        <w:t>Номинальный вес уровня:</w:t>
      </w:r>
    </w:p>
    <w:p>
      <w:r>
        <w:rPr>
          <w:rFonts w:ascii="Consolas" w:hAnsi="Consolas" w:eastAsia="Consolas"/>
          <w:color w:val="1F4D78"/>
          <w:sz w:val="21"/>
        </w:rPr>
        <w:t>w(k,t) = q(k,t) × N0 / (q0 × Rk)</w:t>
      </w:r>
      <w:r>
        <w:t>.</w:t>
      </w:r>
    </w:p>
    <w:p>
      <w:r>
        <w:t xml:space="preserve">Верхнего предела у </w:t>
      </w:r>
      <w:r>
        <w:rPr>
          <w:rFonts w:ascii="Consolas" w:hAnsi="Consolas" w:eastAsia="Consolas"/>
          <w:color w:val="1F4D78"/>
          <w:sz w:val="21"/>
        </w:rPr>
        <w:t>w(k,t)</w:t>
      </w:r>
      <w:r>
        <w:t xml:space="preserve"> нет.</w:t>
      </w:r>
    </w:p>
    <w:p>
      <w:r>
        <w:t>Референтный знаменатель нужен против экзаменационного захвата. Если потенциально квалифицированы 7 000 человек, но к экзамену искусственно допустили только 700, вес не увеличивается в десять раз: расчёт продолжает использовать независимую оценку 7 000. Снижение знаменателя требует нескольких измерений и действует только в будущем цикле.</w:t>
      </w:r>
    </w:p>
    <w:p>
      <w:r>
        <w:t>С учётом деградации тематическая компонента конкретного эксперта имеет вид:</w:t>
      </w:r>
    </w:p>
    <w:p>
      <w:r>
        <w:rPr>
          <w:rFonts w:ascii="Consolas" w:hAnsi="Consolas" w:eastAsia="Consolas"/>
          <w:color w:val="1F4D78"/>
          <w:sz w:val="21"/>
        </w:rPr>
        <w:t>X(i,t) = H(k,t) + [max(w(k,t), H(k,t)) − H(k,t)] × d(i,t)</w:t>
      </w:r>
      <w:r>
        <w:t>,</w:t>
      </w:r>
    </w:p>
    <w:p>
      <w:r>
        <w:t xml:space="preserve">где </w:t>
      </w:r>
      <w:r>
        <w:rPr>
          <w:rFonts w:ascii="Consolas" w:hAnsi="Consolas" w:eastAsia="Consolas"/>
          <w:color w:val="1F4D78"/>
          <w:sz w:val="21"/>
        </w:rPr>
        <w:t>d(i,t)</w:t>
      </w:r>
      <w:r>
        <w:t xml:space="preserve"> находится от 0 до 1, а </w:t>
      </w:r>
      <w:r>
        <w:rPr>
          <w:rFonts w:ascii="Consolas" w:hAnsi="Consolas" w:eastAsia="Consolas"/>
          <w:color w:val="1F4D78"/>
          <w:sz w:val="21"/>
        </w:rPr>
        <w:t>H(k,t)</w:t>
      </w:r>
      <w:r>
        <w:t xml:space="preserve"> — экспертный минимум.</w:t>
      </w:r>
    </w:p>
    <w:p>
      <w:r>
        <w:t xml:space="preserve">Если категория не заполнена, освободившийся объём не переходит другим экспертам. Он поровну возвращается всем гражданам как общегражданская добавка </w:t>
      </w:r>
      <w:r>
        <w:rPr>
          <w:rFonts w:ascii="Consolas" w:hAnsi="Consolas" w:eastAsia="Consolas"/>
          <w:color w:val="1F4D78"/>
          <w:sz w:val="21"/>
        </w:rPr>
        <w:t>r(t)</w:t>
      </w:r>
      <w:r>
        <w:t>.</w:t>
      </w:r>
    </w:p>
    <w:p>
      <w:r>
        <w:t xml:space="preserve">Целевой объём базово-экспертного слоя равен </w:t>
      </w:r>
      <w:r>
        <w:rPr>
          <w:rFonts w:ascii="Consolas" w:hAnsi="Consolas" w:eastAsia="Consolas"/>
          <w:color w:val="1F4D78"/>
          <w:sz w:val="21"/>
        </w:rPr>
        <w:t>M(t) = N0 / q0</w:t>
      </w:r>
      <w:r>
        <w:t>. Незаполненный объём рассчитывается так:</w:t>
      </w:r>
    </w:p>
    <w:p>
      <w:r>
        <w:rPr>
          <w:rFonts w:ascii="Consolas" w:hAnsi="Consolas" w:eastAsia="Consolas"/>
          <w:color w:val="1F4D78"/>
          <w:sz w:val="21"/>
        </w:rPr>
        <w:t>U(t) = max(0, M(t) − [N0 + Σ X(i,t)])</w:t>
      </w:r>
      <w:r>
        <w:t>.</w:t>
      </w:r>
    </w:p>
    <w:p>
      <w:r>
        <w:t xml:space="preserve">Если </w:t>
      </w:r>
      <w:r>
        <w:rPr>
          <w:rFonts w:ascii="Consolas" w:hAnsi="Consolas" w:eastAsia="Consolas"/>
          <w:color w:val="1F4D78"/>
          <w:sz w:val="21"/>
        </w:rPr>
        <w:t>P</w:t>
      </w:r>
      <w:r>
        <w:t xml:space="preserve"> — общее число граждан в снимке, то:</w:t>
      </w:r>
    </w:p>
    <w:p>
      <w:r>
        <w:rPr>
          <w:rFonts w:ascii="Consolas" w:hAnsi="Consolas" w:eastAsia="Consolas"/>
          <w:color w:val="1F4D78"/>
          <w:sz w:val="21"/>
        </w:rPr>
        <w:t>r(t) = U(t) / P</w:t>
      </w:r>
      <w:r>
        <w:t>.</w:t>
      </w:r>
    </w:p>
    <w:p>
      <w:r>
        <w:t xml:space="preserve">Если экспертные минимумы дают сумму выше </w:t>
      </w:r>
      <w:r>
        <w:rPr>
          <w:rFonts w:ascii="Consolas" w:hAnsi="Consolas" w:eastAsia="Consolas"/>
          <w:color w:val="1F4D78"/>
          <w:sz w:val="21"/>
        </w:rPr>
        <w:t>M(t)</w:t>
      </w:r>
      <w:r>
        <w:t xml:space="preserve">, значение </w:t>
      </w:r>
      <w:r>
        <w:rPr>
          <w:rFonts w:ascii="Consolas" w:hAnsi="Consolas" w:eastAsia="Consolas"/>
          <w:color w:val="1F4D78"/>
          <w:sz w:val="21"/>
        </w:rPr>
        <w:t>U(t)</w:t>
      </w:r>
      <w:r>
        <w:t xml:space="preserve"> остаётся нулевым, а превышение калибровочной доли отдельно публикуется и запускает пересмотр матрицы.</w:t>
      </w:r>
    </w:p>
    <w:p>
      <w:r>
        <w:t>Итог:</w:t>
      </w:r>
    </w:p>
    <w:p>
      <w:pPr>
        <w:numPr>
          <w:ilvl w:val="0"/>
          <w:numId w:val="15"/>
        </w:numPr>
        <w:spacing w:after="160" w:line="280" w:lineRule="auto"/>
      </w:pPr>
      <w:r>
        <w:t xml:space="preserve">для неэксперта: </w:t>
      </w:r>
      <w:r>
        <w:rPr>
          <w:rFonts w:ascii="Consolas" w:hAnsi="Consolas" w:eastAsia="Consolas"/>
          <w:color w:val="1F4D78"/>
          <w:sz w:val="21"/>
        </w:rPr>
        <w:t>W(i,t) = 1 + r(t) + A(i)</w:t>
      </w:r>
      <w:r>
        <w:t>;</w:t>
      </w:r>
    </w:p>
    <w:p>
      <w:pPr>
        <w:numPr>
          <w:ilvl w:val="0"/>
          <w:numId w:val="15"/>
        </w:numPr>
        <w:spacing w:after="160" w:line="280" w:lineRule="auto"/>
      </w:pPr>
      <w:r>
        <w:t xml:space="preserve">для эксперта: </w:t>
      </w:r>
      <w:r>
        <w:rPr>
          <w:rFonts w:ascii="Consolas" w:hAnsi="Consolas" w:eastAsia="Consolas"/>
          <w:color w:val="1F4D78"/>
          <w:sz w:val="21"/>
        </w:rPr>
        <w:t>W(i,t) = X(i,t) + r(t) + A(i)</w:t>
      </w:r>
      <w:r>
        <w:t>.</w:t>
      </w:r>
    </w:p>
    <w:p>
      <w:r>
        <w:t>Образовательная надбавка не расходует экспертную долю. Чтобы любой эксперт действительно был выше любого неэксперта, она должна иметь конечный максимум, а минимум первого экспертного уровня должен удовлетворять условию:</w:t>
      </w:r>
    </w:p>
    <w:p>
      <w:r>
        <w:rPr>
          <w:rFonts w:ascii="Consolas" w:hAnsi="Consolas" w:eastAsia="Consolas"/>
          <w:color w:val="1F4D78"/>
          <w:sz w:val="21"/>
        </w:rPr>
        <w:t>H(1,t) &gt; 1 + Amax + δ</w:t>
      </w:r>
      <w:r>
        <w:t>,</w:t>
      </w:r>
    </w:p>
    <w:p>
      <w:r>
        <w:t xml:space="preserve">где </w:t>
      </w:r>
      <w:r>
        <w:rPr>
          <w:rFonts w:ascii="Consolas" w:hAnsi="Consolas" w:eastAsia="Consolas"/>
          <w:color w:val="1F4D78"/>
          <w:sz w:val="21"/>
        </w:rPr>
        <w:t>δ</w:t>
      </w:r>
      <w:r>
        <w:t xml:space="preserve"> — технический запас округления.</w:t>
      </w:r>
    </w:p>
    <w:p>
      <w:r>
        <w:t xml:space="preserve">Ограничивается образовательная надбавка, а не экспертный вес. Без конечного </w:t>
      </w:r>
      <w:r>
        <w:rPr>
          <w:rFonts w:ascii="Consolas" w:hAnsi="Consolas" w:eastAsia="Consolas"/>
          <w:color w:val="1F4D78"/>
          <w:sz w:val="21"/>
        </w:rPr>
        <w:t>Amax</w:t>
      </w:r>
      <w:r>
        <w:t xml:space="preserve"> строгая гарантия «любой эксперт выше любого неэксперта» математически невозможна.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7. Калибровочный пример для государства среднего европейского масштаба</w:t>
      </w:r>
    </w:p>
    <w:p>
      <w:r>
        <w:t>Для расчёта используется государство примерно с 9 миллионами жителей, 7–7,5 миллиона граждан с правом голоса, одной крупной столицей и несколькими большими регионами. Название конкретной страны для модели не имеет значения.</w:t>
      </w:r>
    </w:p>
    <w:p>
      <w:r>
        <w:t>Пусть среди 7,2 миллиона избирателей:</w:t>
      </w:r>
    </w:p>
    <w:p>
      <w:pPr>
        <w:numPr>
          <w:ilvl w:val="0"/>
          <w:numId w:val="16"/>
        </w:numPr>
        <w:spacing w:after="160" w:line="280" w:lineRule="auto"/>
      </w:pPr>
      <w:r>
        <w:t>70 процентов не имеют экспертного уровня по теме;</w:t>
      </w:r>
    </w:p>
    <w:p>
      <w:pPr>
        <w:numPr>
          <w:ilvl w:val="0"/>
          <w:numId w:val="16"/>
        </w:numPr>
        <w:spacing w:after="160" w:line="280" w:lineRule="auto"/>
      </w:pPr>
      <w:r>
        <w:t>эксперты высшего уровня встречаются примерно один раз на тысячу граждан, то есть их около 7 200;</w:t>
      </w:r>
    </w:p>
    <w:p>
      <w:pPr>
        <w:numPr>
          <w:ilvl w:val="0"/>
          <w:numId w:val="16"/>
        </w:numPr>
        <w:spacing w:after="160" w:line="280" w:lineRule="auto"/>
      </w:pPr>
      <w:r>
        <w:t>тематическая матрица в конкретной области, только для примера, равна 25/15/25/35 процентов.</w:t>
      </w:r>
    </w:p>
    <w:p>
      <w:r>
        <w:t xml:space="preserve">Тогда при </w:t>
      </w:r>
      <w:r>
        <w:rPr>
          <w:rFonts w:ascii="Consolas" w:hAnsi="Consolas" w:eastAsia="Consolas"/>
          <w:color w:val="1F4D78"/>
          <w:sz w:val="21"/>
        </w:rPr>
        <w:t>N0 = 5 040 000</w:t>
      </w:r>
      <w:r>
        <w:t xml:space="preserve">, </w:t>
      </w:r>
      <w:r>
        <w:rPr>
          <w:rFonts w:ascii="Consolas" w:hAnsi="Consolas" w:eastAsia="Consolas"/>
          <w:color w:val="1F4D78"/>
          <w:sz w:val="21"/>
        </w:rPr>
        <w:t>q0 = 0,25</w:t>
      </w:r>
      <w:r>
        <w:t xml:space="preserve">, </w:t>
      </w:r>
      <w:r>
        <w:rPr>
          <w:rFonts w:ascii="Consolas" w:hAnsi="Consolas" w:eastAsia="Consolas"/>
          <w:color w:val="1F4D78"/>
          <w:sz w:val="21"/>
        </w:rPr>
        <w:t>q3 = 0,35</w:t>
      </w:r>
      <w:r>
        <w:t xml:space="preserve"> и </w:t>
      </w:r>
      <w:r>
        <w:rPr>
          <w:rFonts w:ascii="Consolas" w:hAnsi="Consolas" w:eastAsia="Consolas"/>
          <w:color w:val="1F4D78"/>
          <w:sz w:val="21"/>
        </w:rPr>
        <w:t>D3 = 7 200</w:t>
      </w:r>
      <w:r>
        <w:t xml:space="preserve"> номинальный вес одного эксперта высшего уровня равен:</w:t>
      </w:r>
    </w:p>
    <w:p>
      <w:r>
        <w:rPr>
          <w:rFonts w:ascii="Consolas" w:hAnsi="Consolas" w:eastAsia="Consolas"/>
          <w:color w:val="1F4D78"/>
          <w:sz w:val="21"/>
        </w:rPr>
        <w:t>w3 = 0,35 × 5 040 000 / (0,25 × 7 200) = 980</w:t>
      </w:r>
      <w:r>
        <w:t>.</w:t>
      </w:r>
    </w:p>
    <w:p>
      <w:r>
        <w:t xml:space="preserve">Это не ошибка и не нарушение проекта. Эксперт высшего уровня получает материальное влияние. Если объективно существует единственный уникальный специалист и независимая оценка подтверждает </w:t>
      </w:r>
      <w:r>
        <w:rPr>
          <w:rFonts w:ascii="Consolas" w:hAnsi="Consolas" w:eastAsia="Consolas"/>
          <w:color w:val="1F4D78"/>
          <w:sz w:val="21"/>
        </w:rPr>
        <w:t>D3 = 1</w:t>
      </w:r>
      <w:r>
        <w:t>, расчёт даст ему очень большой вес; тогда применяется процедура определяющей редкой экспертизы.</w:t>
      </w:r>
    </w:p>
    <w:p>
      <w:r>
        <w:t>При исходном малом примере 70/15/10/5 и матрице 25/15/25/35 формула по-прежнему даёт базовые веса 1 / 2,8 / 7 / 19,6. Но эти доли относятся только к одной теме и не превращаются в универсальное правило для всей системы.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 Почему образовательная надбавка находится снаружи тематических долей</w:t>
      </w:r>
    </w:p>
    <w:p>
      <w:r>
        <w:t>Предметная экспертиза отвечает на вопрос: «насколько человек компетентен именно в этой области?» Образовательная надбавка отвечает на другой вопрос: «есть ли устойчивое доказательство способности учиться, работать с абстракциями и завершать сложную программу?» Смешение этих оснований в одной квоте заставило бы образовательный бонус уменьшать предметный вес экспертов.</w:t>
      </w:r>
    </w:p>
    <w:p>
      <w:r>
        <w:t>Поэтому надбавка:</w:t>
      </w:r>
    </w:p>
    <w:p>
      <w:pPr>
        <w:numPr>
          <w:ilvl w:val="0"/>
          <w:numId w:val="17"/>
        </w:numPr>
        <w:spacing w:after="160" w:line="280" w:lineRule="auto"/>
      </w:pPr>
      <w:r>
        <w:t>рассчитывается после предметной компоненты;</w:t>
      </w:r>
    </w:p>
    <w:p>
      <w:pPr>
        <w:numPr>
          <w:ilvl w:val="0"/>
          <w:numId w:val="17"/>
        </w:numPr>
        <w:spacing w:after="160" w:line="280" w:lineRule="auto"/>
      </w:pPr>
      <w:r>
        <w:t>прибавляется, а не умножает экспертный вес;</w:t>
      </w:r>
    </w:p>
    <w:p>
      <w:pPr>
        <w:numPr>
          <w:ilvl w:val="0"/>
          <w:numId w:val="17"/>
        </w:numPr>
        <w:spacing w:after="160" w:line="280" w:lineRule="auto"/>
      </w:pPr>
      <w:r>
        <w:t>не изымает часть экспертной доли;</w:t>
      </w:r>
    </w:p>
    <w:p>
      <w:pPr>
        <w:numPr>
          <w:ilvl w:val="0"/>
          <w:numId w:val="17"/>
        </w:numPr>
        <w:spacing w:after="160" w:line="280" w:lineRule="auto"/>
      </w:pPr>
      <w:r>
        <w:t>применяется к экспертам и неэкспертам;</w:t>
      </w:r>
    </w:p>
    <w:p>
      <w:pPr>
        <w:numPr>
          <w:ilvl w:val="0"/>
          <w:numId w:val="17"/>
        </w:numPr>
        <w:spacing w:after="160" w:line="280" w:lineRule="auto"/>
      </w:pPr>
      <w:r>
        <w:t>не может быть отрицательным наказанием;</w:t>
      </w:r>
    </w:p>
    <w:p>
      <w:pPr>
        <w:numPr>
          <w:ilvl w:val="0"/>
          <w:numId w:val="17"/>
        </w:numPr>
        <w:spacing w:after="160" w:line="280" w:lineRule="auto"/>
      </w:pPr>
      <w:r>
        <w:t>допускает формальное образование, профессиональное обучение, признанное самообразование и иностранные эквиваленты;</w:t>
      </w:r>
    </w:p>
    <w:p>
      <w:pPr>
        <w:numPr>
          <w:ilvl w:val="0"/>
          <w:numId w:val="17"/>
        </w:numPr>
        <w:spacing w:after="160" w:line="280" w:lineRule="auto"/>
      </w:pPr>
      <w:r>
        <w:t>рассматривается отдельным органом и имеет отдельную апелляцию.</w:t>
      </w:r>
    </w:p>
    <w:p>
      <w:r>
        <w:t>В проекте этим органом является Агентство общегражданской образовательной квалификации, институционально отделённое от предметных экзаменов.</w:t>
      </w:r>
    </w:p>
    <w:p>
      <w:r>
        <w:t>Аддитивная форма принципиальна. Мультипликативный образовательный коэффициент усиливал бы безграничный экспертный вес пропорционально его величине и создавал бы трудноуправляемую двойную концентрацию.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9. Почему Госплан получает девять мест из двадцати девяти</w:t>
      </w:r>
    </w:p>
    <w:p>
      <w:r>
        <w:t>Госплан нельзя приравнивать к одному предприятию, ассоциации потребителей или каналу малого бизнеса. Его функция — собирать межотраслевые балансы, видеть ограничения труда, энергии, инвестиций, бюджета и инфраструктуры. Поэтому он получает:</w:t>
      </w:r>
    </w:p>
    <w:p>
      <w:pPr>
        <w:numPr>
          <w:ilvl w:val="0"/>
          <w:numId w:val="18"/>
        </w:numPr>
        <w:spacing w:after="160" w:line="280" w:lineRule="auto"/>
      </w:pPr>
      <w:r>
        <w:t>9 мест против 4 у любого другого канала;</w:t>
      </w:r>
    </w:p>
    <w:p>
      <w:pPr>
        <w:numPr>
          <w:ilvl w:val="0"/>
          <w:numId w:val="18"/>
        </w:numPr>
        <w:spacing w:after="160" w:line="280" w:lineRule="auto"/>
      </w:pPr>
      <w:r>
        <w:t>центральное, отраслевое и региональное представительство;</w:t>
      </w:r>
    </w:p>
    <w:p>
      <w:pPr>
        <w:numPr>
          <w:ilvl w:val="0"/>
          <w:numId w:val="18"/>
        </w:numPr>
        <w:spacing w:after="160" w:line="280" w:lineRule="auto"/>
      </w:pPr>
      <w:r>
        <w:t>отдельное официальное институциональное заключение;</w:t>
      </w:r>
    </w:p>
    <w:p>
      <w:pPr>
        <w:numPr>
          <w:ilvl w:val="0"/>
          <w:numId w:val="18"/>
        </w:numPr>
        <w:spacing w:after="160" w:line="280" w:lineRule="auto"/>
      </w:pPr>
      <w:r>
        <w:t>исключительное право объявить плановое предупреждение шестью из девяти голосов;</w:t>
      </w:r>
    </w:p>
    <w:p>
      <w:pPr>
        <w:numPr>
          <w:ilvl w:val="0"/>
          <w:numId w:val="18"/>
        </w:numPr>
        <w:spacing w:after="160" w:line="280" w:lineRule="auto"/>
      </w:pPr>
      <w:r>
        <w:t>обязательный ответ на предложенную им исполнимую альтернативу.</w:t>
      </w:r>
    </w:p>
    <w:p>
      <w:r>
        <w:t>Усиление не превращается в непогрешимость. Госплан также является организацией со своим бюджетом, аппаратом, прошлыми прогнозами и показателями. Он может защищать ошибочный план, скрывать неопределённость или вступить в союз с крупными предприятиями.</w:t>
      </w:r>
    </w:p>
    <w:p>
      <w:r>
        <w:t>Арифметика специально ограничивает такой захват: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onsolas" w:hAnsi="Consolas" w:eastAsia="Consolas"/>
          <w:color w:val="1F4D78"/>
          <w:sz w:val="21"/>
        </w:rPr>
        <w:t>9 &lt; 15</w:t>
      </w:r>
      <w:r>
        <w:t>: Госплан не принимает обычное заключение один;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onsolas" w:hAnsi="Consolas" w:eastAsia="Consolas"/>
          <w:color w:val="1F4D78"/>
          <w:sz w:val="21"/>
        </w:rPr>
        <w:t>9 &lt; 17</w:t>
      </w:r>
      <w:r>
        <w:t>: он не возвращает проект один;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onsolas" w:hAnsi="Consolas" w:eastAsia="Consolas"/>
          <w:color w:val="1F4D78"/>
          <w:sz w:val="21"/>
        </w:rPr>
        <w:t>9 + 4 = 13 &lt; 15</w:t>
      </w:r>
      <w:r>
        <w:t>: союза только с крупным бизнесом недостаточно;</w:t>
      </w:r>
    </w:p>
    <w:p>
      <w:pPr>
        <w:numPr>
          <w:ilvl w:val="0"/>
          <w:numId w:val="19"/>
        </w:numPr>
        <w:spacing w:after="160" w:line="280" w:lineRule="auto"/>
      </w:pPr>
      <w:r>
        <w:t>возврат требует поддержки минимум четырёх каналов;</w:t>
      </w:r>
    </w:p>
    <w:p>
      <w:pPr>
        <w:numPr>
          <w:ilvl w:val="0"/>
          <w:numId w:val="19"/>
        </w:numPr>
        <w:spacing w:after="160" w:line="280" w:lineRule="auto"/>
      </w:pPr>
      <w:r>
        <w:t>предупреждение действует тридцать дней и преодолевается усиленным большинством Палаты;</w:t>
      </w:r>
    </w:p>
    <w:p>
      <w:pPr>
        <w:numPr>
          <w:ilvl w:val="0"/>
          <w:numId w:val="19"/>
        </w:numPr>
        <w:spacing w:after="160" w:line="280" w:lineRule="auto"/>
      </w:pPr>
      <w:r>
        <w:t>исходные данные и модель воспроизводит независимое Бюро;</w:t>
      </w:r>
    </w:p>
    <w:p>
      <w:pPr>
        <w:numPr>
          <w:ilvl w:val="0"/>
          <w:numId w:val="19"/>
        </w:numPr>
        <w:spacing w:after="160" w:line="280" w:lineRule="auto"/>
      </w:pPr>
      <w:r>
        <w:t>метаправила всё равно решаются равным референдумом.</w:t>
      </w:r>
    </w:p>
    <w:p>
      <w:r>
        <w:t>Правильная формула статуса Госплана: он признаётся главным интегратором плановой и макроэкономической информации, но не неопровержимым носителем интересов всей экономики.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10. Как формируются два контура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Палата общественного мандата</w:t>
      </w:r>
    </w:p>
    <w:p>
      <w:r>
        <w:t>В Палате 27 мест:</w:t>
      </w:r>
    </w:p>
    <w:p>
      <w:pPr>
        <w:numPr>
          <w:ilvl w:val="0"/>
          <w:numId w:val="20"/>
        </w:numPr>
        <w:spacing w:after="160" w:line="280" w:lineRule="auto"/>
      </w:pPr>
      <w:r>
        <w:t>18 граждан выбираются стратифицированным жребием без экзамена;</w:t>
      </w:r>
    </w:p>
    <w:p>
      <w:pPr>
        <w:numPr>
          <w:ilvl w:val="0"/>
          <w:numId w:val="20"/>
        </w:numPr>
        <w:spacing w:after="160" w:line="280" w:lineRule="auto"/>
      </w:pPr>
      <w:r>
        <w:t>9 территориальных представителей избираются рейтинговым голосованием.</w:t>
      </w:r>
    </w:p>
    <w:p>
      <w:r>
        <w:t>Такой состав даёт обществу два независимых источника мандата. Жребий вводит обычных граждан, включая тех, кто не сделал политику профессией. Территориальные выборы дают окраинам постоянный голос и создают ответственность перед конкретным макрорегионом.</w:t>
      </w:r>
    </w:p>
    <w:p>
      <w:r>
        <w:t>Внутри Палаты действует один член — один голос. Применение экспертных весов к собственному составу Совета снова создало бы замкнутый круг.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Коллегия экономики, планирования и общественных последствий</w:t>
      </w:r>
    </w:p>
    <w:p>
      <w:r>
        <w:t>Коллегия имеет 29 мест:</w:t>
      </w:r>
    </w:p>
    <w:p>
      <w:pPr>
        <w:numPr>
          <w:ilvl w:val="0"/>
          <w:numId w:val="21"/>
        </w:numPr>
        <w:spacing w:after="160" w:line="280" w:lineRule="auto"/>
      </w:pPr>
      <w:r>
        <w:t>Госплан — 9;</w:t>
      </w:r>
    </w:p>
    <w:p>
      <w:pPr>
        <w:numPr>
          <w:ilvl w:val="0"/>
          <w:numId w:val="21"/>
        </w:numPr>
        <w:spacing w:after="160" w:line="280" w:lineRule="auto"/>
      </w:pPr>
      <w:r>
        <w:t>стратегические и крупные предприятия — 4;</w:t>
      </w:r>
    </w:p>
    <w:p>
      <w:pPr>
        <w:numPr>
          <w:ilvl w:val="0"/>
          <w:numId w:val="21"/>
        </w:numPr>
        <w:spacing w:after="160" w:line="280" w:lineRule="auto"/>
      </w:pPr>
      <w:r>
        <w:t>МСП, кооперативы, фермеры и самозанятые — 4;</w:t>
      </w:r>
    </w:p>
    <w:p>
      <w:pPr>
        <w:numPr>
          <w:ilvl w:val="0"/>
          <w:numId w:val="21"/>
        </w:numPr>
        <w:spacing w:after="160" w:line="280" w:lineRule="auto"/>
      </w:pPr>
      <w:r>
        <w:t>работники — 4;</w:t>
      </w:r>
    </w:p>
    <w:p>
      <w:pPr>
        <w:numPr>
          <w:ilvl w:val="0"/>
          <w:numId w:val="21"/>
        </w:numPr>
        <w:spacing w:after="160" w:line="280" w:lineRule="auto"/>
      </w:pPr>
      <w:r>
        <w:t>потребители и домашние хозяйства — 4;</w:t>
      </w:r>
    </w:p>
    <w:p>
      <w:pPr>
        <w:numPr>
          <w:ilvl w:val="0"/>
          <w:numId w:val="21"/>
        </w:numPr>
        <w:spacing w:after="160" w:line="280" w:lineRule="auto"/>
      </w:pPr>
      <w:r>
        <w:t>наука, статистика и публичные службы — 4.</w:t>
      </w:r>
    </w:p>
    <w:p>
      <w:r>
        <w:t>Места отражают разные способы формирования интереса. Крупные предприятия голосуют по принципу «одна группа конечного контроля — один голос», чтобы холдинг не размножался дочерними обществами. МСП имеют отдельный реестр и гарантии для микро-, кооперативного и аграрного сектора. Работники голосуют как физические лица. Потребительский блок сочетает жребий и организации. Научные места распределяются по разным методологическим профилям.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11. Почему метаправила решаются равным голосом</w:t>
      </w:r>
    </w:p>
    <w:p>
      <w:r>
        <w:t>Экспертная система не должна определять собственный множитель тем же множителем. Иначе действующие эксперты получают структурное преимущество при решении вопроса о том, сколько власти оставить действующим экспертам.</w:t>
      </w:r>
    </w:p>
    <w:p>
      <w:r>
        <w:t>Поэтому равный референдум требуется для:</w:t>
      </w:r>
    </w:p>
    <w:p>
      <w:pPr>
        <w:numPr>
          <w:ilvl w:val="0"/>
          <w:numId w:val="22"/>
        </w:numPr>
        <w:spacing w:after="160" w:line="280" w:lineRule="auto"/>
      </w:pPr>
      <w:r>
        <w:t>определения эксперта и уровней;</w:t>
      </w:r>
    </w:p>
    <w:p>
      <w:pPr>
        <w:numPr>
          <w:ilvl w:val="0"/>
          <w:numId w:val="22"/>
        </w:numPr>
        <w:spacing w:after="160" w:line="280" w:lineRule="auto"/>
      </w:pPr>
      <w:r>
        <w:t>принципа отсутствия верхнего предела;</w:t>
      </w:r>
    </w:p>
    <w:p>
      <w:pPr>
        <w:numPr>
          <w:ilvl w:val="0"/>
          <w:numId w:val="22"/>
        </w:numPr>
        <w:spacing w:after="160" w:line="280" w:lineRule="auto"/>
      </w:pPr>
      <w:r>
        <w:t>экспертного минимума;</w:t>
      </w:r>
    </w:p>
    <w:p>
      <w:pPr>
        <w:numPr>
          <w:ilvl w:val="0"/>
          <w:numId w:val="22"/>
        </w:numPr>
        <w:spacing w:after="160" w:line="280" w:lineRule="auto"/>
      </w:pPr>
      <w:r>
        <w:t>метода тематических долей;</w:t>
      </w:r>
    </w:p>
    <w:p>
      <w:pPr>
        <w:numPr>
          <w:ilvl w:val="0"/>
          <w:numId w:val="22"/>
        </w:numPr>
        <w:spacing w:after="160" w:line="280" w:lineRule="auto"/>
      </w:pPr>
      <w:r>
        <w:t>образовательной надбавки;</w:t>
      </w:r>
    </w:p>
    <w:p>
      <w:pPr>
        <w:numPr>
          <w:ilvl w:val="0"/>
          <w:numId w:val="22"/>
        </w:numPr>
        <w:spacing w:after="160" w:line="280" w:lineRule="auto"/>
      </w:pPr>
      <w:r>
        <w:t>деградации;</w:t>
      </w:r>
    </w:p>
    <w:p>
      <w:pPr>
        <w:numPr>
          <w:ilvl w:val="0"/>
          <w:numId w:val="22"/>
        </w:numPr>
        <w:spacing w:after="160" w:line="280" w:lineRule="auto"/>
      </w:pPr>
      <w:r>
        <w:t>классификации тем;</w:t>
      </w:r>
    </w:p>
    <w:p>
      <w:pPr>
        <w:numPr>
          <w:ilvl w:val="0"/>
          <w:numId w:val="22"/>
        </w:numPr>
        <w:spacing w:after="160" w:line="280" w:lineRule="auto"/>
      </w:pPr>
      <w:r>
        <w:t>состава Совета и полномочий Госплана;</w:t>
      </w:r>
    </w:p>
    <w:p>
      <w:pPr>
        <w:numPr>
          <w:ilvl w:val="0"/>
          <w:numId w:val="22"/>
        </w:numPr>
        <w:spacing w:after="160" w:line="280" w:lineRule="auto"/>
      </w:pPr>
      <w:r>
        <w:t>экзаменов и апелляций.</w:t>
      </w:r>
    </w:p>
    <w:p>
      <w:r>
        <w:t>Кворум явки не используется: он превращает бойкот в более выгодную стратегию, чем голос «против». Территории защищаются вторым большинством, но демографическая проверка не позволяет нескольким малым территориям получить вечное вето.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12. Почему тема важнее формулы</w:t>
      </w:r>
    </w:p>
    <w:p>
      <w:r>
        <w:t>При тематическом голосовании граница вопроса определяет, чья экспертиза применяется. Манипулятору необязательно менять вес: достаточно переименовать трудовой вопрос в макроэкономический, объединить экологию с промышленностью или создать узкую область под одного специалиста.</w:t>
      </w:r>
    </w:p>
    <w:p>
      <w:r>
        <w:t>Поэтому классификацию выполняет отдельная Служба до раскрытия результатов. Для многопредметного вопроса применяется несколько измерений или вопрос разделяется. Публикуется чувствительность к альтернативной классификации. Если при разумной альтернативе меняется победитель, решение проверяет Трибунал.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13. Независимые органы — не декоративные названия</w:t>
      </w:r>
    </w:p>
    <w:p>
      <w:r>
        <w:t>Независимость существует только при одновременном наличии:</w:t>
      </w:r>
    </w:p>
    <w:p>
      <w:pPr>
        <w:numPr>
          <w:ilvl w:val="0"/>
          <w:numId w:val="23"/>
        </w:numPr>
        <w:spacing w:after="160" w:line="280" w:lineRule="auto"/>
      </w:pPr>
      <w:r>
        <w:t>нескольких источников назначения;</w:t>
      </w:r>
    </w:p>
    <w:p>
      <w:pPr>
        <w:numPr>
          <w:ilvl w:val="0"/>
          <w:numId w:val="23"/>
        </w:numPr>
        <w:spacing w:after="160" w:line="280" w:lineRule="auto"/>
      </w:pPr>
      <w:r>
        <w:t>несовпадающих и преимущественно невозобновляемых сроков;</w:t>
      </w:r>
    </w:p>
    <w:p>
      <w:pPr>
        <w:numPr>
          <w:ilvl w:val="0"/>
          <w:numId w:val="23"/>
        </w:numPr>
        <w:spacing w:after="160" w:line="280" w:lineRule="auto"/>
      </w:pPr>
      <w:r>
        <w:t>удаления только по закону через суд;</w:t>
      </w:r>
    </w:p>
    <w:p>
      <w:pPr>
        <w:numPr>
          <w:ilvl w:val="0"/>
          <w:numId w:val="23"/>
        </w:numPr>
        <w:spacing w:after="160" w:line="280" w:lineRule="auto"/>
      </w:pPr>
      <w:r>
        <w:t>защищённого бюджета;</w:t>
      </w:r>
    </w:p>
    <w:p>
      <w:pPr>
        <w:numPr>
          <w:ilvl w:val="0"/>
          <w:numId w:val="23"/>
        </w:numPr>
        <w:spacing w:after="160" w:line="280" w:lineRule="auto"/>
      </w:pPr>
      <w:r>
        <w:t>прямого доступа к данным;</w:t>
      </w:r>
    </w:p>
    <w:p>
      <w:pPr>
        <w:numPr>
          <w:ilvl w:val="0"/>
          <w:numId w:val="23"/>
        </w:numPr>
        <w:spacing w:after="160" w:line="280" w:lineRule="auto"/>
      </w:pPr>
      <w:r>
        <w:t>права публиковать вывод без разрешения проверяемого органа.</w:t>
      </w:r>
    </w:p>
    <w:p>
      <w:r>
        <w:t>Поэтому экзамен, классификация темы, расчёт веса, эксплуатация кода и апелляция разведены. Единый публичный реестр сохраняется для удобства гражданина, но единый руководитель всей цепочки запрещён.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14. Масштаб аппарата и бюджета</w:t>
      </w:r>
    </w:p>
    <w:p>
      <w:r>
        <w:t>Для государства масштаба около 9 миллионов жителей стартовая оценка составляет:</w:t>
      </w:r>
    </w:p>
    <w:p>
      <w:pPr>
        <w:numPr>
          <w:ilvl w:val="0"/>
          <w:numId w:val="24"/>
        </w:numPr>
        <w:spacing w:after="160" w:line="280" w:lineRule="auto"/>
      </w:pPr>
      <w:r>
        <w:t>55–70 сотрудников основного аппарата Совета;</w:t>
      </w:r>
    </w:p>
    <w:p>
      <w:pPr>
        <w:numPr>
          <w:ilvl w:val="0"/>
          <w:numId w:val="24"/>
        </w:numPr>
        <w:spacing w:after="160" w:line="280" w:lineRule="auto"/>
      </w:pPr>
      <w:r>
        <w:t>25–35 специалистов Бюро методологии;</w:t>
      </w:r>
    </w:p>
    <w:p>
      <w:pPr>
        <w:numPr>
          <w:ilvl w:val="0"/>
          <w:numId w:val="24"/>
        </w:numPr>
        <w:spacing w:after="160" w:line="280" w:lineRule="auto"/>
      </w:pPr>
      <w:r>
        <w:t>12–16 сотрудников процедурного секретариата Коллегии;</w:t>
      </w:r>
    </w:p>
    <w:p>
      <w:pPr>
        <w:numPr>
          <w:ilvl w:val="0"/>
          <w:numId w:val="24"/>
        </w:numPr>
        <w:spacing w:after="160" w:line="280" w:lineRule="auto"/>
      </w:pPr>
      <w:r>
        <w:t>110–150 штатных единиц всей системы вместе с экзаменационным надзором, Трибуналом, Омбудсманом, этикой, реестром и безопасностью.</w:t>
      </w:r>
    </w:p>
    <w:p>
      <w:r>
        <w:t>Это калибровка, а не правовая норма. Через два года штат пересчитывается по числу тем, апелляций, провайдеров, избирателей и фактическому времени процессов.</w:t>
      </w:r>
    </w:p>
    <w:p>
      <w:r>
        <w:t>Финансирование идёт из консолидированного бюджета. Предприятия, Госплан и экзаменационные сборы не финансируют проверяющие их органы. Если годовой бюджет не принят, действует автоматическая одна двенадцатая индексированного бюджета предыдущего года.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15. Что должно находиться в разных документах</w:t>
      </w:r>
    </w:p>
    <w:p>
      <w:r>
        <w:t>Устав закрепляет органы, интерфейсы и основные гарантии. Полная реализация требует отдельного пакета:</w:t>
      </w:r>
    </w:p>
    <w:p>
      <w:pPr>
        <w:numPr>
          <w:ilvl w:val="0"/>
          <w:numId w:val="25"/>
        </w:numPr>
        <w:spacing w:after="160" w:line="280" w:lineRule="auto"/>
      </w:pPr>
      <w:r>
        <w:t>конституционная норма о пределах тематического взвешивания;</w:t>
      </w:r>
    </w:p>
    <w:p>
      <w:pPr>
        <w:numPr>
          <w:ilvl w:val="0"/>
          <w:numId w:val="25"/>
        </w:numPr>
        <w:spacing w:after="160" w:line="280" w:lineRule="auto"/>
      </w:pPr>
      <w:r>
        <w:t>органический закон о Совете и независимых органах;</w:t>
      </w:r>
    </w:p>
    <w:p>
      <w:pPr>
        <w:numPr>
          <w:ilvl w:val="0"/>
          <w:numId w:val="25"/>
        </w:numPr>
        <w:spacing w:after="160" w:line="280" w:lineRule="auto"/>
      </w:pPr>
      <w:r>
        <w:t>Избирательный кодекс Палаты и Коллегии;</w:t>
      </w:r>
    </w:p>
    <w:p>
      <w:pPr>
        <w:numPr>
          <w:ilvl w:val="0"/>
          <w:numId w:val="25"/>
        </w:numPr>
        <w:spacing w:after="160" w:line="280" w:lineRule="auto"/>
      </w:pPr>
      <w:r>
        <w:t>Методологический закон о весах;</w:t>
      </w:r>
    </w:p>
    <w:p>
      <w:pPr>
        <w:numPr>
          <w:ilvl w:val="0"/>
          <w:numId w:val="25"/>
        </w:numPr>
        <w:spacing w:after="160" w:line="280" w:lineRule="auto"/>
      </w:pPr>
      <w:r>
        <w:t>закон об экзаменах и аккредитации;</w:t>
      </w:r>
    </w:p>
    <w:p>
      <w:pPr>
        <w:numPr>
          <w:ilvl w:val="0"/>
          <w:numId w:val="25"/>
        </w:numPr>
        <w:spacing w:after="160" w:line="280" w:lineRule="auto"/>
      </w:pPr>
      <w:r>
        <w:t>закон о тематической классификации;</w:t>
      </w:r>
    </w:p>
    <w:p>
      <w:pPr>
        <w:numPr>
          <w:ilvl w:val="0"/>
          <w:numId w:val="25"/>
        </w:numPr>
        <w:spacing w:after="160" w:line="280" w:lineRule="auto"/>
      </w:pPr>
      <w:r>
        <w:t>закон о Трибунале и административной процедуре;</w:t>
      </w:r>
    </w:p>
    <w:p>
      <w:pPr>
        <w:numPr>
          <w:ilvl w:val="0"/>
          <w:numId w:val="25"/>
        </w:numPr>
        <w:spacing w:after="160" w:line="280" w:lineRule="auto"/>
      </w:pPr>
      <w:r>
        <w:t>кодекс конфликтов интересов и лоббизма;</w:t>
      </w:r>
    </w:p>
    <w:p>
      <w:pPr>
        <w:numPr>
          <w:ilvl w:val="0"/>
          <w:numId w:val="25"/>
        </w:numPr>
        <w:spacing w:after="160" w:line="280" w:lineRule="auto"/>
      </w:pPr>
      <w:r>
        <w:t>закон о бюджете, закупках и независимости аппарата;</w:t>
      </w:r>
    </w:p>
    <w:p>
      <w:pPr>
        <w:numPr>
          <w:ilvl w:val="0"/>
          <w:numId w:val="25"/>
        </w:numPr>
        <w:spacing w:after="160" w:line="280" w:lineRule="auto"/>
      </w:pPr>
      <w:r>
        <w:t>техническая спецификация реестрового снимка, кода, тестов, аудита и отката;</w:t>
      </w:r>
    </w:p>
    <w:p>
      <w:pPr>
        <w:numPr>
          <w:ilvl w:val="0"/>
          <w:numId w:val="25"/>
        </w:numPr>
        <w:spacing w:after="160" w:line="280" w:lineRule="auto"/>
      </w:pPr>
      <w:r>
        <w:t>переходный закон и программа пилотов.</w:t>
      </w:r>
    </w:p>
    <w:p>
      <w:r>
        <w:t>Точные формулы, референтные знаменатели, округление, коды тем и форматы данных не следует цементировать в Уставе. Но Устав должен содержать инварианты, которые формула не вправе нарушить.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16. Что проверять в первых двух циклах</w:t>
      </w:r>
    </w:p>
    <w:p>
      <w:r>
        <w:t>Числа 27, 29, 18/9, 9/4/4/4/4/4 и соответствующие пороги являются рабочей стартовой моделью. До их окончательного закрепления измеряются:</w:t>
      </w:r>
    </w:p>
    <w:p>
      <w:pPr>
        <w:numPr>
          <w:ilvl w:val="0"/>
          <w:numId w:val="26"/>
        </w:numPr>
        <w:spacing w:after="160" w:line="280" w:lineRule="auto"/>
      </w:pPr>
      <w:r>
        <w:t>число отказов от гражданского жребия и перекос замещений;</w:t>
      </w:r>
    </w:p>
    <w:p>
      <w:pPr>
        <w:numPr>
          <w:ilvl w:val="0"/>
          <w:numId w:val="26"/>
        </w:numPr>
        <w:spacing w:after="160" w:line="280" w:lineRule="auto"/>
      </w:pPr>
      <w:r>
        <w:t>доля населения, представленная территориальными коалициями;</w:t>
      </w:r>
    </w:p>
    <w:p>
      <w:pPr>
        <w:numPr>
          <w:ilvl w:val="0"/>
          <w:numId w:val="26"/>
        </w:numPr>
        <w:spacing w:after="160" w:line="280" w:lineRule="auto"/>
      </w:pPr>
      <w:r>
        <w:t>частота тупиков и возвратов;</w:t>
      </w:r>
    </w:p>
    <w:p>
      <w:pPr>
        <w:numPr>
          <w:ilvl w:val="0"/>
          <w:numId w:val="26"/>
        </w:numPr>
        <w:spacing w:after="160" w:line="280" w:lineRule="auto"/>
      </w:pPr>
      <w:r>
        <w:t>случаи, когда предупреждение Госплана улучшило проект или задержало его без достаточного основания;</w:t>
      </w:r>
    </w:p>
    <w:p>
      <w:pPr>
        <w:numPr>
          <w:ilvl w:val="0"/>
          <w:numId w:val="26"/>
        </w:numPr>
        <w:spacing w:after="160" w:line="280" w:lineRule="auto"/>
      </w:pPr>
      <w:r>
        <w:t>число решений, зависимых от одного эксперта или кластера;</w:t>
      </w:r>
    </w:p>
    <w:p>
      <w:pPr>
        <w:numPr>
          <w:ilvl w:val="0"/>
          <w:numId w:val="26"/>
        </w:numPr>
        <w:spacing w:after="160" w:line="280" w:lineRule="auto"/>
      </w:pPr>
      <w:r>
        <w:t>расхождение калибровочных и фактических долей;</w:t>
      </w:r>
    </w:p>
    <w:p>
      <w:pPr>
        <w:numPr>
          <w:ilvl w:val="0"/>
          <w:numId w:val="26"/>
        </w:numPr>
        <w:spacing w:after="160" w:line="280" w:lineRule="auto"/>
      </w:pPr>
      <w:r>
        <w:t>доступность экзаменов и апелляций;</w:t>
      </w:r>
    </w:p>
    <w:p>
      <w:pPr>
        <w:numPr>
          <w:ilvl w:val="0"/>
          <w:numId w:val="26"/>
        </w:numPr>
        <w:spacing w:after="160" w:line="280" w:lineRule="auto"/>
      </w:pPr>
      <w:r>
        <w:t>стоимость процессов и фактическая нагрузка аппарата;</w:t>
      </w:r>
    </w:p>
    <w:p>
      <w:pPr>
        <w:numPr>
          <w:ilvl w:val="0"/>
          <w:numId w:val="26"/>
        </w:numPr>
        <w:spacing w:after="160" w:line="280" w:lineRule="auto"/>
      </w:pPr>
      <w:r>
        <w:t>точность прогнозов Госплана, Бюро и внешних рецензентов.</w:t>
      </w:r>
    </w:p>
    <w:p>
      <w:r>
        <w:t>После двух полных циклов проводится независимая оценка и гражданская ассамблея. Изменение ключевых порогов проходит как метаправило, а не как техническая поправка.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17. Сравнительные основания и источники</w:t>
      </w:r>
    </w:p>
    <w:p>
      <w:r>
        <w:t>Проект не копирует одну действующую систему. Он соединяет несколько проверенных принципов:</w:t>
      </w:r>
    </w:p>
    <w:p>
      <w:pPr>
        <w:numPr>
          <w:ilvl w:val="0"/>
          <w:numId w:val="27"/>
        </w:numPr>
        <w:spacing w:after="160" w:line="280" w:lineRule="auto"/>
      </w:pPr>
      <w:hyperlink r:id="rId13">
        <w:r>
          <w:rPr>
            <w:rFonts w:ascii="Calibri" w:hAnsi="Calibri" w:eastAsia="Calibri"/>
            <w:color w:val="2E74B5"/>
            <w:u w:val="single"/>
          </w:rPr>
          <w:t>OECD: Good Practice Principles for Deliberative Processes</w:t>
        </w:r>
      </w:hyperlink>
      <w:r>
        <w:t xml:space="preserve"> — стратифицированная выборка, компенсация, прозрачность материалов и обязательный публичный ответ;</w:t>
      </w:r>
    </w:p>
    <w:p>
      <w:pPr>
        <w:numPr>
          <w:ilvl w:val="0"/>
          <w:numId w:val="27"/>
        </w:numPr>
        <w:spacing w:after="160" w:line="280" w:lineRule="auto"/>
      </w:pPr>
      <w:hyperlink r:id="rId14">
        <w:r>
          <w:rPr>
            <w:rFonts w:ascii="Calibri" w:hAnsi="Calibri" w:eastAsia="Calibri"/>
            <w:color w:val="2E74B5"/>
            <w:u w:val="single"/>
          </w:rPr>
          <w:t>Citizens’ Assembly Ireland: FAQ and selection principles</w:t>
        </w:r>
      </w:hyperlink>
      <w:r>
        <w:t xml:space="preserve"> — случайные приглашения и демографическая стратификация гражданских ассамблей;</w:t>
      </w:r>
    </w:p>
    <w:p>
      <w:pPr>
        <w:numPr>
          <w:ilvl w:val="0"/>
          <w:numId w:val="27"/>
        </w:numPr>
        <w:spacing w:after="160" w:line="280" w:lineRule="auto"/>
      </w:pPr>
      <w:hyperlink r:id="rId15">
        <w:r>
          <w:rPr>
            <w:rFonts w:ascii="Calibri" w:hAnsi="Calibri" w:eastAsia="Calibri"/>
            <w:color w:val="2E74B5"/>
            <w:u w:val="single"/>
          </w:rPr>
          <w:t>International Labour Organization: tripartite structure</w:t>
        </w:r>
      </w:hyperlink>
      <w:r>
        <w:t xml:space="preserve"> — раздельное представительство публичной власти, работодателей и работников;</w:t>
      </w:r>
    </w:p>
    <w:p>
      <w:pPr>
        <w:numPr>
          <w:ilvl w:val="0"/>
          <w:numId w:val="27"/>
        </w:numPr>
        <w:spacing w:after="160" w:line="280" w:lineRule="auto"/>
      </w:pPr>
      <w:hyperlink r:id="rId16">
        <w:r>
          <w:rPr>
            <w:rFonts w:ascii="Calibri" w:hAnsi="Calibri" w:eastAsia="Calibri"/>
            <w:color w:val="2E74B5"/>
            <w:u w:val="single"/>
          </w:rPr>
          <w:t>European Economic and Social Committee: Members and Groups</w:t>
        </w:r>
      </w:hyperlink>
      <w:r>
        <w:t xml:space="preserve"> — самостоятельные каналы работодателей, работников и организованного гражданского общества;</w:t>
      </w:r>
    </w:p>
    <w:p>
      <w:pPr>
        <w:numPr>
          <w:ilvl w:val="0"/>
          <w:numId w:val="27"/>
        </w:numPr>
        <w:spacing w:after="160" w:line="280" w:lineRule="auto"/>
      </w:pPr>
      <w:hyperlink r:id="rId17">
        <w:r>
          <w:rPr>
            <w:rFonts w:ascii="Calibri" w:hAnsi="Calibri" w:eastAsia="Calibri"/>
            <w:color w:val="2E74B5"/>
            <w:u w:val="single"/>
          </w:rPr>
          <w:t>Venice Commission: Code of Good Practice in Electoral Matters</w:t>
        </w:r>
      </w:hyperlink>
      <w:r>
        <w:t xml:space="preserve"> — постоянная и беспристрастная избирательная администрация;</w:t>
      </w:r>
    </w:p>
    <w:p>
      <w:pPr>
        <w:numPr>
          <w:ilvl w:val="0"/>
          <w:numId w:val="27"/>
        </w:numPr>
        <w:spacing w:after="160" w:line="280" w:lineRule="auto"/>
      </w:pPr>
      <w:hyperlink r:id="rId18">
        <w:r>
          <w:rPr>
            <w:rFonts w:ascii="Calibri" w:hAnsi="Calibri" w:eastAsia="Calibri"/>
            <w:color w:val="2E74B5"/>
            <w:u w:val="single"/>
          </w:rPr>
          <w:t>Venice Commission: Revised Code of Good Practice on Referendums</w:t>
        </w:r>
      </w:hyperlink>
      <w:r>
        <w:t xml:space="preserve"> — осторожность с кворумом явки и требования к ясности референдума;</w:t>
      </w:r>
    </w:p>
    <w:p>
      <w:pPr>
        <w:numPr>
          <w:ilvl w:val="0"/>
          <w:numId w:val="27"/>
        </w:numPr>
        <w:spacing w:after="160" w:line="280" w:lineRule="auto"/>
      </w:pPr>
      <w:hyperlink r:id="rId19">
        <w:r>
          <w:rPr>
            <w:rFonts w:ascii="Calibri" w:hAnsi="Calibri" w:eastAsia="Calibri"/>
            <w:color w:val="2E74B5"/>
            <w:u w:val="single"/>
          </w:rPr>
          <w:t>OECD: Lobbying and Influence</w:t>
        </w:r>
      </w:hyperlink>
      <w:r>
        <w:t xml:space="preserve"> — раскрытие интересов, контактов, финансирования и «законодательного следа»;</w:t>
      </w:r>
    </w:p>
    <w:p>
      <w:pPr>
        <w:numPr>
          <w:ilvl w:val="0"/>
          <w:numId w:val="27"/>
        </w:numPr>
        <w:spacing w:after="160" w:line="280" w:lineRule="auto"/>
      </w:pPr>
      <w:hyperlink r:id="rId20">
        <w:r>
          <w:rPr>
            <w:rFonts w:ascii="Calibri" w:hAnsi="Calibri" w:eastAsia="Calibri"/>
            <w:color w:val="2E74B5"/>
            <w:u w:val="single"/>
          </w:rPr>
          <w:t>INTOSAI-P 10: Mexico Declaration on SAI Independence</w:t>
        </w:r>
      </w:hyperlink>
      <w:r>
        <w:t xml:space="preserve"> — юридическая, организационная и финансовая независимость аудита;</w:t>
      </w:r>
    </w:p>
    <w:p>
      <w:pPr>
        <w:numPr>
          <w:ilvl w:val="0"/>
          <w:numId w:val="27"/>
        </w:numPr>
        <w:spacing w:after="160" w:line="280" w:lineRule="auto"/>
      </w:pPr>
      <w:hyperlink r:id="rId21">
        <w:r>
          <w:rPr>
            <w:rFonts w:ascii="Calibri" w:hAnsi="Calibri" w:eastAsia="Calibri"/>
            <w:color w:val="2E74B5"/>
            <w:u w:val="single"/>
          </w:rPr>
          <w:t>OECD: Recommendation on Principles for Independent Fiscal Institutions</w:t>
        </w:r>
      </w:hyperlink>
      <w:r>
        <w:t xml:space="preserve"> — собственные ресурсы, доступ к информации, прозрачность методов и внешняя оценка;</w:t>
      </w:r>
    </w:p>
    <w:p>
      <w:pPr>
        <w:numPr>
          <w:ilvl w:val="0"/>
          <w:numId w:val="27"/>
        </w:numPr>
        <w:spacing w:after="160" w:line="280" w:lineRule="auto"/>
      </w:pPr>
      <w:hyperlink r:id="rId22">
        <w:r>
          <w:rPr>
            <w:rFonts w:ascii="Calibri" w:hAnsi="Calibri" w:eastAsia="Calibri"/>
            <w:color w:val="2E74B5"/>
            <w:u w:val="single"/>
          </w:rPr>
          <w:t>International Covenant on Civil and Political Rights, Article 25</w:t>
        </w:r>
      </w:hyperlink>
      <w:r>
        <w:t xml:space="preserve"> — причина сохранять равное голосование для выборов и метаправил государственной системы.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18. Итоговая логика</w:t>
      </w:r>
    </w:p>
    <w:p>
      <w:r>
        <w:t>Проект не пытается сделать всех равными по знанию. Он делает неравенство влияния явным, проверяемым и предметным.</w:t>
      </w:r>
    </w:p>
    <w:p>
      <w:r>
        <w:t>Редкий эксперт может иметь очень большой голос, но не контролирует тему, допуск конкурентов, апелляцию и окончательность решения. Госплан получает больший вес, чем любой отдельный экономический канал, но обязан доказывать плановое противоречие данными и альтернативой. Образование усиливает гражданина отдельно от предметной экспертизы, но не умножает уже неограниченный вес. Население и территории сохраняют последний ключ при изменении самой системы.</w:t>
      </w:r>
    </w:p>
    <w:p>
      <w:r>
        <w:t>В этом и состоит компромисс: сильная экспертиза без закрытой экспертной корпорации; сильный Госплан без ведомственного суверенитета; широкая демократия без представления, будто один базовый голос способен заменить редкое профессиональное знание.</w:t>
      </w:r>
    </w:p>
    <w:sectPr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55555"/>
        <w:sz w:val="18"/>
      </w:rPr>
      <w:t xml:space="preserve">Стр. </w:t>
    </w:r>
    <w:r>
      <w:rPr>
        <w:rFonts w:ascii="Calibri" w:hAnsi="Calibri" w:eastAsia="Calibri"/>
        <w:color w:val="555555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55555"/>
        <w:sz w:val="18"/>
      </w:rPr>
      <w:t xml:space="preserve">Стр. </w:t>
    </w:r>
    <w:r>
      <w:rPr>
        <w:rFonts w:ascii="Calibri" w:hAnsi="Calibri" w:eastAsia="Calibri"/>
        <w:color w:val="55555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Calibri"/>
        <w:b/>
        <w:color w:val="555555"/>
        <w:sz w:val="17"/>
      </w:rPr>
      <w:t>Совет конституции голосования</w:t>
    </w:r>
    <w:r>
      <w:rPr>
        <w:rFonts w:ascii="Calibri" w:hAnsi="Calibri" w:eastAsia="Calibri"/>
        <w:color w:val="555555"/>
        <w:sz w:val="17"/>
      </w:rPr>
      <w:tab/>
      <w:t>Проект 0.2 • 16.07.2026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hybridMulti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  <w:lvl w:ilvl="1">
      <w:start w:val="1"/>
      <w:numFmt w:val="decimal"/>
      <w:lvlText w:val="%2)"/>
      <w:suff w:val="tab"/>
      <w:pPr>
        <w:tabs>
          <w:tab w:val="num" w:pos="1260"/>
        </w:tabs>
        <w:ind w:left="1260" w:hanging="360"/>
        <w:spacing w:after="160" w:line="280" w:lineRule="auto"/>
      </w:pPr>
      <w:rPr>
        <w:rFonts w:ascii="Calibri" w:hAnsi="Calibri"/>
      </w:rPr>
    </w:lvl>
    <w:lvl w:ilvl="2">
      <w:start w:val="1"/>
      <w:numFmt w:val="decimal"/>
      <w:lvlText w:val="%3)"/>
      <w:suff w:val="tab"/>
      <w:pPr>
        <w:tabs>
          <w:tab w:val="num" w:pos="1800"/>
        </w:tabs>
        <w:ind w:left="1800" w:hanging="360"/>
        <w:spacing w:after="160" w:line="280" w:lineRule="auto"/>
      </w:pPr>
      <w:rPr>
        <w:rFonts w:ascii="Calibri" w:hAnsi="Calibri"/>
      </w:rPr>
    </w:lvl>
    <w:lvl w:ilvl="3">
      <w:start w:val="1"/>
      <w:numFmt w:val="decimal"/>
      <w:lvlText w:val="%4)"/>
      <w:suff w:val="tab"/>
      <w:pPr>
        <w:tabs>
          <w:tab w:val="num" w:pos="2340"/>
        </w:tabs>
        <w:ind w:left="234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hybrid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  <w:lvl w:ilvl="1">
      <w:start w:val="1"/>
      <w:numFmt w:val="bullet"/>
      <w:lvlText w:val="–"/>
      <w:suff w:val="tab"/>
      <w:pPr>
        <w:tabs>
          <w:tab w:val="num" w:pos="1260"/>
        </w:tabs>
        <w:ind w:left="1260" w:hanging="360"/>
        <w:spacing w:after="160" w:line="280" w:lineRule="auto"/>
      </w:pPr>
      <w:rPr>
        <w:rFonts w:ascii="Calibri" w:hAnsi="Calibri"/>
      </w:rPr>
    </w:lvl>
    <w:lvl w:ilvl="2">
      <w:start w:val="1"/>
      <w:numFmt w:val="bullet"/>
      <w:lvlText w:val="•"/>
      <w:suff w:val="tab"/>
      <w:pPr>
        <w:tabs>
          <w:tab w:val="num" w:pos="1800"/>
        </w:tabs>
        <w:ind w:left="1800" w:hanging="360"/>
        <w:spacing w:after="160" w:line="280" w:lineRule="auto"/>
      </w:pPr>
      <w:rPr>
        <w:rFonts w:ascii="Calibri" w:hAnsi="Calibri"/>
      </w:rPr>
    </w:lvl>
    <w:lvl w:ilvl="3">
      <w:start w:val="1"/>
      <w:numFmt w:val="bullet"/>
      <w:lvlText w:val="–"/>
      <w:suff w:val="tab"/>
      <w:pPr>
        <w:tabs>
          <w:tab w:val="num" w:pos="2340"/>
        </w:tabs>
        <w:ind w:left="2340" w:hanging="360"/>
        <w:spacing w:after="160" w:line="280" w:lineRule="auto"/>
      </w:pPr>
      <w:rPr>
        <w:rFonts w:ascii="Calibri" w:hAnsi="Calibri"/>
      </w:rPr>
    </w:lvl>
  </w:abstractNum>
  <w:num w:numId="11">
    <w:abstractNumId w:val="10"/>
  </w:num>
  <w:abstractNum w:abstractNumId="11">
    <w:multiLevelType w:val="hybrid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  <w:lvl w:ilvl="1">
      <w:start w:val="1"/>
      <w:numFmt w:val="bullet"/>
      <w:lvlText w:val="–"/>
      <w:suff w:val="tab"/>
      <w:pPr>
        <w:tabs>
          <w:tab w:val="num" w:pos="1260"/>
        </w:tabs>
        <w:ind w:left="1260" w:hanging="360"/>
        <w:spacing w:after="160" w:line="280" w:lineRule="auto"/>
      </w:pPr>
      <w:rPr>
        <w:rFonts w:ascii="Calibri" w:hAnsi="Calibri"/>
      </w:rPr>
    </w:lvl>
    <w:lvl w:ilvl="2">
      <w:start w:val="1"/>
      <w:numFmt w:val="bullet"/>
      <w:lvlText w:val="•"/>
      <w:suff w:val="tab"/>
      <w:pPr>
        <w:tabs>
          <w:tab w:val="num" w:pos="1800"/>
        </w:tabs>
        <w:ind w:left="1800" w:hanging="360"/>
        <w:spacing w:after="160" w:line="280" w:lineRule="auto"/>
      </w:pPr>
      <w:rPr>
        <w:rFonts w:ascii="Calibri" w:hAnsi="Calibri"/>
      </w:rPr>
    </w:lvl>
    <w:lvl w:ilvl="3">
      <w:start w:val="1"/>
      <w:numFmt w:val="bullet"/>
      <w:lvlText w:val="–"/>
      <w:suff w:val="tab"/>
      <w:pPr>
        <w:tabs>
          <w:tab w:val="num" w:pos="2340"/>
        </w:tabs>
        <w:ind w:left="2340" w:hanging="360"/>
        <w:spacing w:after="160" w:line="280" w:lineRule="auto"/>
      </w:pPr>
      <w:rPr>
        <w:rFonts w:ascii="Calibri" w:hAnsi="Calibri"/>
      </w:rPr>
    </w:lvl>
  </w:abstractNum>
  <w:num w:numId="12">
    <w:abstractNumId w:val="11"/>
  </w:num>
  <w:abstractNum w:abstractNumId="12">
    <w:multiLevelType w:val="hybridMulti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  <w:lvl w:ilvl="1">
      <w:start w:val="1"/>
      <w:numFmt w:val="decimal"/>
      <w:lvlText w:val="%2)"/>
      <w:suff w:val="tab"/>
      <w:pPr>
        <w:tabs>
          <w:tab w:val="num" w:pos="1260"/>
        </w:tabs>
        <w:ind w:left="1260" w:hanging="360"/>
        <w:spacing w:after="160" w:line="280" w:lineRule="auto"/>
      </w:pPr>
      <w:rPr>
        <w:rFonts w:ascii="Calibri" w:hAnsi="Calibri"/>
      </w:rPr>
    </w:lvl>
    <w:lvl w:ilvl="2">
      <w:start w:val="1"/>
      <w:numFmt w:val="decimal"/>
      <w:lvlText w:val="%3)"/>
      <w:suff w:val="tab"/>
      <w:pPr>
        <w:tabs>
          <w:tab w:val="num" w:pos="1800"/>
        </w:tabs>
        <w:ind w:left="1800" w:hanging="360"/>
        <w:spacing w:after="160" w:line="280" w:lineRule="auto"/>
      </w:pPr>
      <w:rPr>
        <w:rFonts w:ascii="Calibri" w:hAnsi="Calibri"/>
      </w:rPr>
    </w:lvl>
    <w:lvl w:ilvl="3">
      <w:start w:val="1"/>
      <w:numFmt w:val="decimal"/>
      <w:lvlText w:val="%4)"/>
      <w:suff w:val="tab"/>
      <w:pPr>
        <w:tabs>
          <w:tab w:val="num" w:pos="2340"/>
        </w:tabs>
        <w:ind w:left="2340" w:hanging="360"/>
        <w:spacing w:after="160" w:line="280" w:lineRule="auto"/>
      </w:pPr>
      <w:rPr>
        <w:rFonts w:ascii="Calibri" w:hAnsi="Calibri"/>
      </w:rPr>
    </w:lvl>
  </w:abstractNum>
  <w:num w:numId="13">
    <w:abstractNumId w:val="12"/>
  </w:num>
  <w:abstractNum w:abstractNumId="13">
    <w:multiLevelType w:val="hybrid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  <w:lvl w:ilvl="1">
      <w:start w:val="1"/>
      <w:numFmt w:val="bullet"/>
      <w:lvlText w:val="–"/>
      <w:suff w:val="tab"/>
      <w:pPr>
        <w:tabs>
          <w:tab w:val="num" w:pos="1260"/>
        </w:tabs>
        <w:ind w:left="1260" w:hanging="360"/>
        <w:spacing w:after="160" w:line="280" w:lineRule="auto"/>
      </w:pPr>
      <w:rPr>
        <w:rFonts w:ascii="Calibri" w:hAnsi="Calibri"/>
      </w:rPr>
    </w:lvl>
    <w:lvl w:ilvl="2">
      <w:start w:val="1"/>
      <w:numFmt w:val="bullet"/>
      <w:lvlText w:val="•"/>
      <w:suff w:val="tab"/>
      <w:pPr>
        <w:tabs>
          <w:tab w:val="num" w:pos="1800"/>
        </w:tabs>
        <w:ind w:left="1800" w:hanging="360"/>
        <w:spacing w:after="160" w:line="280" w:lineRule="auto"/>
      </w:pPr>
      <w:rPr>
        <w:rFonts w:ascii="Calibri" w:hAnsi="Calibri"/>
      </w:rPr>
    </w:lvl>
    <w:lvl w:ilvl="3">
      <w:start w:val="1"/>
      <w:numFmt w:val="bullet"/>
      <w:lvlText w:val="–"/>
      <w:suff w:val="tab"/>
      <w:pPr>
        <w:tabs>
          <w:tab w:val="num" w:pos="2340"/>
        </w:tabs>
        <w:ind w:left="2340" w:hanging="360"/>
        <w:spacing w:after="160" w:line="280" w:lineRule="auto"/>
      </w:pPr>
      <w:rPr>
        <w:rFonts w:ascii="Calibri" w:hAnsi="Calibri"/>
      </w:rPr>
    </w:lvl>
  </w:abstractNum>
  <w:num w:numId="14">
    <w:abstractNumId w:val="13"/>
  </w:num>
  <w:abstractNum w:abstractNumId="14">
    <w:multiLevelType w:val="hybrid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  <w:lvl w:ilvl="1">
      <w:start w:val="1"/>
      <w:numFmt w:val="bullet"/>
      <w:lvlText w:val="–"/>
      <w:suff w:val="tab"/>
      <w:pPr>
        <w:tabs>
          <w:tab w:val="num" w:pos="1260"/>
        </w:tabs>
        <w:ind w:left="1260" w:hanging="360"/>
        <w:spacing w:after="160" w:line="280" w:lineRule="auto"/>
      </w:pPr>
      <w:rPr>
        <w:rFonts w:ascii="Calibri" w:hAnsi="Calibri"/>
      </w:rPr>
    </w:lvl>
    <w:lvl w:ilvl="2">
      <w:start w:val="1"/>
      <w:numFmt w:val="bullet"/>
      <w:lvlText w:val="•"/>
      <w:suff w:val="tab"/>
      <w:pPr>
        <w:tabs>
          <w:tab w:val="num" w:pos="1800"/>
        </w:tabs>
        <w:ind w:left="1800" w:hanging="360"/>
        <w:spacing w:after="160" w:line="280" w:lineRule="auto"/>
      </w:pPr>
      <w:rPr>
        <w:rFonts w:ascii="Calibri" w:hAnsi="Calibri"/>
      </w:rPr>
    </w:lvl>
    <w:lvl w:ilvl="3">
      <w:start w:val="1"/>
      <w:numFmt w:val="bullet"/>
      <w:lvlText w:val="–"/>
      <w:suff w:val="tab"/>
      <w:pPr>
        <w:tabs>
          <w:tab w:val="num" w:pos="2340"/>
        </w:tabs>
        <w:ind w:left="2340" w:hanging="360"/>
        <w:spacing w:after="160" w:line="280" w:lineRule="auto"/>
      </w:pPr>
      <w:rPr>
        <w:rFonts w:ascii="Calibri" w:hAnsi="Calibri"/>
      </w:rPr>
    </w:lvl>
  </w:abstractNum>
  <w:num w:numId="15">
    <w:abstractNumId w:val="14"/>
  </w:num>
  <w:abstractNum w:abstractNumId="15">
    <w:multiLevelType w:val="hybrid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  <w:lvl w:ilvl="1">
      <w:start w:val="1"/>
      <w:numFmt w:val="bullet"/>
      <w:lvlText w:val="–"/>
      <w:suff w:val="tab"/>
      <w:pPr>
        <w:tabs>
          <w:tab w:val="num" w:pos="1260"/>
        </w:tabs>
        <w:ind w:left="1260" w:hanging="360"/>
        <w:spacing w:after="160" w:line="280" w:lineRule="auto"/>
      </w:pPr>
      <w:rPr>
        <w:rFonts w:ascii="Calibri" w:hAnsi="Calibri"/>
      </w:rPr>
    </w:lvl>
    <w:lvl w:ilvl="2">
      <w:start w:val="1"/>
      <w:numFmt w:val="bullet"/>
      <w:lvlText w:val="•"/>
      <w:suff w:val="tab"/>
      <w:pPr>
        <w:tabs>
          <w:tab w:val="num" w:pos="1800"/>
        </w:tabs>
        <w:ind w:left="1800" w:hanging="360"/>
        <w:spacing w:after="160" w:line="280" w:lineRule="auto"/>
      </w:pPr>
      <w:rPr>
        <w:rFonts w:ascii="Calibri" w:hAnsi="Calibri"/>
      </w:rPr>
    </w:lvl>
    <w:lvl w:ilvl="3">
      <w:start w:val="1"/>
      <w:numFmt w:val="bullet"/>
      <w:lvlText w:val="–"/>
      <w:suff w:val="tab"/>
      <w:pPr>
        <w:tabs>
          <w:tab w:val="num" w:pos="2340"/>
        </w:tabs>
        <w:ind w:left="2340" w:hanging="360"/>
        <w:spacing w:after="160" w:line="280" w:lineRule="auto"/>
      </w:pPr>
      <w:rPr>
        <w:rFonts w:ascii="Calibri" w:hAnsi="Calibri"/>
      </w:rPr>
    </w:lvl>
  </w:abstractNum>
  <w:num w:numId="16">
    <w:abstractNumId w:val="15"/>
  </w:num>
  <w:abstractNum w:abstractNumId="16">
    <w:multiLevelType w:val="hybrid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  <w:lvl w:ilvl="1">
      <w:start w:val="1"/>
      <w:numFmt w:val="bullet"/>
      <w:lvlText w:val="–"/>
      <w:suff w:val="tab"/>
      <w:pPr>
        <w:tabs>
          <w:tab w:val="num" w:pos="1260"/>
        </w:tabs>
        <w:ind w:left="1260" w:hanging="360"/>
        <w:spacing w:after="160" w:line="280" w:lineRule="auto"/>
      </w:pPr>
      <w:rPr>
        <w:rFonts w:ascii="Calibri" w:hAnsi="Calibri"/>
      </w:rPr>
    </w:lvl>
    <w:lvl w:ilvl="2">
      <w:start w:val="1"/>
      <w:numFmt w:val="bullet"/>
      <w:lvlText w:val="•"/>
      <w:suff w:val="tab"/>
      <w:pPr>
        <w:tabs>
          <w:tab w:val="num" w:pos="1800"/>
        </w:tabs>
        <w:ind w:left="1800" w:hanging="360"/>
        <w:spacing w:after="160" w:line="280" w:lineRule="auto"/>
      </w:pPr>
      <w:rPr>
        <w:rFonts w:ascii="Calibri" w:hAnsi="Calibri"/>
      </w:rPr>
    </w:lvl>
    <w:lvl w:ilvl="3">
      <w:start w:val="1"/>
      <w:numFmt w:val="bullet"/>
      <w:lvlText w:val="–"/>
      <w:suff w:val="tab"/>
      <w:pPr>
        <w:tabs>
          <w:tab w:val="num" w:pos="2340"/>
        </w:tabs>
        <w:ind w:left="2340" w:hanging="360"/>
        <w:spacing w:after="160" w:line="280" w:lineRule="auto"/>
      </w:pPr>
      <w:rPr>
        <w:rFonts w:ascii="Calibri" w:hAnsi="Calibri"/>
      </w:rPr>
    </w:lvl>
  </w:abstractNum>
  <w:num w:numId="17">
    <w:abstractNumId w:val="16"/>
  </w:num>
  <w:abstractNum w:abstractNumId="17">
    <w:multiLevelType w:val="hybrid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  <w:lvl w:ilvl="1">
      <w:start w:val="1"/>
      <w:numFmt w:val="bullet"/>
      <w:lvlText w:val="–"/>
      <w:suff w:val="tab"/>
      <w:pPr>
        <w:tabs>
          <w:tab w:val="num" w:pos="1260"/>
        </w:tabs>
        <w:ind w:left="1260" w:hanging="360"/>
        <w:spacing w:after="160" w:line="280" w:lineRule="auto"/>
      </w:pPr>
      <w:rPr>
        <w:rFonts w:ascii="Calibri" w:hAnsi="Calibri"/>
      </w:rPr>
    </w:lvl>
    <w:lvl w:ilvl="2">
      <w:start w:val="1"/>
      <w:numFmt w:val="bullet"/>
      <w:lvlText w:val="•"/>
      <w:suff w:val="tab"/>
      <w:pPr>
        <w:tabs>
          <w:tab w:val="num" w:pos="1800"/>
        </w:tabs>
        <w:ind w:left="1800" w:hanging="360"/>
        <w:spacing w:after="160" w:line="280" w:lineRule="auto"/>
      </w:pPr>
      <w:rPr>
        <w:rFonts w:ascii="Calibri" w:hAnsi="Calibri"/>
      </w:rPr>
    </w:lvl>
    <w:lvl w:ilvl="3">
      <w:start w:val="1"/>
      <w:numFmt w:val="bullet"/>
      <w:lvlText w:val="–"/>
      <w:suff w:val="tab"/>
      <w:pPr>
        <w:tabs>
          <w:tab w:val="num" w:pos="2340"/>
        </w:tabs>
        <w:ind w:left="2340" w:hanging="360"/>
        <w:spacing w:after="160" w:line="280" w:lineRule="auto"/>
      </w:pPr>
      <w:rPr>
        <w:rFonts w:ascii="Calibri" w:hAnsi="Calibri"/>
      </w:rPr>
    </w:lvl>
  </w:abstractNum>
  <w:num w:numId="18">
    <w:abstractNumId w:val="17"/>
  </w:num>
  <w:abstractNum w:abstractNumId="18">
    <w:multiLevelType w:val="hybrid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  <w:lvl w:ilvl="1">
      <w:start w:val="1"/>
      <w:numFmt w:val="bullet"/>
      <w:lvlText w:val="–"/>
      <w:suff w:val="tab"/>
      <w:pPr>
        <w:tabs>
          <w:tab w:val="num" w:pos="1260"/>
        </w:tabs>
        <w:ind w:left="1260" w:hanging="360"/>
        <w:spacing w:after="160" w:line="280" w:lineRule="auto"/>
      </w:pPr>
      <w:rPr>
        <w:rFonts w:ascii="Calibri" w:hAnsi="Calibri"/>
      </w:rPr>
    </w:lvl>
    <w:lvl w:ilvl="2">
      <w:start w:val="1"/>
      <w:numFmt w:val="bullet"/>
      <w:lvlText w:val="•"/>
      <w:suff w:val="tab"/>
      <w:pPr>
        <w:tabs>
          <w:tab w:val="num" w:pos="1800"/>
        </w:tabs>
        <w:ind w:left="1800" w:hanging="360"/>
        <w:spacing w:after="160" w:line="280" w:lineRule="auto"/>
      </w:pPr>
      <w:rPr>
        <w:rFonts w:ascii="Calibri" w:hAnsi="Calibri"/>
      </w:rPr>
    </w:lvl>
    <w:lvl w:ilvl="3">
      <w:start w:val="1"/>
      <w:numFmt w:val="bullet"/>
      <w:lvlText w:val="–"/>
      <w:suff w:val="tab"/>
      <w:pPr>
        <w:tabs>
          <w:tab w:val="num" w:pos="2340"/>
        </w:tabs>
        <w:ind w:left="2340" w:hanging="360"/>
        <w:spacing w:after="160" w:line="280" w:lineRule="auto"/>
      </w:pPr>
      <w:rPr>
        <w:rFonts w:ascii="Calibri" w:hAnsi="Calibri"/>
      </w:rPr>
    </w:lvl>
  </w:abstractNum>
  <w:num w:numId="19">
    <w:abstractNumId w:val="18"/>
  </w:num>
  <w:abstractNum w:abstractNumId="19">
    <w:multiLevelType w:val="hybrid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  <w:lvl w:ilvl="1">
      <w:start w:val="1"/>
      <w:numFmt w:val="bullet"/>
      <w:lvlText w:val="–"/>
      <w:suff w:val="tab"/>
      <w:pPr>
        <w:tabs>
          <w:tab w:val="num" w:pos="1260"/>
        </w:tabs>
        <w:ind w:left="1260" w:hanging="360"/>
        <w:spacing w:after="160" w:line="280" w:lineRule="auto"/>
      </w:pPr>
      <w:rPr>
        <w:rFonts w:ascii="Calibri" w:hAnsi="Calibri"/>
      </w:rPr>
    </w:lvl>
    <w:lvl w:ilvl="2">
      <w:start w:val="1"/>
      <w:numFmt w:val="bullet"/>
      <w:lvlText w:val="•"/>
      <w:suff w:val="tab"/>
      <w:pPr>
        <w:tabs>
          <w:tab w:val="num" w:pos="1800"/>
        </w:tabs>
        <w:ind w:left="1800" w:hanging="360"/>
        <w:spacing w:after="160" w:line="280" w:lineRule="auto"/>
      </w:pPr>
      <w:rPr>
        <w:rFonts w:ascii="Calibri" w:hAnsi="Calibri"/>
      </w:rPr>
    </w:lvl>
    <w:lvl w:ilvl="3">
      <w:start w:val="1"/>
      <w:numFmt w:val="bullet"/>
      <w:lvlText w:val="–"/>
      <w:suff w:val="tab"/>
      <w:pPr>
        <w:tabs>
          <w:tab w:val="num" w:pos="2340"/>
        </w:tabs>
        <w:ind w:left="2340" w:hanging="360"/>
        <w:spacing w:after="160" w:line="280" w:lineRule="auto"/>
      </w:pPr>
      <w:rPr>
        <w:rFonts w:ascii="Calibri" w:hAnsi="Calibri"/>
      </w:rPr>
    </w:lvl>
  </w:abstractNum>
  <w:num w:numId="20">
    <w:abstractNumId w:val="19"/>
  </w:num>
  <w:abstractNum w:abstractNumId="20">
    <w:multiLevelType w:val="hybrid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  <w:lvl w:ilvl="1">
      <w:start w:val="1"/>
      <w:numFmt w:val="bullet"/>
      <w:lvlText w:val="–"/>
      <w:suff w:val="tab"/>
      <w:pPr>
        <w:tabs>
          <w:tab w:val="num" w:pos="1260"/>
        </w:tabs>
        <w:ind w:left="1260" w:hanging="360"/>
        <w:spacing w:after="160" w:line="280" w:lineRule="auto"/>
      </w:pPr>
      <w:rPr>
        <w:rFonts w:ascii="Calibri" w:hAnsi="Calibri"/>
      </w:rPr>
    </w:lvl>
    <w:lvl w:ilvl="2">
      <w:start w:val="1"/>
      <w:numFmt w:val="bullet"/>
      <w:lvlText w:val="•"/>
      <w:suff w:val="tab"/>
      <w:pPr>
        <w:tabs>
          <w:tab w:val="num" w:pos="1800"/>
        </w:tabs>
        <w:ind w:left="1800" w:hanging="360"/>
        <w:spacing w:after="160" w:line="280" w:lineRule="auto"/>
      </w:pPr>
      <w:rPr>
        <w:rFonts w:ascii="Calibri" w:hAnsi="Calibri"/>
      </w:rPr>
    </w:lvl>
    <w:lvl w:ilvl="3">
      <w:start w:val="1"/>
      <w:numFmt w:val="bullet"/>
      <w:lvlText w:val="–"/>
      <w:suff w:val="tab"/>
      <w:pPr>
        <w:tabs>
          <w:tab w:val="num" w:pos="2340"/>
        </w:tabs>
        <w:ind w:left="2340" w:hanging="360"/>
        <w:spacing w:after="160" w:line="280" w:lineRule="auto"/>
      </w:pPr>
      <w:rPr>
        <w:rFonts w:ascii="Calibri" w:hAnsi="Calibri"/>
      </w:rPr>
    </w:lvl>
  </w:abstractNum>
  <w:num w:numId="21">
    <w:abstractNumId w:val="20"/>
  </w:num>
  <w:abstractNum w:abstractNumId="21">
    <w:multiLevelType w:val="hybrid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  <w:lvl w:ilvl="1">
      <w:start w:val="1"/>
      <w:numFmt w:val="bullet"/>
      <w:lvlText w:val="–"/>
      <w:suff w:val="tab"/>
      <w:pPr>
        <w:tabs>
          <w:tab w:val="num" w:pos="1260"/>
        </w:tabs>
        <w:ind w:left="1260" w:hanging="360"/>
        <w:spacing w:after="160" w:line="280" w:lineRule="auto"/>
      </w:pPr>
      <w:rPr>
        <w:rFonts w:ascii="Calibri" w:hAnsi="Calibri"/>
      </w:rPr>
    </w:lvl>
    <w:lvl w:ilvl="2">
      <w:start w:val="1"/>
      <w:numFmt w:val="bullet"/>
      <w:lvlText w:val="•"/>
      <w:suff w:val="tab"/>
      <w:pPr>
        <w:tabs>
          <w:tab w:val="num" w:pos="1800"/>
        </w:tabs>
        <w:ind w:left="1800" w:hanging="360"/>
        <w:spacing w:after="160" w:line="280" w:lineRule="auto"/>
      </w:pPr>
      <w:rPr>
        <w:rFonts w:ascii="Calibri" w:hAnsi="Calibri"/>
      </w:rPr>
    </w:lvl>
    <w:lvl w:ilvl="3">
      <w:start w:val="1"/>
      <w:numFmt w:val="bullet"/>
      <w:lvlText w:val="–"/>
      <w:suff w:val="tab"/>
      <w:pPr>
        <w:tabs>
          <w:tab w:val="num" w:pos="2340"/>
        </w:tabs>
        <w:ind w:left="2340" w:hanging="360"/>
        <w:spacing w:after="160" w:line="280" w:lineRule="auto"/>
      </w:pPr>
      <w:rPr>
        <w:rFonts w:ascii="Calibri" w:hAnsi="Calibri"/>
      </w:rPr>
    </w:lvl>
  </w:abstractNum>
  <w:num w:numId="22">
    <w:abstractNumId w:val="21"/>
  </w:num>
  <w:abstractNum w:abstractNumId="22">
    <w:multiLevelType w:val="hybrid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  <w:lvl w:ilvl="1">
      <w:start w:val="1"/>
      <w:numFmt w:val="bullet"/>
      <w:lvlText w:val="–"/>
      <w:suff w:val="tab"/>
      <w:pPr>
        <w:tabs>
          <w:tab w:val="num" w:pos="1260"/>
        </w:tabs>
        <w:ind w:left="1260" w:hanging="360"/>
        <w:spacing w:after="160" w:line="280" w:lineRule="auto"/>
      </w:pPr>
      <w:rPr>
        <w:rFonts w:ascii="Calibri" w:hAnsi="Calibri"/>
      </w:rPr>
    </w:lvl>
    <w:lvl w:ilvl="2">
      <w:start w:val="1"/>
      <w:numFmt w:val="bullet"/>
      <w:lvlText w:val="•"/>
      <w:suff w:val="tab"/>
      <w:pPr>
        <w:tabs>
          <w:tab w:val="num" w:pos="1800"/>
        </w:tabs>
        <w:ind w:left="1800" w:hanging="360"/>
        <w:spacing w:after="160" w:line="280" w:lineRule="auto"/>
      </w:pPr>
      <w:rPr>
        <w:rFonts w:ascii="Calibri" w:hAnsi="Calibri"/>
      </w:rPr>
    </w:lvl>
    <w:lvl w:ilvl="3">
      <w:start w:val="1"/>
      <w:numFmt w:val="bullet"/>
      <w:lvlText w:val="–"/>
      <w:suff w:val="tab"/>
      <w:pPr>
        <w:tabs>
          <w:tab w:val="num" w:pos="2340"/>
        </w:tabs>
        <w:ind w:left="2340" w:hanging="360"/>
        <w:spacing w:after="160" w:line="280" w:lineRule="auto"/>
      </w:pPr>
      <w:rPr>
        <w:rFonts w:ascii="Calibri" w:hAnsi="Calibri"/>
      </w:rPr>
    </w:lvl>
  </w:abstractNum>
  <w:num w:numId="23">
    <w:abstractNumId w:val="22"/>
  </w:num>
  <w:abstractNum w:abstractNumId="23">
    <w:multiLevelType w:val="hybrid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  <w:lvl w:ilvl="1">
      <w:start w:val="1"/>
      <w:numFmt w:val="bullet"/>
      <w:lvlText w:val="–"/>
      <w:suff w:val="tab"/>
      <w:pPr>
        <w:tabs>
          <w:tab w:val="num" w:pos="1260"/>
        </w:tabs>
        <w:ind w:left="1260" w:hanging="360"/>
        <w:spacing w:after="160" w:line="280" w:lineRule="auto"/>
      </w:pPr>
      <w:rPr>
        <w:rFonts w:ascii="Calibri" w:hAnsi="Calibri"/>
      </w:rPr>
    </w:lvl>
    <w:lvl w:ilvl="2">
      <w:start w:val="1"/>
      <w:numFmt w:val="bullet"/>
      <w:lvlText w:val="•"/>
      <w:suff w:val="tab"/>
      <w:pPr>
        <w:tabs>
          <w:tab w:val="num" w:pos="1800"/>
        </w:tabs>
        <w:ind w:left="1800" w:hanging="360"/>
        <w:spacing w:after="160" w:line="280" w:lineRule="auto"/>
      </w:pPr>
      <w:rPr>
        <w:rFonts w:ascii="Calibri" w:hAnsi="Calibri"/>
      </w:rPr>
    </w:lvl>
    <w:lvl w:ilvl="3">
      <w:start w:val="1"/>
      <w:numFmt w:val="bullet"/>
      <w:lvlText w:val="–"/>
      <w:suff w:val="tab"/>
      <w:pPr>
        <w:tabs>
          <w:tab w:val="num" w:pos="2340"/>
        </w:tabs>
        <w:ind w:left="2340" w:hanging="360"/>
        <w:spacing w:after="160" w:line="280" w:lineRule="auto"/>
      </w:pPr>
      <w:rPr>
        <w:rFonts w:ascii="Calibri" w:hAnsi="Calibri"/>
      </w:rPr>
    </w:lvl>
  </w:abstractNum>
  <w:num w:numId="24">
    <w:abstractNumId w:val="23"/>
  </w:num>
  <w:abstractNum w:abstractNumId="24">
    <w:multiLevelType w:val="hybridMulti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  <w:lvl w:ilvl="1">
      <w:start w:val="1"/>
      <w:numFmt w:val="decimal"/>
      <w:lvlText w:val="%2)"/>
      <w:suff w:val="tab"/>
      <w:pPr>
        <w:tabs>
          <w:tab w:val="num" w:pos="1260"/>
        </w:tabs>
        <w:ind w:left="1260" w:hanging="360"/>
        <w:spacing w:after="160" w:line="280" w:lineRule="auto"/>
      </w:pPr>
      <w:rPr>
        <w:rFonts w:ascii="Calibri" w:hAnsi="Calibri"/>
      </w:rPr>
    </w:lvl>
    <w:lvl w:ilvl="2">
      <w:start w:val="1"/>
      <w:numFmt w:val="decimal"/>
      <w:lvlText w:val="%3)"/>
      <w:suff w:val="tab"/>
      <w:pPr>
        <w:tabs>
          <w:tab w:val="num" w:pos="1800"/>
        </w:tabs>
        <w:ind w:left="1800" w:hanging="360"/>
        <w:spacing w:after="160" w:line="280" w:lineRule="auto"/>
      </w:pPr>
      <w:rPr>
        <w:rFonts w:ascii="Calibri" w:hAnsi="Calibri"/>
      </w:rPr>
    </w:lvl>
    <w:lvl w:ilvl="3">
      <w:start w:val="1"/>
      <w:numFmt w:val="decimal"/>
      <w:lvlText w:val="%4)"/>
      <w:suff w:val="tab"/>
      <w:pPr>
        <w:tabs>
          <w:tab w:val="num" w:pos="2340"/>
        </w:tabs>
        <w:ind w:left="2340" w:hanging="360"/>
        <w:spacing w:after="160" w:line="280" w:lineRule="auto"/>
      </w:pPr>
      <w:rPr>
        <w:rFonts w:ascii="Calibri" w:hAnsi="Calibri"/>
      </w:rPr>
    </w:lvl>
  </w:abstractNum>
  <w:num w:numId="25">
    <w:abstractNumId w:val="24"/>
  </w:num>
  <w:abstractNum w:abstractNumId="25">
    <w:multiLevelType w:val="hybrid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  <w:lvl w:ilvl="1">
      <w:start w:val="1"/>
      <w:numFmt w:val="bullet"/>
      <w:lvlText w:val="–"/>
      <w:suff w:val="tab"/>
      <w:pPr>
        <w:tabs>
          <w:tab w:val="num" w:pos="1260"/>
        </w:tabs>
        <w:ind w:left="1260" w:hanging="360"/>
        <w:spacing w:after="160" w:line="280" w:lineRule="auto"/>
      </w:pPr>
      <w:rPr>
        <w:rFonts w:ascii="Calibri" w:hAnsi="Calibri"/>
      </w:rPr>
    </w:lvl>
    <w:lvl w:ilvl="2">
      <w:start w:val="1"/>
      <w:numFmt w:val="bullet"/>
      <w:lvlText w:val="•"/>
      <w:suff w:val="tab"/>
      <w:pPr>
        <w:tabs>
          <w:tab w:val="num" w:pos="1800"/>
        </w:tabs>
        <w:ind w:left="1800" w:hanging="360"/>
        <w:spacing w:after="160" w:line="280" w:lineRule="auto"/>
      </w:pPr>
      <w:rPr>
        <w:rFonts w:ascii="Calibri" w:hAnsi="Calibri"/>
      </w:rPr>
    </w:lvl>
    <w:lvl w:ilvl="3">
      <w:start w:val="1"/>
      <w:numFmt w:val="bullet"/>
      <w:lvlText w:val="–"/>
      <w:suff w:val="tab"/>
      <w:pPr>
        <w:tabs>
          <w:tab w:val="num" w:pos="2340"/>
        </w:tabs>
        <w:ind w:left="2340" w:hanging="360"/>
        <w:spacing w:after="160" w:line="280" w:lineRule="auto"/>
      </w:pPr>
      <w:rPr>
        <w:rFonts w:ascii="Calibri" w:hAnsi="Calibri"/>
      </w:rPr>
    </w:lvl>
  </w:abstractNum>
  <w:num w:numId="26">
    <w:abstractNumId w:val="25"/>
  </w:num>
  <w:abstractNum w:abstractNumId="26">
    <w:multiLevelType w:val="hybrid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  <w:lvl w:ilvl="1">
      <w:start w:val="1"/>
      <w:numFmt w:val="bullet"/>
      <w:lvlText w:val="–"/>
      <w:suff w:val="tab"/>
      <w:pPr>
        <w:tabs>
          <w:tab w:val="num" w:pos="1260"/>
        </w:tabs>
        <w:ind w:left="1260" w:hanging="360"/>
        <w:spacing w:after="160" w:line="280" w:lineRule="auto"/>
      </w:pPr>
      <w:rPr>
        <w:rFonts w:ascii="Calibri" w:hAnsi="Calibri"/>
      </w:rPr>
    </w:lvl>
    <w:lvl w:ilvl="2">
      <w:start w:val="1"/>
      <w:numFmt w:val="bullet"/>
      <w:lvlText w:val="•"/>
      <w:suff w:val="tab"/>
      <w:pPr>
        <w:tabs>
          <w:tab w:val="num" w:pos="1800"/>
        </w:tabs>
        <w:ind w:left="1800" w:hanging="360"/>
        <w:spacing w:after="160" w:line="280" w:lineRule="auto"/>
      </w:pPr>
      <w:rPr>
        <w:rFonts w:ascii="Calibri" w:hAnsi="Calibri"/>
      </w:rPr>
    </w:lvl>
    <w:lvl w:ilvl="3">
      <w:start w:val="1"/>
      <w:numFmt w:val="bullet"/>
      <w:lvlText w:val="–"/>
      <w:suff w:val="tab"/>
      <w:pPr>
        <w:tabs>
          <w:tab w:val="num" w:pos="2340"/>
        </w:tabs>
        <w:ind w:left="2340" w:hanging="360"/>
        <w:spacing w:after="160" w:line="280" w:lineRule="auto"/>
      </w:pPr>
      <w:rPr>
        <w:rFonts w:ascii="Calibri" w:hAnsi="Calibri"/>
      </w:rPr>
    </w:lvl>
  </w:abstract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 w:eastAsia="Calibri"/>
      <w:i w:val="0"/>
      <w:iCs/>
      <w:color w:val="555555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Metadata">
    <w:name w:val="Document Metadata"/>
    <w:pPr>
      <w:spacing w:before="0" w:after="60" w:line="264" w:lineRule="auto"/>
    </w:pPr>
    <w:rPr>
      <w:rFonts w:ascii="Calibri" w:hAnsi="Calibri" w:eastAsia="Calibri"/>
      <w:color w:val="555555"/>
      <w:sz w:val="21"/>
    </w:rPr>
  </w:style>
  <w:style w:type="paragraph" w:customStyle="1" w:styleId="FormulaBlock">
    <w:name w:val="Formula Block"/>
    <w:pPr>
      <w:keepLines/>
      <w:spacing w:before="60" w:after="160"/>
      <w:ind w:left="360" w:right="216"/>
    </w:pPr>
    <w:rPr>
      <w:rFonts w:ascii="Consolas" w:hAnsi="Consolas" w:eastAsia="Consolas"/>
      <w:color w:val="1F4D7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www.oecd.org/en/publications/innovative-citizen-participation-and-new-democratic-institutions_339306da-en/full-report/component-9.html" TargetMode="External"/><Relationship Id="rId14" Type="http://schemas.openxmlformats.org/officeDocument/2006/relationships/hyperlink" Target="https://citizensassembly.ie/about/faq/" TargetMode="External"/><Relationship Id="rId15" Type="http://schemas.openxmlformats.org/officeDocument/2006/relationships/hyperlink" Target="https://www.ilo.org/about-ilo/how-ilo-works" TargetMode="External"/><Relationship Id="rId16" Type="http://schemas.openxmlformats.org/officeDocument/2006/relationships/hyperlink" Target="https://www.eesc.europa.eu/en/members-groups" TargetMode="External"/><Relationship Id="rId17" Type="http://schemas.openxmlformats.org/officeDocument/2006/relationships/hyperlink" Target="https://venice.coe.int/images/SITE%20IMAGES/Publications/Code_conduite_PREMS%20026115%20GBR.pdf" TargetMode="External"/><Relationship Id="rId18" Type="http://schemas.openxmlformats.org/officeDocument/2006/relationships/hyperlink" Target="https://www.venice.coe.int/webforms/documents/default.aspx?pdffile=CDL-AD%282022%29015-e" TargetMode="External"/><Relationship Id="rId19" Type="http://schemas.openxmlformats.org/officeDocument/2006/relationships/hyperlink" Target="https://www.oecd.org/en/topics/lobbying.html" TargetMode="External"/><Relationship Id="rId20" Type="http://schemas.openxmlformats.org/officeDocument/2006/relationships/hyperlink" Target="https://www.intosai.org/fileadmin/downloads/documents/open_access/INT_P_1_u_P_10/INTOSAI_P_10_en_2019.pdf" TargetMode="External"/><Relationship Id="rId21" Type="http://schemas.openxmlformats.org/officeDocument/2006/relationships/hyperlink" Target="https://legalinstruments.oecd.org/api/print?ids=301&amp;lang=en" TargetMode="External"/><Relationship Id="rId22" Type="http://schemas.openxmlformats.org/officeDocument/2006/relationships/hyperlink" Target="https://2covenants.ohchr.org/About-ICCP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к проекту Устава Совета конституции голосования</dc:title>
  <dc:subject>Проект институционального устройства тематического взвешенного голосования</dc:subject>
  <dc:creator/>
  <cp:keywords>совет, экспертный вес, госплан, голосование, устав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