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00"/>
      </w:pPr>
      <w:r>
        <w:rPr>
          <w:rFonts w:ascii="Calibri" w:hAnsi="Calibri" w:eastAsia="Calibri"/>
          <w:b/>
          <w:color w:val="2E74B5"/>
          <w:sz w:val="18"/>
        </w:rPr>
        <w:t>ПРОЕКТ НОРМАТИВНОГО ДОКУМЕНТА</w:t>
      </w:r>
    </w:p>
    <w:p>
      <w:pPr>
        <w:pStyle w:val="Title"/>
        <w:keepNext/>
      </w:pPr>
      <w:r>
        <w:rPr>
          <w:rFonts w:ascii="Calibri" w:hAnsi="Calibri" w:eastAsia="Calibri"/>
          <w:b/>
          <w:color w:val="0B2545"/>
          <w:sz w:val="50"/>
        </w:rPr>
        <w:t>Устав Совета конституции голосования</w:t>
      </w:r>
    </w:p>
    <w:p>
      <w:pPr>
        <w:pStyle w:val="DocumentMetadata"/>
      </w:pPr>
      <w:r>
        <w:rPr>
          <w:rFonts w:ascii="Calibri" w:hAnsi="Calibri" w:eastAsia="Calibri"/>
          <w:b w:val="0"/>
          <w:color w:val="555555"/>
          <w:sz w:val="21"/>
        </w:rPr>
        <w:t>Проект редакции 0.2 для общественного и институционального обсуждения</w:t>
      </w:r>
    </w:p>
    <w:p>
      <w:pPr>
        <w:pStyle w:val="DocumentMetadata"/>
      </w:pPr>
      <w:r>
        <w:rPr>
          <w:rFonts w:ascii="Calibri" w:hAnsi="Calibri" w:eastAsia="Calibri"/>
          <w:b w:val="0"/>
          <w:color w:val="555555"/>
          <w:sz w:val="21"/>
        </w:rPr>
        <w:t>Дата проекта: 16 июля 2026 года</w:t>
      </w:r>
    </w:p>
    <w:p>
      <w:pPr>
        <w:pStyle w:val="DocumentMetadata"/>
      </w:pPr>
      <w:r>
        <w:rPr>
          <w:rFonts w:ascii="Calibri" w:hAnsi="Calibri" w:eastAsia="Calibri"/>
          <w:b w:val="0"/>
          <w:color w:val="555555"/>
          <w:sz w:val="21"/>
        </w:rPr>
        <w:t>Связанный документ: «Пояснительная записка к проекту Устава Совета конституции голосования», редакция 0.2.</w:t>
      </w:r>
    </w:p>
    <w:p>
      <w:pPr>
        <w:spacing w:before="140" w:after="200"/>
        <w:pBdr>
          <w:bottom w:val="single" w:sz="8" w:space="4" w:color="2E74B5"/>
        </w:pBdr>
      </w:pPr>
    </w:p>
    <w:p>
      <w:pPr>
        <w:pStyle w:val="Heading2"/>
      </w:pPr>
      <w:r>
        <w:rPr>
          <w:rFonts w:ascii="Calibri" w:hAnsi="Calibri" w:eastAsia="Calibri"/>
          <w:b/>
          <w:color w:val="2E74B5"/>
          <w:sz w:val="26"/>
        </w:rPr>
        <w:t>Преамбула</w:t>
      </w:r>
    </w:p>
    <w:p>
      <w:r>
        <w:t>Настоящий Устав учреждает систему управления правилами тематического взвешенного голосования. Его задача — соединить широкое прямое участие граждан с повышенным влиянием подтверждённой предметной компетентности, не допуская, чтобы один орган одновременно определял эксперта, назначал его вес, управлял повесткой и окончательно рассматривал жалобу на собственное решение.</w:t>
      </w:r>
    </w:p>
    <w:p>
      <w:r>
        <w:t>Совет исходит из того, что редкая и подтверждённая экспертиза вправе давать значительное, в том числе очень большое, политическое влияние. Индивидуальный экспертный вес не имеет заранее установленного верхнего предела. Такое влияние допустимо только при публичной формуле, независимой квалификации, предварительно зафиксированном реестре, защите от конфликта интересов и отдельной процедуре для случаев высокой концентрации веса.</w:t>
      </w:r>
    </w:p>
    <w:p>
      <w:pPr>
        <w:pStyle w:val="Heading1"/>
      </w:pPr>
      <w:r>
        <w:rPr>
          <w:rFonts w:ascii="Calibri" w:hAnsi="Calibri" w:eastAsia="Calibri"/>
          <w:b/>
          <w:color w:val="2E74B5"/>
          <w:sz w:val="32"/>
        </w:rPr>
        <w:t>I. Общие положения</w:t>
      </w:r>
    </w:p>
    <w:p>
      <w:pPr>
        <w:pStyle w:val="Heading2"/>
      </w:pPr>
      <w:r>
        <w:rPr>
          <w:rFonts w:ascii="Calibri" w:hAnsi="Calibri" w:eastAsia="Calibri"/>
          <w:b/>
          <w:color w:val="2E74B5"/>
          <w:sz w:val="26"/>
        </w:rPr>
        <w:t>Статья 1. Статус Совета</w:t>
      </w:r>
    </w:p>
    <w:p>
      <w:pPr>
        <w:numPr>
          <w:ilvl w:val="0"/>
          <w:numId w:val="10"/>
        </w:numPr>
        <w:spacing w:after="160" w:line="280" w:lineRule="auto"/>
      </w:pPr>
      <w:r>
        <w:t>Совет конституции голосования, далее — Совет, является независимым публичным органом, который устанавливает и поддерживает правила тематического взвешенного голосования в пределах Конституции, органического закона и настоящего Устава.</w:t>
      </w:r>
    </w:p>
    <w:p>
      <w:pPr>
        <w:numPr>
          <w:ilvl w:val="0"/>
          <w:numId w:val="10"/>
        </w:numPr>
        <w:spacing w:after="160" w:line="280" w:lineRule="auto"/>
      </w:pPr>
      <w:r>
        <w:t>Совет не входит в систему исполнительных органов и не подчиняется Госплану, правительству, предприятиям, профессиональным объединениям или поставщику цифровой системы.</w:t>
      </w:r>
    </w:p>
    <w:p>
      <w:pPr>
        <w:numPr>
          <w:ilvl w:val="0"/>
          <w:numId w:val="10"/>
        </w:numPr>
        <w:spacing w:after="160" w:line="280" w:lineRule="auto"/>
      </w:pPr>
      <w:r>
        <w:t>Совет обладает собственной правосубъектностью, аппаратом, защищённой бюджетной строкой и правом самостоятельной публикации решений.</w:t>
      </w:r>
    </w:p>
    <w:p>
      <w:pPr>
        <w:numPr>
          <w:ilvl w:val="0"/>
          <w:numId w:val="10"/>
        </w:numPr>
        <w:spacing w:after="160" w:line="280" w:lineRule="auto"/>
      </w:pPr>
      <w:r>
        <w:t>Решение Совета действительно только после его внесения в открытый реестр вместе с поимённым голосованием, мотивировкой, исходными допущениями, версией формулы и порядком обжалования.</w:t>
      </w:r>
    </w:p>
    <w:p>
      <w:pPr>
        <w:pStyle w:val="Heading2"/>
      </w:pPr>
      <w:r>
        <w:rPr>
          <w:rFonts w:ascii="Calibri" w:hAnsi="Calibri" w:eastAsia="Calibri"/>
          <w:b/>
          <w:color w:val="2E74B5"/>
          <w:sz w:val="26"/>
        </w:rPr>
        <w:t>Статья 2. Цели</w:t>
      </w:r>
    </w:p>
    <w:p>
      <w:r>
        <w:t>Совет:</w:t>
      </w:r>
    </w:p>
    <w:p>
      <w:pPr>
        <w:numPr>
          <w:ilvl w:val="0"/>
          <w:numId w:val="11"/>
        </w:numPr>
        <w:spacing w:after="160" w:line="280" w:lineRule="auto"/>
      </w:pPr>
      <w:r>
        <w:t>поддерживает целостность и актуальность системы тематических весов;</w:t>
      </w:r>
    </w:p>
    <w:p>
      <w:pPr>
        <w:numPr>
          <w:ilvl w:val="0"/>
          <w:numId w:val="11"/>
        </w:numPr>
        <w:spacing w:after="160" w:line="280" w:lineRule="auto"/>
      </w:pPr>
      <w:r>
        <w:t>обеспечивает раздельное регулирование предметной экспертизы и общей образовательной надбавки;</w:t>
      </w:r>
    </w:p>
    <w:p>
      <w:pPr>
        <w:numPr>
          <w:ilvl w:val="0"/>
          <w:numId w:val="11"/>
        </w:numPr>
        <w:spacing w:after="160" w:line="280" w:lineRule="auto"/>
      </w:pPr>
      <w:r>
        <w:t>утверждает тематические калибровочные матрицы и правила деградации в пределах закона;</w:t>
      </w:r>
    </w:p>
    <w:p>
      <w:pPr>
        <w:numPr>
          <w:ilvl w:val="0"/>
          <w:numId w:val="11"/>
        </w:numPr>
        <w:spacing w:after="160" w:line="280" w:lineRule="auto"/>
      </w:pPr>
      <w:r>
        <w:t>организует открытую процедуру создания, объединения и закрытия областей голосования;</w:t>
      </w:r>
    </w:p>
    <w:p>
      <w:pPr>
        <w:numPr>
          <w:ilvl w:val="0"/>
          <w:numId w:val="11"/>
        </w:numPr>
        <w:spacing w:after="160" w:line="280" w:lineRule="auto"/>
      </w:pPr>
      <w:r>
        <w:t>обеспечивает оценку экономических, плановых, социальных и территориальных последствий изменения правил;</w:t>
      </w:r>
    </w:p>
    <w:p>
      <w:pPr>
        <w:numPr>
          <w:ilvl w:val="0"/>
          <w:numId w:val="11"/>
        </w:numPr>
        <w:spacing w:after="160" w:line="280" w:lineRule="auto"/>
      </w:pPr>
      <w:r>
        <w:t>контролирует публикацию и исполнение общественных решений, не подменяя органы, ответственные за их реализацию;</w:t>
      </w:r>
    </w:p>
    <w:p>
      <w:pPr>
        <w:numPr>
          <w:ilvl w:val="0"/>
          <w:numId w:val="11"/>
        </w:numPr>
        <w:spacing w:after="160" w:line="280" w:lineRule="auto"/>
      </w:pPr>
      <w:r>
        <w:t>защищает базовый голос гражданина, повышенное влияние эксперта и право на независимое обжалование.</w:t>
      </w:r>
    </w:p>
    <w:p>
      <w:pPr>
        <w:pStyle w:val="Heading2"/>
      </w:pPr>
      <w:r>
        <w:rPr>
          <w:rFonts w:ascii="Calibri" w:hAnsi="Calibri" w:eastAsia="Calibri"/>
          <w:b/>
          <w:color w:val="2E74B5"/>
          <w:sz w:val="26"/>
        </w:rPr>
        <w:t>Статья 3. Область тематического взвешенного голосования</w:t>
      </w:r>
    </w:p>
    <w:p>
      <w:pPr>
        <w:numPr>
          <w:ilvl w:val="0"/>
          <w:numId w:val="12"/>
        </w:numPr>
        <w:spacing w:after="160" w:line="280" w:lineRule="auto"/>
      </w:pPr>
      <w:r>
        <w:t>Тематические веса применяются к прямым общественным голосованиям по вопросам политики, регулирования, планирования, бюджета, общественных услуг и иным предметам, прямо перечисленным в законе.</w:t>
      </w:r>
    </w:p>
    <w:p>
      <w:pPr>
        <w:numPr>
          <w:ilvl w:val="0"/>
          <w:numId w:val="12"/>
        </w:numPr>
        <w:spacing w:after="160" w:line="280" w:lineRule="auto"/>
      </w:pPr>
      <w:r>
        <w:t>Тематические веса не применяются:</w:t>
      </w:r>
    </w:p>
    <w:p>
      <w:pPr>
        <w:numPr>
          <w:ilvl w:val="1"/>
          <w:numId w:val="12"/>
        </w:numPr>
        <w:spacing w:after="160" w:line="280" w:lineRule="auto"/>
      </w:pPr>
      <w:r>
        <w:t>к выборам и отзыву членов Палаты общественного мандата;</w:t>
      </w:r>
    </w:p>
    <w:p>
      <w:pPr>
        <w:numPr>
          <w:ilvl w:val="1"/>
          <w:numId w:val="12"/>
        </w:numPr>
        <w:spacing w:after="160" w:line="280" w:lineRule="auto"/>
      </w:pPr>
      <w:r>
        <w:t>к формированию органов, которые устанавливают, рассчитывают или проверяют веса;</w:t>
      </w:r>
    </w:p>
    <w:p>
      <w:pPr>
        <w:numPr>
          <w:ilvl w:val="1"/>
          <w:numId w:val="12"/>
        </w:numPr>
        <w:spacing w:after="160" w:line="280" w:lineRule="auto"/>
      </w:pPr>
      <w:r>
        <w:t>к референдуму об устройстве самой системы голосования и иным метаправилам;</w:t>
      </w:r>
    </w:p>
    <w:p>
      <w:pPr>
        <w:numPr>
          <w:ilvl w:val="1"/>
          <w:numId w:val="12"/>
        </w:numPr>
        <w:spacing w:after="160" w:line="280" w:lineRule="auto"/>
      </w:pPr>
      <w:r>
        <w:t>к решениям о персональной уголовной, административной или гражданской ответственности;</w:t>
      </w:r>
    </w:p>
    <w:p>
      <w:pPr>
        <w:numPr>
          <w:ilvl w:val="1"/>
          <w:numId w:val="12"/>
        </w:numPr>
        <w:spacing w:after="160" w:line="280" w:lineRule="auto"/>
      </w:pPr>
      <w:r>
        <w:t>к неотчуждаемым правам и равному правовому статусу граждан;</w:t>
      </w:r>
    </w:p>
    <w:p>
      <w:pPr>
        <w:numPr>
          <w:ilvl w:val="1"/>
          <w:numId w:val="12"/>
        </w:numPr>
        <w:spacing w:after="160" w:line="280" w:lineRule="auto"/>
      </w:pPr>
      <w:r>
        <w:t>к иным случаям, где Конституция прямо требует равного голосования.</w:t>
      </w:r>
    </w:p>
    <w:p>
      <w:pPr>
        <w:numPr>
          <w:ilvl w:val="0"/>
          <w:numId w:val="12"/>
        </w:numPr>
        <w:spacing w:after="160" w:line="280" w:lineRule="auto"/>
      </w:pPr>
      <w:r>
        <w:t>В случаях, указанных в пункте 2, действует принцип «один гражданин — один голос».</w:t>
      </w:r>
    </w:p>
    <w:p>
      <w:pPr>
        <w:pStyle w:val="Heading2"/>
      </w:pPr>
      <w:r>
        <w:rPr>
          <w:rFonts w:ascii="Calibri" w:hAnsi="Calibri" w:eastAsia="Calibri"/>
          <w:b/>
          <w:color w:val="2E74B5"/>
          <w:sz w:val="26"/>
        </w:rPr>
        <w:t>Статья 4. Основные принципы</w:t>
      </w:r>
    </w:p>
    <w:p>
      <w:r>
        <w:t>Система основывается на следующих принципах:</w:t>
      </w:r>
    </w:p>
    <w:p>
      <w:pPr>
        <w:numPr>
          <w:ilvl w:val="0"/>
          <w:numId w:val="13"/>
        </w:numPr>
        <w:spacing w:after="160" w:line="280" w:lineRule="auto"/>
      </w:pPr>
      <w:r>
        <w:t>базовый тематический вес неэксперта равен единице;</w:t>
      </w:r>
    </w:p>
    <w:p>
      <w:pPr>
        <w:numPr>
          <w:ilvl w:val="0"/>
          <w:numId w:val="13"/>
        </w:numPr>
        <w:spacing w:after="160" w:line="280" w:lineRule="auto"/>
      </w:pPr>
      <w:r>
        <w:t>итоговый вес признанного эксперта по соответствующей теме всегда выше максимального итогового веса неэксперта;</w:t>
      </w:r>
    </w:p>
    <w:p>
      <w:pPr>
        <w:numPr>
          <w:ilvl w:val="0"/>
          <w:numId w:val="13"/>
        </w:numPr>
        <w:spacing w:after="160" w:line="280" w:lineRule="auto"/>
      </w:pPr>
      <w:r>
        <w:t>индивидуальный экспертный вес не имеет числового верхнего предела;</w:t>
      </w:r>
    </w:p>
    <w:p>
      <w:pPr>
        <w:numPr>
          <w:ilvl w:val="0"/>
          <w:numId w:val="13"/>
        </w:numPr>
        <w:spacing w:after="160" w:line="280" w:lineRule="auto"/>
      </w:pPr>
      <w:r>
        <w:t>универсальная совокупная доля экспертов, включая показатель 75 процентов, не устанавливается: каждая тема имеет собственную калибровочную матрицу;</w:t>
      </w:r>
    </w:p>
    <w:p>
      <w:pPr>
        <w:numPr>
          <w:ilvl w:val="0"/>
          <w:numId w:val="13"/>
        </w:numPr>
        <w:spacing w:after="160" w:line="280" w:lineRule="auto"/>
      </w:pPr>
      <w:r>
        <w:t>калибровочная доля является расчётным ориентиром, а не правом группы на гарантированную долю и не основанием понизить эксперта до веса неэксперта;</w:t>
      </w:r>
    </w:p>
    <w:p>
      <w:pPr>
        <w:numPr>
          <w:ilvl w:val="0"/>
          <w:numId w:val="13"/>
        </w:numPr>
        <w:spacing w:after="160" w:line="280" w:lineRule="auto"/>
      </w:pPr>
      <w:r>
        <w:t>образовательная надбавка добавляется после тематической компоненты, не вычитается из неё и не входит в тематическую калибровочную долю;</w:t>
      </w:r>
    </w:p>
    <w:p>
      <w:pPr>
        <w:numPr>
          <w:ilvl w:val="0"/>
          <w:numId w:val="13"/>
        </w:numPr>
        <w:spacing w:after="160" w:line="280" w:lineRule="auto"/>
      </w:pPr>
      <w:r>
        <w:t>число лиц каждой категории фиксируется до начала голосования и не зависит от явки;</w:t>
      </w:r>
    </w:p>
    <w:p>
      <w:pPr>
        <w:numPr>
          <w:ilvl w:val="0"/>
          <w:numId w:val="13"/>
        </w:numPr>
        <w:spacing w:after="160" w:line="280" w:lineRule="auto"/>
      </w:pPr>
      <w:r>
        <w:t>неиспользованный вес отсутствующего гражданина не передаётся другим участникам;</w:t>
      </w:r>
    </w:p>
    <w:p>
      <w:pPr>
        <w:numPr>
          <w:ilvl w:val="0"/>
          <w:numId w:val="13"/>
        </w:numPr>
        <w:spacing w:after="160" w:line="280" w:lineRule="auto"/>
      </w:pPr>
      <w:r>
        <w:t>экзамен, тематическая классификация, расчёт веса, эксплуатация реестра и рассмотрение жалобы выполняются разными органами;</w:t>
      </w:r>
    </w:p>
    <w:p>
      <w:pPr>
        <w:numPr>
          <w:ilvl w:val="0"/>
          <w:numId w:val="13"/>
        </w:numPr>
        <w:spacing w:after="160" w:line="280" w:lineRule="auto"/>
      </w:pPr>
      <w:r>
        <w:t>метаправила принимаются равным голосованием граждан;</w:t>
      </w:r>
    </w:p>
    <w:p>
      <w:pPr>
        <w:numPr>
          <w:ilvl w:val="0"/>
          <w:numId w:val="13"/>
        </w:numPr>
        <w:spacing w:after="160" w:line="280" w:lineRule="auto"/>
      </w:pPr>
      <w:r>
        <w:t>ни Совет, ни Госплан, ни отдельная экономическая группа не обладают единоличным правом изменять политические веса.</w:t>
      </w:r>
    </w:p>
    <w:p>
      <w:pPr>
        <w:pStyle w:val="Heading2"/>
      </w:pPr>
      <w:r>
        <w:rPr>
          <w:rFonts w:ascii="Calibri" w:hAnsi="Calibri" w:eastAsia="Calibri"/>
          <w:b/>
          <w:color w:val="2E74B5"/>
          <w:sz w:val="26"/>
        </w:rPr>
        <w:t>Статья 5. Основные понятия</w:t>
      </w:r>
    </w:p>
    <w:p>
      <w:pPr>
        <w:numPr>
          <w:ilvl w:val="0"/>
          <w:numId w:val="14"/>
        </w:numPr>
        <w:spacing w:after="160" w:line="280" w:lineRule="auto"/>
      </w:pPr>
      <w:r>
        <w:rPr>
          <w:b/>
        </w:rPr>
        <w:t>Тема</w:t>
      </w:r>
      <w:r>
        <w:t xml:space="preserve"> — установленная независимой Службой тематической классификации область общественного решения, для которой определены применимые экспертные уровни и калибровочная матрица.</w:t>
      </w:r>
    </w:p>
    <w:p>
      <w:pPr>
        <w:numPr>
          <w:ilvl w:val="0"/>
          <w:numId w:val="14"/>
        </w:numPr>
        <w:spacing w:after="160" w:line="280" w:lineRule="auto"/>
      </w:pPr>
      <w:r>
        <w:rPr>
          <w:b/>
        </w:rPr>
        <w:t>Эксперт</w:t>
      </w:r>
      <w:r>
        <w:t xml:space="preserve"> — гражданин, которому независимое Агентство экзаменов и аккредитации присвоило действующий уровень предметной компетентности по конкретной теме.</w:t>
      </w:r>
    </w:p>
    <w:p>
      <w:pPr>
        <w:numPr>
          <w:ilvl w:val="0"/>
          <w:numId w:val="14"/>
        </w:numPr>
        <w:spacing w:after="160" w:line="280" w:lineRule="auto"/>
      </w:pPr>
      <w:r>
        <w:rPr>
          <w:b/>
        </w:rPr>
        <w:t>Неэксперт</w:t>
      </w:r>
      <w:r>
        <w:t xml:space="preserve"> — гражданин, не имеющий действующего экспертного уровня по соответствующей теме. Отсутствие экспертного статуса не означает отсутствия образования, опыта или гражданской компетентности.</w:t>
      </w:r>
    </w:p>
    <w:p>
      <w:pPr>
        <w:numPr>
          <w:ilvl w:val="0"/>
          <w:numId w:val="14"/>
        </w:numPr>
        <w:spacing w:after="160" w:line="280" w:lineRule="auto"/>
      </w:pPr>
      <w:r>
        <w:rPr>
          <w:b/>
        </w:rPr>
        <w:t>Калибровочная доля</w:t>
      </w:r>
      <w:r>
        <w:t xml:space="preserve"> — целевая доля категории в расчётной модели при зафиксированной численности, используемая для вычисления веса, но не являющаяся жёстким потолком фактического влияния.</w:t>
      </w:r>
    </w:p>
    <w:p>
      <w:pPr>
        <w:numPr>
          <w:ilvl w:val="0"/>
          <w:numId w:val="14"/>
        </w:numPr>
        <w:spacing w:after="160" w:line="280" w:lineRule="auto"/>
      </w:pPr>
      <w:r>
        <w:rPr>
          <w:b/>
        </w:rPr>
        <w:t>Образовательная надбавка</w:t>
      </w:r>
      <w:r>
        <w:t xml:space="preserve"> — самостоятельная аддитивная часть итогового веса, подтверждающая способность к обучению и систематическому мышлению и рассчитываемая вне тематических долей.</w:t>
      </w:r>
    </w:p>
    <w:p>
      <w:pPr>
        <w:numPr>
          <w:ilvl w:val="0"/>
          <w:numId w:val="14"/>
        </w:numPr>
        <w:spacing w:after="160" w:line="280" w:lineRule="auto"/>
      </w:pPr>
      <w:r>
        <w:rPr>
          <w:b/>
        </w:rPr>
        <w:t>Метаправила</w:t>
      </w:r>
      <w:r>
        <w:t xml:space="preserve"> — правила определения эксперта, экспертных уровней, тематических долей, отсутствия верхнего предела, экспертного минимума, образовательной надбавки, деградации, реестрового снимка, классификации тем, состава Совета, полномочий Госплана и порядка обжалования.</w:t>
      </w:r>
    </w:p>
    <w:p>
      <w:pPr>
        <w:numPr>
          <w:ilvl w:val="0"/>
          <w:numId w:val="14"/>
        </w:numPr>
        <w:spacing w:after="160" w:line="280" w:lineRule="auto"/>
      </w:pPr>
      <w:r>
        <w:rPr>
          <w:b/>
        </w:rPr>
        <w:t>Группа конечного контроля</w:t>
      </w:r>
      <w:r>
        <w:t xml:space="preserve"> — совокупность организаций, решения которых определяются одним конечным бенефициаром, общим холдингом, договорённостью о совместном голосовании или единым центром управления.</w:t>
      </w:r>
    </w:p>
    <w:p>
      <w:pPr>
        <w:numPr>
          <w:ilvl w:val="0"/>
          <w:numId w:val="14"/>
        </w:numPr>
        <w:spacing w:after="160" w:line="280" w:lineRule="auto"/>
      </w:pPr>
      <w:r>
        <w:rPr>
          <w:b/>
        </w:rPr>
        <w:t>Плановое предупреждение</w:t>
      </w:r>
      <w:r>
        <w:t xml:space="preserve"> — мотивированное временное возражение представителей Госплана, основанное на воспроизводимом противоречии утверждённому балансу, бюджету, плану или нормативу критической обеспеченности.</w:t>
      </w:r>
    </w:p>
    <w:p>
      <w:pPr>
        <w:numPr>
          <w:ilvl w:val="0"/>
          <w:numId w:val="14"/>
        </w:numPr>
        <w:spacing w:after="160" w:line="280" w:lineRule="auto"/>
      </w:pPr>
      <w:r>
        <w:rPr>
          <w:b/>
        </w:rPr>
        <w:t>Однократный возврат</w:t>
      </w:r>
      <w:r>
        <w:t xml:space="preserve"> — право Коллегии один раз приостановить проект для устранения установленного недостатка оценки последствий.</w:t>
      </w:r>
    </w:p>
    <w:p>
      <w:pPr>
        <w:pStyle w:val="Heading1"/>
      </w:pPr>
      <w:r>
        <w:rPr>
          <w:rFonts w:ascii="Calibri" w:hAnsi="Calibri" w:eastAsia="Calibri"/>
          <w:b/>
          <w:color w:val="2E74B5"/>
          <w:sz w:val="32"/>
        </w:rPr>
        <w:t>II. Полномочия и ограничения</w:t>
      </w:r>
    </w:p>
    <w:p>
      <w:pPr>
        <w:pStyle w:val="Heading2"/>
      </w:pPr>
      <w:r>
        <w:rPr>
          <w:rFonts w:ascii="Calibri" w:hAnsi="Calibri" w:eastAsia="Calibri"/>
          <w:b/>
          <w:color w:val="2E74B5"/>
          <w:sz w:val="26"/>
        </w:rPr>
        <w:t>Статья 6. Полномочия Совета</w:t>
      </w:r>
    </w:p>
    <w:p>
      <w:r>
        <w:t>Совет вправе:</w:t>
      </w:r>
    </w:p>
    <w:p>
      <w:pPr>
        <w:numPr>
          <w:ilvl w:val="0"/>
          <w:numId w:val="15"/>
        </w:numPr>
        <w:spacing w:after="160" w:line="280" w:lineRule="auto"/>
      </w:pPr>
      <w:r>
        <w:t>принимать нормативные правила тематического голосования в пределах Конституции и закона;</w:t>
      </w:r>
    </w:p>
    <w:p>
      <w:pPr>
        <w:numPr>
          <w:ilvl w:val="0"/>
          <w:numId w:val="15"/>
        </w:numPr>
        <w:spacing w:after="160" w:line="280" w:lineRule="auto"/>
      </w:pPr>
      <w:r>
        <w:t>утверждать тематические калибровочные матрицы внутри заранее одобренной методологии;</w:t>
      </w:r>
    </w:p>
    <w:p>
      <w:pPr>
        <w:numPr>
          <w:ilvl w:val="0"/>
          <w:numId w:val="15"/>
        </w:numPr>
        <w:spacing w:after="160" w:line="280" w:lineRule="auto"/>
      </w:pPr>
      <w:r>
        <w:t>утверждать общие стандарты деградации и подтверждения актуальности знаний, не разрабатывая конкретные экзаменационные задания;</w:t>
      </w:r>
    </w:p>
    <w:p>
      <w:pPr>
        <w:numPr>
          <w:ilvl w:val="0"/>
          <w:numId w:val="15"/>
        </w:numPr>
        <w:spacing w:after="160" w:line="280" w:lineRule="auto"/>
      </w:pPr>
      <w:r>
        <w:t>открывать процедуру создания, объединения, разделения или закрытия темы;</w:t>
      </w:r>
    </w:p>
    <w:p>
      <w:pPr>
        <w:numPr>
          <w:ilvl w:val="0"/>
          <w:numId w:val="15"/>
        </w:numPr>
        <w:spacing w:after="160" w:line="280" w:lineRule="auto"/>
      </w:pPr>
      <w:r>
        <w:t>требовать полный паспорт экономических, плановых, социальных и территориальных последствий;</w:t>
      </w:r>
    </w:p>
    <w:p>
      <w:pPr>
        <w:numPr>
          <w:ilvl w:val="0"/>
          <w:numId w:val="15"/>
        </w:numPr>
        <w:spacing w:after="160" w:line="280" w:lineRule="auto"/>
      </w:pPr>
      <w:r>
        <w:t>назначать пилот, срок повторной оценки, условие автоматического прекращения и порядок отката;</w:t>
      </w:r>
    </w:p>
    <w:p>
      <w:pPr>
        <w:numPr>
          <w:ilvl w:val="0"/>
          <w:numId w:val="15"/>
        </w:numPr>
        <w:spacing w:after="160" w:line="280" w:lineRule="auto"/>
      </w:pPr>
      <w:r>
        <w:t>рассматривать отчёты об исполнении решений и направлять публичные рекомендации ответственным органам;</w:t>
      </w:r>
    </w:p>
    <w:p>
      <w:pPr>
        <w:numPr>
          <w:ilvl w:val="0"/>
          <w:numId w:val="15"/>
        </w:numPr>
        <w:spacing w:after="160" w:line="280" w:lineRule="auto"/>
      </w:pPr>
      <w:r>
        <w:t>инициировать изменение метаправил в порядке, установленном настоящим Уставом.</w:t>
      </w:r>
    </w:p>
    <w:p>
      <w:pPr>
        <w:pStyle w:val="Heading2"/>
      </w:pPr>
      <w:r>
        <w:rPr>
          <w:rFonts w:ascii="Calibri" w:hAnsi="Calibri" w:eastAsia="Calibri"/>
          <w:b/>
          <w:color w:val="2E74B5"/>
          <w:sz w:val="26"/>
        </w:rPr>
        <w:t>Статья 7. Запрещённое совмещение функций</w:t>
      </w:r>
    </w:p>
    <w:p>
      <w:r>
        <w:t>Совет и входящие в него контуры не вправе:</w:t>
      </w:r>
    </w:p>
    <w:p>
      <w:pPr>
        <w:numPr>
          <w:ilvl w:val="0"/>
          <w:numId w:val="16"/>
        </w:numPr>
        <w:spacing w:after="160" w:line="280" w:lineRule="auto"/>
      </w:pPr>
      <w:r>
        <w:t>проводить экзамен конкретного гражданина или присваивать ему экспертный уровень;</w:t>
      </w:r>
    </w:p>
    <w:p>
      <w:pPr>
        <w:numPr>
          <w:ilvl w:val="0"/>
          <w:numId w:val="16"/>
        </w:numPr>
        <w:spacing w:after="160" w:line="280" w:lineRule="auto"/>
      </w:pPr>
      <w:r>
        <w:t>начислять конкретному гражданину образовательную надбавку;</w:t>
      </w:r>
    </w:p>
    <w:p>
      <w:pPr>
        <w:numPr>
          <w:ilvl w:val="0"/>
          <w:numId w:val="16"/>
        </w:numPr>
        <w:spacing w:after="160" w:line="280" w:lineRule="auto"/>
      </w:pPr>
      <w:r>
        <w:t>окончательно рассматривать жалобу на экзамен, статус, надбавку, классификацию темы или решение Совета;</w:t>
      </w:r>
    </w:p>
    <w:p>
      <w:pPr>
        <w:numPr>
          <w:ilvl w:val="0"/>
          <w:numId w:val="16"/>
        </w:numPr>
        <w:spacing w:after="160" w:line="280" w:lineRule="auto"/>
      </w:pPr>
      <w:r>
        <w:t>самостоятельно проводить выборы, жеребьёвку или референдум;</w:t>
      </w:r>
    </w:p>
    <w:p>
      <w:pPr>
        <w:numPr>
          <w:ilvl w:val="0"/>
          <w:numId w:val="16"/>
        </w:numPr>
        <w:spacing w:after="160" w:line="280" w:lineRule="auto"/>
      </w:pPr>
      <w:r>
        <w:t>изменять исполняемую формулу, код или реестровый снимок без предусмотренного нормативного решения;</w:t>
      </w:r>
    </w:p>
    <w:p>
      <w:pPr>
        <w:numPr>
          <w:ilvl w:val="0"/>
          <w:numId w:val="16"/>
        </w:numPr>
        <w:spacing w:after="160" w:line="280" w:lineRule="auto"/>
      </w:pPr>
      <w:r>
        <w:t>получать сведения о тайном выборе конкретного гражданина;</w:t>
      </w:r>
    </w:p>
    <w:p>
      <w:pPr>
        <w:numPr>
          <w:ilvl w:val="0"/>
          <w:numId w:val="16"/>
        </w:numPr>
        <w:spacing w:after="160" w:line="280" w:lineRule="auto"/>
      </w:pPr>
      <w:r>
        <w:t>менять правила применительно к уже зарегистрированной инициативе или после фиксации реестрового снимка;</w:t>
      </w:r>
    </w:p>
    <w:p>
      <w:pPr>
        <w:numPr>
          <w:ilvl w:val="0"/>
          <w:numId w:val="16"/>
        </w:numPr>
        <w:spacing w:after="160" w:line="280" w:lineRule="auto"/>
      </w:pPr>
      <w:r>
        <w:t>предоставлять Госплану, предприятию, профессиональной ассоциации или поставщику исключительный доступ к данным либо модели;</w:t>
      </w:r>
    </w:p>
    <w:p>
      <w:pPr>
        <w:numPr>
          <w:ilvl w:val="0"/>
          <w:numId w:val="16"/>
        </w:numPr>
        <w:spacing w:after="160" w:line="280" w:lineRule="auto"/>
      </w:pPr>
      <w:r>
        <w:t>передавать представленным в Коллегии организациям бюджетные средства или контракты в обмен на поддержку.</w:t>
      </w:r>
    </w:p>
    <w:p>
      <w:pPr>
        <w:pStyle w:val="Heading2"/>
      </w:pPr>
      <w:r>
        <w:rPr>
          <w:rFonts w:ascii="Calibri" w:hAnsi="Calibri" w:eastAsia="Calibri"/>
          <w:b/>
          <w:color w:val="2E74B5"/>
          <w:sz w:val="26"/>
        </w:rPr>
        <w:t>Статья 8. Организационная система</w:t>
      </w:r>
    </w:p>
    <w:p>
      <w:r>
        <w:t>Система включает:</w:t>
      </w:r>
    </w:p>
    <w:p>
      <w:pPr>
        <w:numPr>
          <w:ilvl w:val="0"/>
          <w:numId w:val="17"/>
        </w:numPr>
        <w:spacing w:after="160" w:line="280" w:lineRule="auto"/>
      </w:pPr>
      <w:r>
        <w:t>Палату общественного мандата;</w:t>
      </w:r>
    </w:p>
    <w:p>
      <w:pPr>
        <w:numPr>
          <w:ilvl w:val="0"/>
          <w:numId w:val="17"/>
        </w:numPr>
        <w:spacing w:after="160" w:line="280" w:lineRule="auto"/>
      </w:pPr>
      <w:r>
        <w:t>Коллегию экономики, планирования и общественных последствий;</w:t>
      </w:r>
    </w:p>
    <w:p>
      <w:pPr>
        <w:numPr>
          <w:ilvl w:val="0"/>
          <w:numId w:val="17"/>
        </w:numPr>
        <w:spacing w:after="160" w:line="280" w:lineRule="auto"/>
      </w:pPr>
      <w:r>
        <w:t>Независимую комиссию выборов и жребия;</w:t>
      </w:r>
    </w:p>
    <w:p>
      <w:pPr>
        <w:numPr>
          <w:ilvl w:val="0"/>
          <w:numId w:val="17"/>
        </w:numPr>
        <w:spacing w:after="160" w:line="280" w:lineRule="auto"/>
      </w:pPr>
      <w:r>
        <w:t>Агентство экзаменов и аккредитации;</w:t>
      </w:r>
    </w:p>
    <w:p>
      <w:pPr>
        <w:numPr>
          <w:ilvl w:val="0"/>
          <w:numId w:val="17"/>
        </w:numPr>
        <w:spacing w:after="160" w:line="280" w:lineRule="auto"/>
      </w:pPr>
      <w:r>
        <w:t>Службу тематической классификации;</w:t>
      </w:r>
    </w:p>
    <w:p>
      <w:pPr>
        <w:numPr>
          <w:ilvl w:val="0"/>
          <w:numId w:val="17"/>
        </w:numPr>
        <w:spacing w:after="160" w:line="280" w:lineRule="auto"/>
      </w:pPr>
      <w:r>
        <w:t>Агентство общегражданской образовательной квалификации;</w:t>
      </w:r>
    </w:p>
    <w:p>
      <w:pPr>
        <w:numPr>
          <w:ilvl w:val="0"/>
          <w:numId w:val="17"/>
        </w:numPr>
        <w:spacing w:after="160" w:line="280" w:lineRule="auto"/>
      </w:pPr>
      <w:r>
        <w:t>Бюро методологии и оценки последствий;</w:t>
      </w:r>
    </w:p>
    <w:p>
      <w:pPr>
        <w:numPr>
          <w:ilvl w:val="0"/>
          <w:numId w:val="17"/>
        </w:numPr>
        <w:spacing w:after="160" w:line="280" w:lineRule="auto"/>
      </w:pPr>
      <w:r>
        <w:t>Оператора цифрового реестра;</w:t>
      </w:r>
    </w:p>
    <w:p>
      <w:pPr>
        <w:numPr>
          <w:ilvl w:val="0"/>
          <w:numId w:val="17"/>
        </w:numPr>
        <w:spacing w:after="160" w:line="280" w:lineRule="auto"/>
      </w:pPr>
      <w:r>
        <w:t>Трибунал голосовых прав;</w:t>
      </w:r>
    </w:p>
    <w:p>
      <w:pPr>
        <w:numPr>
          <w:ilvl w:val="0"/>
          <w:numId w:val="17"/>
        </w:numPr>
        <w:spacing w:after="160" w:line="280" w:lineRule="auto"/>
      </w:pPr>
      <w:r>
        <w:t>Омбудсмана участия;</w:t>
      </w:r>
    </w:p>
    <w:p>
      <w:pPr>
        <w:numPr>
          <w:ilvl w:val="0"/>
          <w:numId w:val="17"/>
        </w:numPr>
        <w:spacing w:after="160" w:line="280" w:lineRule="auto"/>
      </w:pPr>
      <w:r>
        <w:t>Инспектора этики и внешний алгоритмический, финансовый и процедурный аудит.</w:t>
      </w:r>
    </w:p>
    <w:p>
      <w:r>
        <w:t>Ни один орган не может применительно к одному гражданину и одному голосованию одновременно выполнять две из следующих функций: присвоение статуса, определение тематической применимости, расчёт веса и рассмотрение жалобы.</w:t>
      </w:r>
    </w:p>
    <w:p>
      <w:pPr>
        <w:pStyle w:val="Heading1"/>
      </w:pPr>
      <w:r>
        <w:rPr>
          <w:rFonts w:ascii="Calibri" w:hAnsi="Calibri" w:eastAsia="Calibri"/>
          <w:b/>
          <w:color w:val="2E74B5"/>
          <w:sz w:val="32"/>
        </w:rPr>
        <w:t>III. Палата общественного мандата</w:t>
      </w:r>
    </w:p>
    <w:p>
      <w:pPr>
        <w:pStyle w:val="Heading2"/>
      </w:pPr>
      <w:r>
        <w:rPr>
          <w:rFonts w:ascii="Calibri" w:hAnsi="Calibri" w:eastAsia="Calibri"/>
          <w:b/>
          <w:color w:val="2E74B5"/>
          <w:sz w:val="26"/>
        </w:rPr>
        <w:t>Статья 9. Состав Палаты</w:t>
      </w:r>
    </w:p>
    <w:p>
      <w:pPr>
        <w:numPr>
          <w:ilvl w:val="0"/>
          <w:numId w:val="18"/>
        </w:numPr>
        <w:spacing w:after="160" w:line="280" w:lineRule="auto"/>
      </w:pPr>
      <w:r>
        <w:t>Палата общественного мандата состоит из 27 членов.</w:t>
      </w:r>
    </w:p>
    <w:p>
      <w:pPr>
        <w:numPr>
          <w:ilvl w:val="0"/>
          <w:numId w:val="18"/>
        </w:numPr>
        <w:spacing w:after="160" w:line="280" w:lineRule="auto"/>
      </w:pPr>
      <w:r>
        <w:t>Восемнадцать членов являются гражданскими представителями, выбранными стратифицированным жребием.</w:t>
      </w:r>
    </w:p>
    <w:p>
      <w:pPr>
        <w:numPr>
          <w:ilvl w:val="0"/>
          <w:numId w:val="18"/>
        </w:numPr>
        <w:spacing w:after="160" w:line="280" w:lineRule="auto"/>
      </w:pPr>
      <w:r>
        <w:t>Девять членов являются территориальными представителями, избранными прямым рейтинговым голосованием по одному от каждого устойчивого макрорегиона.</w:t>
      </w:r>
    </w:p>
    <w:p>
      <w:pPr>
        <w:numPr>
          <w:ilvl w:val="0"/>
          <w:numId w:val="18"/>
        </w:numPr>
        <w:spacing w:after="160" w:line="280" w:lineRule="auto"/>
      </w:pPr>
      <w:r>
        <w:t>Каждый член имеет один голос. Экспертные веса граждан не применяются внутри Палаты.</w:t>
      </w:r>
    </w:p>
    <w:p>
      <w:pPr>
        <w:numPr>
          <w:ilvl w:val="0"/>
          <w:numId w:val="18"/>
        </w:numPr>
        <w:spacing w:after="160" w:line="280" w:lineRule="auto"/>
      </w:pPr>
      <w:r>
        <w:t>Член Палаты не связан обязательным поручением и отвечает за личное мотивированное решение.</w:t>
      </w:r>
    </w:p>
    <w:p>
      <w:pPr>
        <w:pStyle w:val="Heading2"/>
      </w:pPr>
      <w:r>
        <w:rPr>
          <w:rFonts w:ascii="Calibri" w:hAnsi="Calibri" w:eastAsia="Calibri"/>
          <w:b/>
          <w:color w:val="2E74B5"/>
          <w:sz w:val="26"/>
        </w:rPr>
        <w:t>Статья 10. Гражданские представители</w:t>
      </w:r>
    </w:p>
    <w:p>
      <w:pPr>
        <w:numPr>
          <w:ilvl w:val="0"/>
          <w:numId w:val="19"/>
        </w:numPr>
        <w:spacing w:after="160" w:line="280" w:lineRule="auto"/>
      </w:pPr>
      <w:r>
        <w:t>В первичный пул включаются все совершеннолетние граждане без экзамена на политическую или экспертную пригодность.</w:t>
      </w:r>
    </w:p>
    <w:p>
      <w:pPr>
        <w:numPr>
          <w:ilvl w:val="0"/>
          <w:numId w:val="19"/>
        </w:numPr>
        <w:spacing w:after="160" w:line="280" w:lineRule="auto"/>
      </w:pPr>
      <w:r>
        <w:t>Комиссия выборов и жребия направляет случайные приглашения в объёме, достаточном для проверки самоотбора и формирования резерва.</w:t>
      </w:r>
    </w:p>
    <w:p>
      <w:pPr>
        <w:numPr>
          <w:ilvl w:val="0"/>
          <w:numId w:val="19"/>
        </w:numPr>
        <w:spacing w:after="160" w:line="280" w:lineRule="auto"/>
      </w:pPr>
      <w:r>
        <w:t>Итоговый отбор учитывает территорию, тип поселения, возраст, пол, образование, доход, положение на рынке труда, инвалидность и иные признаки, необходимые для приближения выборки к составу общества.</w:t>
      </w:r>
    </w:p>
    <w:p>
      <w:pPr>
        <w:numPr>
          <w:ilvl w:val="0"/>
          <w:numId w:val="19"/>
        </w:numPr>
        <w:spacing w:after="160" w:line="280" w:lineRule="auto"/>
      </w:pPr>
      <w:r>
        <w:t>Алгоритм, исходный код, источник случайного числа, число приглашений, отказы, замещения и итоговые отклонения публикуются.</w:t>
      </w:r>
    </w:p>
    <w:p>
      <w:pPr>
        <w:numPr>
          <w:ilvl w:val="0"/>
          <w:numId w:val="19"/>
        </w:numPr>
        <w:spacing w:after="160" w:line="280" w:lineRule="auto"/>
      </w:pPr>
      <w:r>
        <w:t>До начала полномочий проводится оплачиваемый курс подготовки продолжительностью не менее шести полных дней с участием сторон, представляющих разные позиции. Курс не завершается квалификационным экзаменом.</w:t>
      </w:r>
    </w:p>
    <w:p>
      <w:pPr>
        <w:numPr>
          <w:ilvl w:val="0"/>
          <w:numId w:val="19"/>
        </w:numPr>
        <w:spacing w:after="160" w:line="280" w:lineRule="auto"/>
      </w:pPr>
      <w:r>
        <w:t>Государство компенсирует время, проезд, проживание, уход за детьми и зависимыми лицами. Работодатель сохраняет рабочее место члена Палаты.</w:t>
      </w:r>
    </w:p>
    <w:p>
      <w:pPr>
        <w:numPr>
          <w:ilvl w:val="0"/>
          <w:numId w:val="19"/>
        </w:numPr>
        <w:spacing w:after="160" w:line="280" w:lineRule="auto"/>
      </w:pPr>
      <w:r>
        <w:t>Действующий высший государственный руководитель, оплачиваемый лоббист, руководитель политической партии, поставщик системы голосования или член другого органа этой системы не может занимать гражданское место.</w:t>
      </w:r>
    </w:p>
    <w:p>
      <w:pPr>
        <w:pStyle w:val="Heading2"/>
      </w:pPr>
      <w:r>
        <w:rPr>
          <w:rFonts w:ascii="Calibri" w:hAnsi="Calibri" w:eastAsia="Calibri"/>
          <w:b/>
          <w:color w:val="2E74B5"/>
          <w:sz w:val="26"/>
        </w:rPr>
        <w:t>Статья 11. Территориальные представители</w:t>
      </w:r>
    </w:p>
    <w:p>
      <w:pPr>
        <w:numPr>
          <w:ilvl w:val="0"/>
          <w:numId w:val="20"/>
        </w:numPr>
        <w:spacing w:after="160" w:line="280" w:lineRule="auto"/>
      </w:pPr>
      <w:r>
        <w:t>Границы девяти макрорегионов устанавливаются отдельным законом и не могут изменяться Советом или Госпланом.</w:t>
      </w:r>
    </w:p>
    <w:p>
      <w:pPr>
        <w:numPr>
          <w:ilvl w:val="0"/>
          <w:numId w:val="20"/>
        </w:numPr>
        <w:spacing w:after="160" w:line="280" w:lineRule="auto"/>
      </w:pPr>
      <w:r>
        <w:t>Макрорегионы должны быть территориально связными; отклонение численности избирателей от среднего допускается только по объективным географическим и инфраструктурным основаниям.</w:t>
      </w:r>
    </w:p>
    <w:p>
      <w:pPr>
        <w:numPr>
          <w:ilvl w:val="0"/>
          <w:numId w:val="20"/>
        </w:numPr>
        <w:spacing w:after="160" w:line="280" w:lineRule="auto"/>
      </w:pPr>
      <w:r>
        <w:t>Избиратель ранжирует кандидатов. Победитель определяется переносом предпочтений по правилам избирательного кодекса.</w:t>
      </w:r>
    </w:p>
    <w:p>
      <w:pPr>
        <w:numPr>
          <w:ilvl w:val="0"/>
          <w:numId w:val="20"/>
        </w:numPr>
        <w:spacing w:after="160" w:line="280" w:lineRule="auto"/>
      </w:pPr>
      <w:r>
        <w:t>Корпоративные пожертвования запрещены. Комиссия предоставляет кандидатам равный базовый объём финансирования, публичную страницу и время для дебатов.</w:t>
      </w:r>
    </w:p>
    <w:p>
      <w:pPr>
        <w:numPr>
          <w:ilvl w:val="0"/>
          <w:numId w:val="20"/>
        </w:numPr>
        <w:spacing w:after="160" w:line="280" w:lineRule="auto"/>
      </w:pPr>
      <w:r>
        <w:t>Партийная, профессиональная, имущественная и организационная принадлежность кандидата раскрывается до голосования.</w:t>
      </w:r>
    </w:p>
    <w:p>
      <w:pPr>
        <w:numPr>
          <w:ilvl w:val="0"/>
          <w:numId w:val="20"/>
        </w:numPr>
        <w:spacing w:after="160" w:line="280" w:lineRule="auto"/>
      </w:pPr>
      <w:r>
        <w:t>Территориальный представитель может занимать не более двух последовательных сроков.</w:t>
      </w:r>
    </w:p>
    <w:p>
      <w:pPr>
        <w:pStyle w:val="Heading2"/>
      </w:pPr>
      <w:r>
        <w:rPr>
          <w:rFonts w:ascii="Calibri" w:hAnsi="Calibri" w:eastAsia="Calibri"/>
          <w:b/>
          <w:color w:val="2E74B5"/>
          <w:sz w:val="26"/>
        </w:rPr>
        <w:t>Статья 12. Срок и ротация</w:t>
      </w:r>
    </w:p>
    <w:p>
      <w:pPr>
        <w:numPr>
          <w:ilvl w:val="0"/>
          <w:numId w:val="21"/>
        </w:numPr>
        <w:spacing w:after="160" w:line="280" w:lineRule="auto"/>
      </w:pPr>
      <w:r>
        <w:t>Срок полномочий члена Палаты — три года.</w:t>
      </w:r>
    </w:p>
    <w:p>
      <w:pPr>
        <w:numPr>
          <w:ilvl w:val="0"/>
          <w:numId w:val="21"/>
        </w:numPr>
        <w:spacing w:after="160" w:line="280" w:lineRule="auto"/>
      </w:pPr>
      <w:r>
        <w:t>Ежегодно заменяются шесть гражданских и три территориальных представителя.</w:t>
      </w:r>
    </w:p>
    <w:p>
      <w:pPr>
        <w:numPr>
          <w:ilvl w:val="0"/>
          <w:numId w:val="21"/>
        </w:numPr>
        <w:spacing w:after="160" w:line="280" w:lineRule="auto"/>
      </w:pPr>
      <w:r>
        <w:t>Непосредственный повторный срок гражданского представителя запрещён. Его повторное включение в пул допускается не ранее чем через шесть лет.</w:t>
      </w:r>
    </w:p>
    <w:p>
      <w:pPr>
        <w:numPr>
          <w:ilvl w:val="0"/>
          <w:numId w:val="21"/>
        </w:numPr>
        <w:spacing w:after="160" w:line="280" w:lineRule="auto"/>
      </w:pPr>
      <w:r>
        <w:t>Первоначальные сроки в один, два и три года распределяются публичным жребием, чтобы запустить ежегодную ротацию.</w:t>
      </w:r>
    </w:p>
    <w:p>
      <w:pPr>
        <w:pStyle w:val="Heading2"/>
      </w:pPr>
      <w:r>
        <w:rPr>
          <w:rFonts w:ascii="Calibri" w:hAnsi="Calibri" w:eastAsia="Calibri"/>
          <w:b/>
          <w:color w:val="2E74B5"/>
          <w:sz w:val="26"/>
        </w:rPr>
        <w:t>Статья 13. Руководство и кворум</w:t>
      </w:r>
    </w:p>
    <w:p>
      <w:pPr>
        <w:numPr>
          <w:ilvl w:val="0"/>
          <w:numId w:val="22"/>
        </w:numPr>
        <w:spacing w:after="160" w:line="280" w:lineRule="auto"/>
      </w:pPr>
      <w:r>
        <w:t>Палата ежегодно избирает двух сопредседателей: одного из гражданских и одного из территориальных представителей.</w:t>
      </w:r>
    </w:p>
    <w:p>
      <w:pPr>
        <w:numPr>
          <w:ilvl w:val="0"/>
          <w:numId w:val="22"/>
        </w:numPr>
        <w:spacing w:after="160" w:line="280" w:lineRule="auto"/>
      </w:pPr>
      <w:r>
        <w:t>Сопредседатели организуют заседание, но не определяют повестку единолично и не имеют решающего голоса при равенстве.</w:t>
      </w:r>
    </w:p>
    <w:p>
      <w:pPr>
        <w:numPr>
          <w:ilvl w:val="0"/>
          <w:numId w:val="22"/>
        </w:numPr>
        <w:spacing w:after="160" w:line="280" w:lineRule="auto"/>
      </w:pPr>
      <w:r>
        <w:t>Кворум составляет 21 член, включая не менее двенадцати гражданских и шести территориальных представителей.</w:t>
      </w:r>
    </w:p>
    <w:p>
      <w:pPr>
        <w:numPr>
          <w:ilvl w:val="0"/>
          <w:numId w:val="22"/>
        </w:numPr>
        <w:spacing w:after="160" w:line="280" w:lineRule="auto"/>
      </w:pPr>
      <w:r>
        <w:t>Пороги решений, меняющих политические права, считаются от полного установленного состава, а не от присутствующих или оставшихся после отвода.</w:t>
      </w:r>
    </w:p>
    <w:p>
      <w:pPr>
        <w:numPr>
          <w:ilvl w:val="0"/>
          <w:numId w:val="22"/>
        </w:numPr>
        <w:spacing w:after="160" w:line="280" w:lineRule="auto"/>
      </w:pPr>
      <w:r>
        <w:t>Заседания, материалы, поимённые голоса и особые мнения открыты, кроме охраняемых законом персональных данных.</w:t>
      </w:r>
    </w:p>
    <w:p>
      <w:pPr>
        <w:pStyle w:val="Heading2"/>
      </w:pPr>
      <w:r>
        <w:rPr>
          <w:rFonts w:ascii="Calibri" w:hAnsi="Calibri" w:eastAsia="Calibri"/>
          <w:b/>
          <w:color w:val="2E74B5"/>
          <w:sz w:val="26"/>
        </w:rPr>
        <w:t>Статья 14. Вакансии и прекращение полномочий</w:t>
      </w:r>
    </w:p>
    <w:p>
      <w:pPr>
        <w:numPr>
          <w:ilvl w:val="0"/>
          <w:numId w:val="23"/>
        </w:numPr>
        <w:spacing w:after="160" w:line="280" w:lineRule="auto"/>
      </w:pPr>
      <w:r>
        <w:t>Для гражданского места заранее формируется стратифицированная резервная очередь; замещение не должно нарушать основные параметры выборки.</w:t>
      </w:r>
    </w:p>
    <w:p>
      <w:pPr>
        <w:numPr>
          <w:ilvl w:val="0"/>
          <w:numId w:val="23"/>
        </w:numPr>
        <w:spacing w:after="160" w:line="280" w:lineRule="auto"/>
      </w:pPr>
      <w:r>
        <w:t>Территориальное место занимает следующий кандидат по итогам переноса предпочтений. При отсутствии резервного кандидата дополнительные выборы проводятся в течение шестидесяти дней.</w:t>
      </w:r>
    </w:p>
    <w:p>
      <w:pPr>
        <w:numPr>
          <w:ilvl w:val="0"/>
          <w:numId w:val="23"/>
        </w:numPr>
        <w:spacing w:after="160" w:line="280" w:lineRule="auto"/>
      </w:pPr>
      <w:r>
        <w:t>Член не может быть удалён Палатой за позицию или голосование.</w:t>
      </w:r>
    </w:p>
    <w:p>
      <w:pPr>
        <w:numPr>
          <w:ilvl w:val="0"/>
          <w:numId w:val="23"/>
        </w:numPr>
        <w:spacing w:after="160" w:line="280" w:lineRule="auto"/>
      </w:pPr>
      <w:r>
        <w:t>Полномочия прекращаются Трибуналом за установленную несовместимость, сокрытый существенный конфликт, коррупцию, утрату гражданства, длительную неспособность исполнять обязанности или иное прямо предусмотренное законом основание.</w:t>
      </w:r>
    </w:p>
    <w:p>
      <w:pPr>
        <w:numPr>
          <w:ilvl w:val="0"/>
          <w:numId w:val="23"/>
        </w:numPr>
        <w:spacing w:after="160" w:line="280" w:lineRule="auto"/>
      </w:pPr>
      <w:r>
        <w:t>При вакантности более трёх мест решения о метаправилах не принимаются.</w:t>
      </w:r>
    </w:p>
    <w:p>
      <w:pPr>
        <w:pStyle w:val="Heading1"/>
      </w:pPr>
      <w:r>
        <w:rPr>
          <w:rFonts w:ascii="Calibri" w:hAnsi="Calibri" w:eastAsia="Calibri"/>
          <w:b/>
          <w:color w:val="2E74B5"/>
          <w:sz w:val="32"/>
        </w:rPr>
        <w:t>IV. Коллегия экономики, планирования и общественных последствий</w:t>
      </w:r>
    </w:p>
    <w:p>
      <w:pPr>
        <w:pStyle w:val="Heading2"/>
      </w:pPr>
      <w:r>
        <w:rPr>
          <w:rFonts w:ascii="Calibri" w:hAnsi="Calibri" w:eastAsia="Calibri"/>
          <w:b/>
          <w:color w:val="2E74B5"/>
          <w:sz w:val="26"/>
        </w:rPr>
        <w:t>Статья 15. Статус Коллегии</w:t>
      </w:r>
    </w:p>
    <w:p>
      <w:pPr>
        <w:numPr>
          <w:ilvl w:val="0"/>
          <w:numId w:val="24"/>
        </w:numPr>
        <w:spacing w:after="160" w:line="280" w:lineRule="auto"/>
      </w:pPr>
      <w:r>
        <w:t>Коллегия является самостоятельным контуром оценки последствий, а не второй суверенной палатой.</w:t>
      </w:r>
    </w:p>
    <w:p>
      <w:pPr>
        <w:numPr>
          <w:ilvl w:val="0"/>
          <w:numId w:val="24"/>
        </w:numPr>
        <w:spacing w:after="160" w:line="280" w:lineRule="auto"/>
      </w:pPr>
      <w:r>
        <w:t>Она проверяет влияние проектов на государственный план, межотраслевые балансы, бюджет, инвестиции, инфраструктуру, предприятия, труд, домашние хозяйства, территории, конкуренцию и статистическую достоверность.</w:t>
      </w:r>
    </w:p>
    <w:p>
      <w:pPr>
        <w:numPr>
          <w:ilvl w:val="0"/>
          <w:numId w:val="24"/>
        </w:numPr>
        <w:spacing w:after="160" w:line="280" w:lineRule="auto"/>
      </w:pPr>
      <w:r>
        <w:t>Коллегия принимает только обычное заключение, плановое предупреждение, однократный возврат и особое мнение.</w:t>
      </w:r>
    </w:p>
    <w:p>
      <w:pPr>
        <w:numPr>
          <w:ilvl w:val="0"/>
          <w:numId w:val="24"/>
        </w:numPr>
        <w:spacing w:after="160" w:line="280" w:lineRule="auto"/>
      </w:pPr>
      <w:r>
        <w:t>Коллегия не распределяет политические веса и не отменяет решения равного референдума.</w:t>
      </w:r>
    </w:p>
    <w:p>
      <w:pPr>
        <w:pStyle w:val="Heading2"/>
      </w:pPr>
      <w:r>
        <w:rPr>
          <w:rFonts w:ascii="Calibri" w:hAnsi="Calibri" w:eastAsia="Calibri"/>
          <w:b/>
          <w:color w:val="2E74B5"/>
          <w:sz w:val="26"/>
        </w:rPr>
        <w:t>Статья 16. Состав Коллегии</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7800"/>
        <w:gridCol w:w="1560"/>
      </w:tblGrid>
      <w:tr>
        <w:trPr>
          <w:tblHeader w:val="true"/>
        </w:trPr>
        <w:tc>
          <w:tcPr>
            <w:tcW w:type="dxa" w:w="7800"/>
            <w:tcMar>
              <w:top w:w="80" w:type="dxa"/>
              <w:bottom w:w="80" w:type="dxa"/>
              <w:start w:w="120" w:type="dxa"/>
              <w:end w:w="120" w:type="dxa"/>
            </w:tcMar>
            <w:vAlign w:val="center"/>
            <w:shd w:fill="F2F4F7" w:val="clear"/>
          </w:tcPr>
          <w:p>
            <w:pPr>
              <w:spacing w:before="0" w:after="0" w:line="252" w:lineRule="auto"/>
            </w:pPr>
            <w:r>
              <w:rPr>
                <w:rFonts w:ascii="Calibri" w:hAnsi="Calibri" w:eastAsia="Calibri"/>
                <w:b/>
                <w:sz w:val="19"/>
              </w:rPr>
              <w:t>Канал</w:t>
            </w:r>
          </w:p>
        </w:tc>
        <w:tc>
          <w:tcPr>
            <w:tcW w:type="dxa" w:w="1560"/>
            <w:tcMar>
              <w:top w:w="80" w:type="dxa"/>
              <w:bottom w:w="80" w:type="dxa"/>
              <w:start w:w="120" w:type="dxa"/>
              <w:end w:w="120" w:type="dxa"/>
            </w:tcMar>
            <w:vAlign w:val="center"/>
            <w:shd w:fill="F2F4F7" w:val="clear"/>
          </w:tcPr>
          <w:p>
            <w:pPr>
              <w:spacing w:before="0" w:after="0" w:line="252" w:lineRule="auto"/>
              <w:jc w:val="center"/>
            </w:pPr>
            <w:r>
              <w:rPr>
                <w:rFonts w:ascii="Calibri" w:hAnsi="Calibri" w:eastAsia="Calibri"/>
                <w:b/>
                <w:sz w:val="19"/>
              </w:rPr>
              <w:t>Число мест</w:t>
            </w:r>
          </w:p>
        </w:tc>
      </w:tr>
      <w:tr>
        <w:tc>
          <w:tcPr>
            <w:tcW w:type="dxa" w:w="7800"/>
            <w:tcMar>
              <w:top w:w="80" w:type="dxa"/>
              <w:bottom w:w="80" w:type="dxa"/>
              <w:start w:w="120" w:type="dxa"/>
              <w:end w:w="120" w:type="dxa"/>
            </w:tcMar>
            <w:vAlign w:val="center"/>
          </w:tcPr>
          <w:p>
            <w:pPr>
              <w:spacing w:before="0" w:after="0" w:line="252" w:lineRule="auto"/>
            </w:pPr>
            <w:r>
              <w:rPr>
                <w:rFonts w:ascii="Calibri" w:hAnsi="Calibri" w:eastAsia="Calibri"/>
                <w:b w:val="0"/>
                <w:sz w:val="19"/>
              </w:rPr>
              <w:t>Госплан и публичное планирование</w:t>
            </w:r>
          </w:p>
        </w:tc>
        <w:tc>
          <w:tcPr>
            <w:tcW w:type="dxa" w:w="1560"/>
            <w:tcMar>
              <w:top w:w="80" w:type="dxa"/>
              <w:bottom w:w="80" w:type="dxa"/>
              <w:start w:w="120" w:type="dxa"/>
              <w:end w:w="120" w:type="dxa"/>
            </w:tcMar>
            <w:vAlign w:val="center"/>
          </w:tcPr>
          <w:p>
            <w:pPr>
              <w:spacing w:before="0" w:after="0" w:line="252" w:lineRule="auto"/>
              <w:jc w:val="center"/>
            </w:pPr>
            <w:r>
              <w:rPr>
                <w:rFonts w:ascii="Calibri" w:hAnsi="Calibri" w:eastAsia="Calibri"/>
                <w:b w:val="0"/>
                <w:sz w:val="19"/>
              </w:rPr>
              <w:t>9</w:t>
            </w:r>
          </w:p>
        </w:tc>
      </w:tr>
      <w:tr>
        <w:tc>
          <w:tcPr>
            <w:tcW w:type="dxa" w:w="7800"/>
            <w:tcMar>
              <w:top w:w="80" w:type="dxa"/>
              <w:bottom w:w="80" w:type="dxa"/>
              <w:start w:w="120" w:type="dxa"/>
              <w:end w:w="120" w:type="dxa"/>
            </w:tcMar>
            <w:vAlign w:val="center"/>
          </w:tcPr>
          <w:p>
            <w:pPr>
              <w:spacing w:before="0" w:after="0" w:line="252" w:lineRule="auto"/>
            </w:pPr>
            <w:r>
              <w:rPr>
                <w:rFonts w:ascii="Calibri" w:hAnsi="Calibri" w:eastAsia="Calibri"/>
                <w:b w:val="0"/>
                <w:sz w:val="19"/>
              </w:rPr>
              <w:t>Стратегические и крупные предприятия</w:t>
            </w:r>
          </w:p>
        </w:tc>
        <w:tc>
          <w:tcPr>
            <w:tcW w:type="dxa" w:w="1560"/>
            <w:tcMar>
              <w:top w:w="80" w:type="dxa"/>
              <w:bottom w:w="80" w:type="dxa"/>
              <w:start w:w="120" w:type="dxa"/>
              <w:end w:w="120" w:type="dxa"/>
            </w:tcMar>
            <w:vAlign w:val="center"/>
          </w:tcPr>
          <w:p>
            <w:pPr>
              <w:spacing w:before="0" w:after="0" w:line="252" w:lineRule="auto"/>
              <w:jc w:val="center"/>
            </w:pPr>
            <w:r>
              <w:rPr>
                <w:rFonts w:ascii="Calibri" w:hAnsi="Calibri" w:eastAsia="Calibri"/>
                <w:b w:val="0"/>
                <w:sz w:val="19"/>
              </w:rPr>
              <w:t>4</w:t>
            </w:r>
          </w:p>
        </w:tc>
      </w:tr>
      <w:tr>
        <w:tc>
          <w:tcPr>
            <w:tcW w:type="dxa" w:w="7800"/>
            <w:tcMar>
              <w:top w:w="80" w:type="dxa"/>
              <w:bottom w:w="80" w:type="dxa"/>
              <w:start w:w="120" w:type="dxa"/>
              <w:end w:w="120" w:type="dxa"/>
            </w:tcMar>
            <w:vAlign w:val="center"/>
          </w:tcPr>
          <w:p>
            <w:pPr>
              <w:spacing w:before="0" w:after="0" w:line="252" w:lineRule="auto"/>
            </w:pPr>
            <w:r>
              <w:rPr>
                <w:rFonts w:ascii="Calibri" w:hAnsi="Calibri" w:eastAsia="Calibri"/>
                <w:b w:val="0"/>
                <w:sz w:val="19"/>
              </w:rPr>
              <w:t>МСП, кооперативы, фермеры и самозанятые</w:t>
            </w:r>
          </w:p>
        </w:tc>
        <w:tc>
          <w:tcPr>
            <w:tcW w:type="dxa" w:w="1560"/>
            <w:tcMar>
              <w:top w:w="80" w:type="dxa"/>
              <w:bottom w:w="80" w:type="dxa"/>
              <w:start w:w="120" w:type="dxa"/>
              <w:end w:w="120" w:type="dxa"/>
            </w:tcMar>
            <w:vAlign w:val="center"/>
          </w:tcPr>
          <w:p>
            <w:pPr>
              <w:spacing w:before="0" w:after="0" w:line="252" w:lineRule="auto"/>
              <w:jc w:val="center"/>
            </w:pPr>
            <w:r>
              <w:rPr>
                <w:rFonts w:ascii="Calibri" w:hAnsi="Calibri" w:eastAsia="Calibri"/>
                <w:b w:val="0"/>
                <w:sz w:val="19"/>
              </w:rPr>
              <w:t>4</w:t>
            </w:r>
          </w:p>
        </w:tc>
      </w:tr>
      <w:tr>
        <w:tc>
          <w:tcPr>
            <w:tcW w:type="dxa" w:w="7800"/>
            <w:tcMar>
              <w:top w:w="80" w:type="dxa"/>
              <w:bottom w:w="80" w:type="dxa"/>
              <w:start w:w="120" w:type="dxa"/>
              <w:end w:w="120" w:type="dxa"/>
            </w:tcMar>
            <w:vAlign w:val="center"/>
          </w:tcPr>
          <w:p>
            <w:pPr>
              <w:spacing w:before="0" w:after="0" w:line="252" w:lineRule="auto"/>
            </w:pPr>
            <w:r>
              <w:rPr>
                <w:rFonts w:ascii="Calibri" w:hAnsi="Calibri" w:eastAsia="Calibri"/>
                <w:b w:val="0"/>
                <w:sz w:val="19"/>
              </w:rPr>
              <w:t>Работники</w:t>
            </w:r>
          </w:p>
        </w:tc>
        <w:tc>
          <w:tcPr>
            <w:tcW w:type="dxa" w:w="1560"/>
            <w:tcMar>
              <w:top w:w="80" w:type="dxa"/>
              <w:bottom w:w="80" w:type="dxa"/>
              <w:start w:w="120" w:type="dxa"/>
              <w:end w:w="120" w:type="dxa"/>
            </w:tcMar>
            <w:vAlign w:val="center"/>
          </w:tcPr>
          <w:p>
            <w:pPr>
              <w:spacing w:before="0" w:after="0" w:line="252" w:lineRule="auto"/>
              <w:jc w:val="center"/>
            </w:pPr>
            <w:r>
              <w:rPr>
                <w:rFonts w:ascii="Calibri" w:hAnsi="Calibri" w:eastAsia="Calibri"/>
                <w:b w:val="0"/>
                <w:sz w:val="19"/>
              </w:rPr>
              <w:t>4</w:t>
            </w:r>
          </w:p>
        </w:tc>
      </w:tr>
      <w:tr>
        <w:tc>
          <w:tcPr>
            <w:tcW w:type="dxa" w:w="7800"/>
            <w:tcMar>
              <w:top w:w="80" w:type="dxa"/>
              <w:bottom w:w="80" w:type="dxa"/>
              <w:start w:w="120" w:type="dxa"/>
              <w:end w:w="120" w:type="dxa"/>
            </w:tcMar>
            <w:vAlign w:val="center"/>
          </w:tcPr>
          <w:p>
            <w:pPr>
              <w:spacing w:before="0" w:after="0" w:line="252" w:lineRule="auto"/>
            </w:pPr>
            <w:r>
              <w:rPr>
                <w:rFonts w:ascii="Calibri" w:hAnsi="Calibri" w:eastAsia="Calibri"/>
                <w:b w:val="0"/>
                <w:sz w:val="19"/>
              </w:rPr>
              <w:t>Потребители, домашние хозяйства и общественные интересы</w:t>
            </w:r>
          </w:p>
        </w:tc>
        <w:tc>
          <w:tcPr>
            <w:tcW w:type="dxa" w:w="1560"/>
            <w:tcMar>
              <w:top w:w="80" w:type="dxa"/>
              <w:bottom w:w="80" w:type="dxa"/>
              <w:start w:w="120" w:type="dxa"/>
              <w:end w:w="120" w:type="dxa"/>
            </w:tcMar>
            <w:vAlign w:val="center"/>
          </w:tcPr>
          <w:p>
            <w:pPr>
              <w:spacing w:before="0" w:after="0" w:line="252" w:lineRule="auto"/>
              <w:jc w:val="center"/>
            </w:pPr>
            <w:r>
              <w:rPr>
                <w:rFonts w:ascii="Calibri" w:hAnsi="Calibri" w:eastAsia="Calibri"/>
                <w:b w:val="0"/>
                <w:sz w:val="19"/>
              </w:rPr>
              <w:t>4</w:t>
            </w:r>
          </w:p>
        </w:tc>
      </w:tr>
      <w:tr>
        <w:tc>
          <w:tcPr>
            <w:tcW w:type="dxa" w:w="7800"/>
            <w:tcMar>
              <w:top w:w="80" w:type="dxa"/>
              <w:bottom w:w="80" w:type="dxa"/>
              <w:start w:w="120" w:type="dxa"/>
              <w:end w:w="120" w:type="dxa"/>
            </w:tcMar>
            <w:vAlign w:val="center"/>
          </w:tcPr>
          <w:p>
            <w:pPr>
              <w:spacing w:before="0" w:after="0" w:line="252" w:lineRule="auto"/>
            </w:pPr>
            <w:r>
              <w:rPr>
                <w:rFonts w:ascii="Calibri" w:hAnsi="Calibri" w:eastAsia="Calibri"/>
                <w:b w:val="0"/>
                <w:sz w:val="19"/>
              </w:rPr>
              <w:t>Наука, статистика и публичные службы</w:t>
            </w:r>
          </w:p>
        </w:tc>
        <w:tc>
          <w:tcPr>
            <w:tcW w:type="dxa" w:w="1560"/>
            <w:tcMar>
              <w:top w:w="80" w:type="dxa"/>
              <w:bottom w:w="80" w:type="dxa"/>
              <w:start w:w="120" w:type="dxa"/>
              <w:end w:w="120" w:type="dxa"/>
            </w:tcMar>
            <w:vAlign w:val="center"/>
          </w:tcPr>
          <w:p>
            <w:pPr>
              <w:spacing w:before="0" w:after="0" w:line="252" w:lineRule="auto"/>
              <w:jc w:val="center"/>
            </w:pPr>
            <w:r>
              <w:rPr>
                <w:rFonts w:ascii="Calibri" w:hAnsi="Calibri" w:eastAsia="Calibri"/>
                <w:b w:val="0"/>
                <w:sz w:val="19"/>
              </w:rPr>
              <w:t>4</w:t>
            </w:r>
          </w:p>
        </w:tc>
      </w:tr>
    </w:tbl>
    <w:p>
      <w:pPr>
        <w:spacing w:before="0" w:after="80"/>
      </w:pPr>
    </w:p>
    <w:p>
      <w:pPr>
        <w:numPr>
          <w:ilvl w:val="0"/>
          <w:numId w:val="25"/>
        </w:numPr>
        <w:spacing w:after="160" w:line="280" w:lineRule="auto"/>
      </w:pPr>
      <w:r>
        <w:t>Общее число членов — 29.</w:t>
      </w:r>
    </w:p>
    <w:p>
      <w:pPr>
        <w:numPr>
          <w:ilvl w:val="0"/>
          <w:numId w:val="25"/>
        </w:numPr>
        <w:spacing w:after="160" w:line="280" w:lineRule="auto"/>
      </w:pPr>
      <w:r>
        <w:t>Каждый член имеет один голос. Усиленное положение Госплана обеспечивается числом мест, обязательным институциональным заключением и правом планового предупреждения, а не тайным умножением голоса.</w:t>
      </w:r>
    </w:p>
    <w:p>
      <w:pPr>
        <w:numPr>
          <w:ilvl w:val="0"/>
          <w:numId w:val="25"/>
        </w:numPr>
        <w:spacing w:after="160" w:line="280" w:lineRule="auto"/>
      </w:pPr>
      <w:r>
        <w:t>Девять представителей Госплана составляют крупнейший блок, но не могут единолично принять заключение, сформировать кворум или вернуть проект.</w:t>
      </w:r>
    </w:p>
    <w:p>
      <w:pPr>
        <w:pStyle w:val="Heading2"/>
      </w:pPr>
      <w:r>
        <w:rPr>
          <w:rFonts w:ascii="Calibri" w:hAnsi="Calibri" w:eastAsia="Calibri"/>
          <w:b/>
          <w:color w:val="2E74B5"/>
          <w:sz w:val="26"/>
        </w:rPr>
        <w:t>Статья 17. Представительство Госплана</w:t>
      </w:r>
    </w:p>
    <w:p>
      <w:pPr>
        <w:numPr>
          <w:ilvl w:val="0"/>
          <w:numId w:val="26"/>
        </w:numPr>
        <w:spacing w:after="160" w:line="280" w:lineRule="auto"/>
      </w:pPr>
      <w:r>
        <w:t>Одно институциональное место занимает делегат, назначенный коллегией Госплана на фиксированный трёхлетний срок. Подмена делегата от заседания к заседанию и досрочный отзыв за позицию запрещаются; непосредственное повторное назначение не допускается.</w:t>
      </w:r>
    </w:p>
    <w:p>
      <w:pPr>
        <w:numPr>
          <w:ilvl w:val="0"/>
          <w:numId w:val="26"/>
        </w:numPr>
        <w:spacing w:after="160" w:line="280" w:lineRule="auto"/>
      </w:pPr>
      <w:r>
        <w:t>Четыре представителя центрального и отраслевого планирования избираются тайным рейтинговым голосованием профессиональных работников соответствующих подразделений.</w:t>
      </w:r>
    </w:p>
    <w:p>
      <w:pPr>
        <w:numPr>
          <w:ilvl w:val="0"/>
          <w:numId w:val="26"/>
        </w:numPr>
        <w:spacing w:after="160" w:line="280" w:lineRule="auto"/>
      </w:pPr>
      <w:r>
        <w:t>Четыре представителя территориального планирования избираются единым тайным рейтинговым голосованием профессиональных работников территориальных плановых органов. Не более одного избранного может происходить из одного из девяти макрорегионов.</w:t>
      </w:r>
    </w:p>
    <w:p>
      <w:pPr>
        <w:numPr>
          <w:ilvl w:val="0"/>
          <w:numId w:val="26"/>
        </w:numPr>
        <w:spacing w:after="160" w:line="280" w:lineRule="auto"/>
      </w:pPr>
      <w:r>
        <w:t>Для избираемого места требуется не менее пяти лет подтверждённой работы в планировании, прогнозировании, межотраслевом балансе, государственных финансах или региональном развитии.</w:t>
      </w:r>
    </w:p>
    <w:p>
      <w:pPr>
        <w:numPr>
          <w:ilvl w:val="0"/>
          <w:numId w:val="26"/>
        </w:numPr>
        <w:spacing w:after="160" w:line="280" w:lineRule="auto"/>
      </w:pPr>
      <w:r>
        <w:t>Выборы проводит Комиссия выборов и жребия. Руководство Госплана не получает сведений об участии и выборе работников.</w:t>
      </w:r>
    </w:p>
    <w:p>
      <w:pPr>
        <w:numPr>
          <w:ilvl w:val="0"/>
          <w:numId w:val="26"/>
        </w:numPr>
        <w:spacing w:after="160" w:line="280" w:lineRule="auto"/>
      </w:pPr>
      <w:r>
        <w:t>Избранный представитель голосует лично и не может быть отозван за вывод, голос или особое мнение.</w:t>
      </w:r>
    </w:p>
    <w:p>
      <w:pPr>
        <w:numPr>
          <w:ilvl w:val="0"/>
          <w:numId w:val="26"/>
        </w:numPr>
        <w:spacing w:after="160" w:line="280" w:lineRule="auto"/>
      </w:pPr>
      <w:r>
        <w:t>Госплан отдельно публикует официальное институциональное заключение. Расхождение между ним и голосами избранных представителей допускается и объясняется письменно.</w:t>
      </w:r>
    </w:p>
    <w:p>
      <w:pPr>
        <w:numPr>
          <w:ilvl w:val="0"/>
          <w:numId w:val="26"/>
        </w:numPr>
        <w:spacing w:after="160" w:line="280" w:lineRule="auto"/>
      </w:pPr>
      <w:r>
        <w:t>Институциональный представитель Госплана не может председательствовать в Коллегии.</w:t>
      </w:r>
    </w:p>
    <w:p>
      <w:pPr>
        <w:pStyle w:val="Heading2"/>
      </w:pPr>
      <w:r>
        <w:rPr>
          <w:rFonts w:ascii="Calibri" w:hAnsi="Calibri" w:eastAsia="Calibri"/>
          <w:b/>
          <w:color w:val="2E74B5"/>
          <w:sz w:val="26"/>
        </w:rPr>
        <w:t>Статья 18. Формирование остальных каналов</w:t>
      </w:r>
    </w:p>
    <w:p>
      <w:pPr>
        <w:numPr>
          <w:ilvl w:val="0"/>
          <w:numId w:val="27"/>
        </w:numPr>
        <w:spacing w:after="160" w:line="280" w:lineRule="auto"/>
      </w:pPr>
      <w:r>
        <w:rPr>
          <w:b/>
        </w:rPr>
        <w:t>Стратегические и крупные предприятия.</w:t>
      </w:r>
      <w:r>
        <w:t xml:space="preserve"> Одна группа конечного контроля имеет один голос независимо от числа дочерних обществ. Четыре представителя избираются тайным переносимым голосом; один бенефициар и одна укрупнённая отрасль не могут занять более одного места.</w:t>
      </w:r>
    </w:p>
    <w:p>
      <w:pPr>
        <w:numPr>
          <w:ilvl w:val="0"/>
          <w:numId w:val="27"/>
        </w:numPr>
        <w:spacing w:after="160" w:line="280" w:lineRule="auto"/>
      </w:pPr>
      <w:r>
        <w:rPr>
          <w:b/>
        </w:rPr>
        <w:t>МСП, кооперативы, фермеры и самозанятые.</w:t>
      </w:r>
      <w:r>
        <w:t xml:space="preserve"> Одна группа конечного контроля имеет один голос. Четыре представителя избираются тайным переносимым голосом по проверенному отраслевому реестру. Не менее одного места принадлежит микро- или малому предприятию и не менее одного — кооперативному, аграрному либо производственному объединению самозанятых.</w:t>
      </w:r>
    </w:p>
    <w:p>
      <w:pPr>
        <w:numPr>
          <w:ilvl w:val="0"/>
          <w:numId w:val="27"/>
        </w:numPr>
        <w:spacing w:after="160" w:line="280" w:lineRule="auto"/>
      </w:pPr>
      <w:r>
        <w:rPr>
          <w:b/>
        </w:rPr>
        <w:t>Работники.</w:t>
      </w:r>
      <w:r>
        <w:t xml:space="preserve"> Четыре представителя избираются прямым тайным голосованием работников по независимому трудовому реестру. Членство в профсоюзе не является условием участия; работодатель не получает сведений об участии и выборе.</w:t>
      </w:r>
    </w:p>
    <w:p>
      <w:pPr>
        <w:numPr>
          <w:ilvl w:val="0"/>
          <w:numId w:val="27"/>
        </w:numPr>
        <w:spacing w:after="160" w:line="280" w:lineRule="auto"/>
      </w:pPr>
      <w:r>
        <w:rPr>
          <w:b/>
        </w:rPr>
        <w:t>Потребители и домашние хозяйства.</w:t>
      </w:r>
      <w:r>
        <w:t xml:space="preserve"> Два места заполняются стратифицированным гражданским жребием; два — рейтинговым голосованием проверенных организаций защиты потребителей, семей, пенсионеров, инвалидов и иных общественных интересов.</w:t>
      </w:r>
    </w:p>
    <w:p>
      <w:pPr>
        <w:numPr>
          <w:ilvl w:val="0"/>
          <w:numId w:val="27"/>
        </w:numPr>
        <w:spacing w:after="160" w:line="280" w:lineRule="auto"/>
      </w:pPr>
      <w:r>
        <w:rPr>
          <w:b/>
        </w:rPr>
        <w:t>Наука, статистика и публичные службы.</w:t>
      </w:r>
      <w:r>
        <w:t xml:space="preserve"> Четыре места соответствуют профилям: макроэкономика и финансы; производство и инфраструктура; статистика, аудит и риск; социальные, демографические, региональные и экологические последствия. По каждому профилю проводится тайное рейтинговое голосование проверенного профессионального реестра; одно учреждение или группа общего контроля не может получить более одного места.</w:t>
      </w:r>
    </w:p>
    <w:p>
      <w:pPr>
        <w:numPr>
          <w:ilvl w:val="0"/>
          <w:numId w:val="27"/>
        </w:numPr>
        <w:spacing w:after="160" w:line="280" w:lineRule="auto"/>
      </w:pPr>
      <w:r>
        <w:t>Реестры избирателей, организаций, связанных лиц и конечных бенефициаров формирует Комиссия выборов и жребия. Платная агитация на выборах в Коллегию запрещается; кандидатам предоставляются равные публичные средства коммуникации.</w:t>
      </w:r>
    </w:p>
    <w:p>
      <w:pPr>
        <w:numPr>
          <w:ilvl w:val="0"/>
          <w:numId w:val="27"/>
        </w:numPr>
        <w:spacing w:after="160" w:line="280" w:lineRule="auto"/>
      </w:pPr>
      <w:r>
        <w:t>Подробные пороги выдвижения, правила переноса предпочтений, проверка деятельности организации и резервные очереди определяются Избирательным кодексом Коллегии.</w:t>
      </w:r>
    </w:p>
    <w:p>
      <w:pPr>
        <w:pStyle w:val="Heading2"/>
      </w:pPr>
      <w:r>
        <w:rPr>
          <w:rFonts w:ascii="Calibri" w:hAnsi="Calibri" w:eastAsia="Calibri"/>
          <w:b/>
          <w:color w:val="2E74B5"/>
          <w:sz w:val="26"/>
        </w:rPr>
        <w:t>Статья 19. Сроки, ротация и председательство</w:t>
      </w:r>
    </w:p>
    <w:p>
      <w:pPr>
        <w:numPr>
          <w:ilvl w:val="0"/>
          <w:numId w:val="28"/>
        </w:numPr>
        <w:spacing w:after="160" w:line="280" w:lineRule="auto"/>
      </w:pPr>
      <w:r>
        <w:t>Срок полномочий — три года. Немедленное переизбрание запрещается.</w:t>
      </w:r>
    </w:p>
    <w:p>
      <w:pPr>
        <w:numPr>
          <w:ilvl w:val="0"/>
          <w:numId w:val="28"/>
        </w:numPr>
        <w:spacing w:after="160" w:line="280" w:lineRule="auto"/>
      </w:pPr>
      <w:r>
        <w:t>В первый год обновляются десять мест, во второй — десять, в третий — девять. Первоначальная длительность определяется публичным жребием.</w:t>
      </w:r>
    </w:p>
    <w:p>
      <w:pPr>
        <w:numPr>
          <w:ilvl w:val="0"/>
          <w:numId w:val="28"/>
        </w:numPr>
        <w:spacing w:after="160" w:line="280" w:lineRule="auto"/>
      </w:pPr>
      <w:r>
        <w:t>Для каждого избираемого места сохраняется ранжированная резервная очередь того же канала и гарантированной категории.</w:t>
      </w:r>
    </w:p>
    <w:p>
      <w:pPr>
        <w:numPr>
          <w:ilvl w:val="0"/>
          <w:numId w:val="28"/>
        </w:numPr>
        <w:spacing w:after="160" w:line="280" w:lineRule="auto"/>
      </w:pPr>
      <w:r>
        <w:t>Председательство меняется каждые шесть месяцев. За трёхлетний цикл право выдвинуть председателя получает каждый из шести каналов; очерёдность определяется жребием.</w:t>
      </w:r>
    </w:p>
    <w:p>
      <w:pPr>
        <w:numPr>
          <w:ilvl w:val="0"/>
          <w:numId w:val="28"/>
        </w:numPr>
        <w:spacing w:after="160" w:line="280" w:lineRule="auto"/>
      </w:pPr>
      <w:r>
        <w:t>Выдвинувшая организация не может доплачивать члену за работу в Коллегии. Вознаграждение выплачивается из публичного бюджета системы.</w:t>
      </w:r>
    </w:p>
    <w:p>
      <w:pPr>
        <w:pStyle w:val="Heading2"/>
      </w:pPr>
      <w:r>
        <w:rPr>
          <w:rFonts w:ascii="Calibri" w:hAnsi="Calibri" w:eastAsia="Calibri"/>
          <w:b/>
          <w:color w:val="2E74B5"/>
          <w:sz w:val="26"/>
        </w:rPr>
        <w:t>Статья 20. Кворум и обычное заключение</w:t>
      </w:r>
    </w:p>
    <w:p>
      <w:pPr>
        <w:numPr>
          <w:ilvl w:val="0"/>
          <w:numId w:val="29"/>
        </w:numPr>
        <w:spacing w:after="160" w:line="280" w:lineRule="auto"/>
      </w:pPr>
      <w:r>
        <w:t>Кворум составляет двадцать членов, включая не менее шести представителей Госплана и не менее двух представителей каждого прочего канала.</w:t>
      </w:r>
    </w:p>
    <w:p>
      <w:pPr>
        <w:numPr>
          <w:ilvl w:val="0"/>
          <w:numId w:val="29"/>
        </w:numPr>
        <w:spacing w:after="160" w:line="280" w:lineRule="auto"/>
      </w:pPr>
      <w:r>
        <w:t>Обычное заключение принимается не менее чем пятнадцатью голосами из двадцати девяти и должно пользоваться поддержкой не менее четырёх каналов.</w:t>
      </w:r>
    </w:p>
    <w:p>
      <w:pPr>
        <w:numPr>
          <w:ilvl w:val="0"/>
          <w:numId w:val="29"/>
        </w:numPr>
        <w:spacing w:after="160" w:line="280" w:lineRule="auto"/>
      </w:pPr>
      <w:r>
        <w:t>Поддержкой канала считается не менее пяти голосов представителей Госплана либо не менее трёх голосов соответствующего четырёхместного канала.</w:t>
      </w:r>
    </w:p>
    <w:p>
      <w:pPr>
        <w:numPr>
          <w:ilvl w:val="0"/>
          <w:numId w:val="29"/>
        </w:numPr>
        <w:spacing w:after="160" w:line="280" w:lineRule="auto"/>
      </w:pPr>
      <w:r>
        <w:t>Если два последовательных заседания не состоялись вследствие отсутствия одного канала, обычное заключение может быть принято при наличии восемнадцати членов, представляющих не менее пяти из шести каналов. Присутствие конкретного канала не является обязательным. Пониженный кворум не применяется к плановому предупреждению или возврату.</w:t>
      </w:r>
    </w:p>
    <w:p>
      <w:pPr>
        <w:numPr>
          <w:ilvl w:val="0"/>
          <w:numId w:val="29"/>
        </w:numPr>
        <w:spacing w:after="160" w:line="280" w:lineRule="auto"/>
      </w:pPr>
      <w:r>
        <w:t>Обычное заключение не приостанавливает решение Палаты.</w:t>
      </w:r>
    </w:p>
    <w:p>
      <w:pPr>
        <w:numPr>
          <w:ilvl w:val="0"/>
          <w:numId w:val="29"/>
        </w:numPr>
        <w:spacing w:after="160" w:line="280" w:lineRule="auto"/>
      </w:pPr>
      <w:r>
        <w:t>Полное заключение содержит исходные данные, последствия для плана и бюджета, последствия для каждого канала и территории, вариант «не менять правило», минимум одну альтернативу, неопределённость и условия последующей проверки.</w:t>
      </w:r>
    </w:p>
    <w:p>
      <w:pPr>
        <w:numPr>
          <w:ilvl w:val="0"/>
          <w:numId w:val="29"/>
        </w:numPr>
        <w:spacing w:after="160" w:line="280" w:lineRule="auto"/>
      </w:pPr>
      <w:r>
        <w:t>Срок заключения — тридцать дней с момента признания досье полным. Молчание не считается согласием, но не задерживает процедуру.</w:t>
      </w:r>
    </w:p>
    <w:p>
      <w:pPr>
        <w:pStyle w:val="Heading2"/>
      </w:pPr>
      <w:r>
        <w:rPr>
          <w:rFonts w:ascii="Calibri" w:hAnsi="Calibri" w:eastAsia="Calibri"/>
          <w:b/>
          <w:color w:val="2E74B5"/>
          <w:sz w:val="26"/>
        </w:rPr>
        <w:t>Статья 21. Плановое предупреждение</w:t>
      </w:r>
    </w:p>
    <w:p>
      <w:pPr>
        <w:numPr>
          <w:ilvl w:val="0"/>
          <w:numId w:val="30"/>
        </w:numPr>
        <w:spacing w:after="160" w:line="280" w:lineRule="auto"/>
      </w:pPr>
      <w:r>
        <w:t>Не менее шести из девяти представителей Госплана могут один раз объявить плановое предупреждение.</w:t>
      </w:r>
    </w:p>
    <w:p>
      <w:pPr>
        <w:numPr>
          <w:ilvl w:val="0"/>
          <w:numId w:val="30"/>
        </w:numPr>
        <w:spacing w:after="160" w:line="280" w:lineRule="auto"/>
      </w:pPr>
      <w:r>
        <w:t>Предупреждение допустимо только при воспроизводимом риске для утверждённого материального, энергетического, трудового или инвестиционного баланса; существенного необеспеченного бюджетного обязательства; критической инфраструктуры или снабжения; обязательного показателя плана; либо при переносе значительных издержек на территории без ресурсов и исполнителя.</w:t>
      </w:r>
    </w:p>
    <w:p>
      <w:pPr>
        <w:numPr>
          <w:ilvl w:val="0"/>
          <w:numId w:val="30"/>
        </w:numPr>
        <w:spacing w:after="160" w:line="280" w:lineRule="auto"/>
      </w:pPr>
      <w:r>
        <w:t>Ссылка на «интересы экономики» без исходных данных, модели, величины риска и исполнимой альтернативы не образует планового предупреждения.</w:t>
      </w:r>
    </w:p>
    <w:p>
      <w:pPr>
        <w:numPr>
          <w:ilvl w:val="0"/>
          <w:numId w:val="30"/>
        </w:numPr>
        <w:spacing w:after="160" w:line="280" w:lineRule="auto"/>
      </w:pPr>
      <w:r>
        <w:t>Бюро методологии проверяет воспроизводимость расчёта в течение десяти дней.</w:t>
      </w:r>
    </w:p>
    <w:p>
      <w:pPr>
        <w:numPr>
          <w:ilvl w:val="0"/>
          <w:numId w:val="30"/>
        </w:numPr>
        <w:spacing w:after="160" w:line="280" w:lineRule="auto"/>
      </w:pPr>
      <w:r>
        <w:t>Предупреждение приостанавливает проект на тридцать дней и запускает согласительное слушание.</w:t>
      </w:r>
    </w:p>
    <w:p>
      <w:pPr>
        <w:numPr>
          <w:ilvl w:val="0"/>
          <w:numId w:val="30"/>
        </w:numPr>
        <w:spacing w:after="160" w:line="280" w:lineRule="auto"/>
      </w:pPr>
      <w:r>
        <w:t>После постатейного ответа Палата может принять проект вопреки предупреждению девятнадцатью голосами из двадцати семи, включая не менее одиннадцати гражданских и шести территориальных представителей.</w:t>
      </w:r>
    </w:p>
    <w:p>
      <w:pPr>
        <w:numPr>
          <w:ilvl w:val="0"/>
          <w:numId w:val="30"/>
        </w:numPr>
        <w:spacing w:after="160" w:line="280" w:lineRule="auto"/>
      </w:pPr>
      <w:r>
        <w:t>Плановое предупреждение не отменяет и не приостанавливает равный референдум после завершения предусмотренных процедур.</w:t>
      </w:r>
    </w:p>
    <w:p>
      <w:pPr>
        <w:pStyle w:val="Heading2"/>
      </w:pPr>
      <w:r>
        <w:rPr>
          <w:rFonts w:ascii="Calibri" w:hAnsi="Calibri" w:eastAsia="Calibri"/>
          <w:b/>
          <w:color w:val="2E74B5"/>
          <w:sz w:val="26"/>
        </w:rPr>
        <w:t>Статья 22. Однократный возврат</w:t>
      </w:r>
    </w:p>
    <w:p>
      <w:pPr>
        <w:numPr>
          <w:ilvl w:val="0"/>
          <w:numId w:val="31"/>
        </w:numPr>
        <w:spacing w:after="160" w:line="280" w:lineRule="auto"/>
      </w:pPr>
      <w:r>
        <w:t>Коллегия может один раз вернуть проект семнадцатью голосами из двадцати девяти при поддержке не менее четырёх каналов.</w:t>
      </w:r>
    </w:p>
    <w:p>
      <w:pPr>
        <w:numPr>
          <w:ilvl w:val="0"/>
          <w:numId w:val="31"/>
        </w:numPr>
        <w:spacing w:after="160" w:line="280" w:lineRule="auto"/>
      </w:pPr>
      <w:r>
        <w:t>Возврат допускается при отсутствии обязательной части оценки; невоспроизводимой модели; неисследованной разумной альтернативе; крупном бюджетном, ресурсном, трудовом, конкурентном или территориальном риске; либо скрытом конфликте интересов.</w:t>
      </w:r>
    </w:p>
    <w:p>
      <w:pPr>
        <w:numPr>
          <w:ilvl w:val="0"/>
          <w:numId w:val="31"/>
        </w:numPr>
        <w:spacing w:after="160" w:line="280" w:lineRule="auto"/>
      </w:pPr>
      <w:r>
        <w:t>Несогласие с целью проекта само по себе не является основанием возврата.</w:t>
      </w:r>
    </w:p>
    <w:p>
      <w:pPr>
        <w:numPr>
          <w:ilvl w:val="0"/>
          <w:numId w:val="31"/>
        </w:numPr>
        <w:spacing w:after="160" w:line="280" w:lineRule="auto"/>
      </w:pPr>
      <w:r>
        <w:t>Возврат приостанавливает проект не более чем на сорок пять дней. Палата отвечает отдельно на каждое основание.</w:t>
      </w:r>
    </w:p>
    <w:p>
      <w:pPr>
        <w:numPr>
          <w:ilvl w:val="0"/>
          <w:numId w:val="31"/>
        </w:numPr>
        <w:spacing w:after="160" w:line="280" w:lineRule="auto"/>
      </w:pPr>
      <w:r>
        <w:t>Возврат преодолевается двадцать одним голосом Палаты, включая не менее двенадцати гражданских и шести территориальных представителей, в двух чтениях с интервалом не менее четырнадцати дней.</w:t>
      </w:r>
    </w:p>
    <w:p>
      <w:pPr>
        <w:numPr>
          <w:ilvl w:val="0"/>
          <w:numId w:val="31"/>
        </w:numPr>
        <w:spacing w:after="160" w:line="280" w:lineRule="auto"/>
      </w:pPr>
      <w:r>
        <w:t>Если одновременно действуют предупреждение и возврат, общий срок не превышает сорока пяти дней и применяется более высокий порог преодоления.</w:t>
      </w:r>
    </w:p>
    <w:p>
      <w:pPr>
        <w:numPr>
          <w:ilvl w:val="0"/>
          <w:numId w:val="31"/>
        </w:numPr>
        <w:spacing w:after="160" w:line="280" w:lineRule="auto"/>
      </w:pPr>
      <w:r>
        <w:t>Спор о том, является ли изменённый текст тем же проектом, в течение десяти дней разрешает Трибунал.</w:t>
      </w:r>
    </w:p>
    <w:p>
      <w:pPr>
        <w:pStyle w:val="Heading2"/>
      </w:pPr>
      <w:r>
        <w:rPr>
          <w:rFonts w:ascii="Calibri" w:hAnsi="Calibri" w:eastAsia="Calibri"/>
          <w:b/>
          <w:color w:val="2E74B5"/>
          <w:sz w:val="26"/>
        </w:rPr>
        <w:t>Статья 23. Конфликт интересов в Коллегии</w:t>
      </w:r>
    </w:p>
    <w:p>
      <w:pPr>
        <w:numPr>
          <w:ilvl w:val="0"/>
          <w:numId w:val="32"/>
        </w:numPr>
        <w:spacing w:after="160" w:line="280" w:lineRule="auto"/>
      </w:pPr>
      <w:r>
        <w:t>Принадлежность к представленному каналу сама по себе не является конфликтом интересов.</w:t>
      </w:r>
    </w:p>
    <w:p>
      <w:pPr>
        <w:numPr>
          <w:ilvl w:val="0"/>
          <w:numId w:val="32"/>
        </w:numPr>
        <w:spacing w:after="160" w:line="280" w:lineRule="auto"/>
      </w:pPr>
      <w:r>
        <w:t>Отвод обязателен при конкретной материальной выгоде члена, его работодателя, конечного бенефициара, близкого родственника, финансирующей организации либо конкретного контракта или проекта.</w:t>
      </w:r>
    </w:p>
    <w:p>
      <w:pPr>
        <w:numPr>
          <w:ilvl w:val="0"/>
          <w:numId w:val="32"/>
        </w:numPr>
        <w:spacing w:after="160" w:line="280" w:lineRule="auto"/>
      </w:pPr>
      <w:r>
        <w:t>На время отвода участвует первый независимый резервист того же канала.</w:t>
      </w:r>
    </w:p>
    <w:p>
      <w:pPr>
        <w:numPr>
          <w:ilvl w:val="0"/>
          <w:numId w:val="32"/>
        </w:numPr>
        <w:spacing w:after="160" w:line="280" w:lineRule="auto"/>
      </w:pPr>
      <w:r>
        <w:t>Декларации интересов подаются до вступления, ежегодно и после существенного изменения.</w:t>
      </w:r>
    </w:p>
    <w:p>
      <w:pPr>
        <w:numPr>
          <w:ilvl w:val="0"/>
          <w:numId w:val="32"/>
        </w:numPr>
        <w:spacing w:after="160" w:line="280" w:lineRule="auto"/>
      </w:pPr>
      <w:r>
        <w:t>Встречи, переданные материалы и финансируемые исследования регистрируются в течение сорока восьми часов.</w:t>
      </w:r>
    </w:p>
    <w:p>
      <w:pPr>
        <w:pStyle w:val="Heading2"/>
      </w:pPr>
      <w:r>
        <w:rPr>
          <w:rFonts w:ascii="Calibri" w:hAnsi="Calibri" w:eastAsia="Calibri"/>
          <w:b/>
          <w:color w:val="2E74B5"/>
          <w:sz w:val="26"/>
        </w:rPr>
        <w:t>Статья 24. Границы полномочий Коллегии и Госплана</w:t>
      </w:r>
    </w:p>
    <w:p>
      <w:r>
        <w:t>Коллегия и Госплан не вправе:</w:t>
      </w:r>
    </w:p>
    <w:p>
      <w:pPr>
        <w:numPr>
          <w:ilvl w:val="0"/>
          <w:numId w:val="33"/>
        </w:numPr>
        <w:spacing w:after="160" w:line="280" w:lineRule="auto"/>
      </w:pPr>
      <w:r>
        <w:t>устанавливать политический вес граждан;</w:t>
      </w:r>
    </w:p>
    <w:p>
      <w:pPr>
        <w:numPr>
          <w:ilvl w:val="0"/>
          <w:numId w:val="33"/>
        </w:numPr>
        <w:spacing w:after="160" w:line="280" w:lineRule="auto"/>
      </w:pPr>
      <w:r>
        <w:t>единолично создавать, объединять или закрывать темы;</w:t>
      </w:r>
    </w:p>
    <w:p>
      <w:pPr>
        <w:numPr>
          <w:ilvl w:val="0"/>
          <w:numId w:val="33"/>
        </w:numPr>
        <w:spacing w:after="160" w:line="280" w:lineRule="auto"/>
      </w:pPr>
      <w:r>
        <w:t>определять содержание экзаменов и индивидуальные экспертные статусы;</w:t>
      </w:r>
    </w:p>
    <w:p>
      <w:pPr>
        <w:numPr>
          <w:ilvl w:val="0"/>
          <w:numId w:val="33"/>
        </w:numPr>
        <w:spacing w:after="160" w:line="280" w:lineRule="auto"/>
      </w:pPr>
      <w:r>
        <w:t>рассматривать индивидуальные апелляции;</w:t>
      </w:r>
    </w:p>
    <w:p>
      <w:pPr>
        <w:numPr>
          <w:ilvl w:val="0"/>
          <w:numId w:val="33"/>
        </w:numPr>
        <w:spacing w:after="160" w:line="280" w:lineRule="auto"/>
      </w:pPr>
      <w:r>
        <w:t>назначать Палату, Трибунал, Комиссию выборов и жребия или аудитора;</w:t>
      </w:r>
    </w:p>
    <w:p>
      <w:pPr>
        <w:numPr>
          <w:ilvl w:val="0"/>
          <w:numId w:val="33"/>
        </w:numPr>
        <w:spacing w:after="160" w:line="280" w:lineRule="auto"/>
      </w:pPr>
      <w:r>
        <w:t>контролировать Бюро методологии либо единственный экземпляр исходной модели;</w:t>
      </w:r>
    </w:p>
    <w:p>
      <w:pPr>
        <w:numPr>
          <w:ilvl w:val="0"/>
          <w:numId w:val="33"/>
        </w:numPr>
        <w:spacing w:after="160" w:line="280" w:lineRule="auto"/>
      </w:pPr>
      <w:r>
        <w:t>применять повторный возврат или бессрочное вето;</w:t>
      </w:r>
    </w:p>
    <w:p>
      <w:pPr>
        <w:numPr>
          <w:ilvl w:val="0"/>
          <w:numId w:val="33"/>
        </w:numPr>
        <w:spacing w:after="160" w:line="280" w:lineRule="auto"/>
      </w:pPr>
      <w:r>
        <w:t>приостанавливать равный референдум;</w:t>
      </w:r>
    </w:p>
    <w:p>
      <w:pPr>
        <w:numPr>
          <w:ilvl w:val="0"/>
          <w:numId w:val="33"/>
        </w:numPr>
        <w:spacing w:after="160" w:line="280" w:lineRule="auto"/>
      </w:pPr>
      <w:r>
        <w:t>участвовать решающим голосом в изменении собственных мест или специальных полномочий.</w:t>
      </w:r>
    </w:p>
    <w:p>
      <w:pPr>
        <w:pStyle w:val="Heading1"/>
      </w:pPr>
      <w:r>
        <w:rPr>
          <w:rFonts w:ascii="Calibri" w:hAnsi="Calibri" w:eastAsia="Calibri"/>
          <w:b/>
          <w:color w:val="2E74B5"/>
          <w:sz w:val="32"/>
        </w:rPr>
        <w:t>V. Формирование тематического веса</w:t>
      </w:r>
    </w:p>
    <w:p>
      <w:pPr>
        <w:pStyle w:val="Heading2"/>
      </w:pPr>
      <w:r>
        <w:rPr>
          <w:rFonts w:ascii="Calibri" w:hAnsi="Calibri" w:eastAsia="Calibri"/>
          <w:b/>
          <w:color w:val="2E74B5"/>
          <w:sz w:val="26"/>
        </w:rPr>
        <w:t>Статья 25. Состав итогового веса</w:t>
      </w:r>
    </w:p>
    <w:p>
      <w:pPr>
        <w:numPr>
          <w:ilvl w:val="0"/>
          <w:numId w:val="34"/>
        </w:numPr>
        <w:spacing w:after="160" w:line="280" w:lineRule="auto"/>
      </w:pPr>
      <w:r>
        <w:t>Итоговый вес гражданина по теме состоит из:</w:t>
      </w:r>
    </w:p>
    <w:p>
      <w:pPr>
        <w:numPr>
          <w:ilvl w:val="1"/>
          <w:numId w:val="34"/>
        </w:numPr>
        <w:spacing w:after="160" w:line="280" w:lineRule="auto"/>
      </w:pPr>
      <w:r>
        <w:t>базово-экспертной компоненты;</w:t>
      </w:r>
    </w:p>
    <w:p>
      <w:pPr>
        <w:numPr>
          <w:ilvl w:val="1"/>
          <w:numId w:val="34"/>
        </w:numPr>
        <w:spacing w:after="160" w:line="280" w:lineRule="auto"/>
      </w:pPr>
      <w:r>
        <w:t>равной общегражданской добавки из незаполненных тематических долей;</w:t>
      </w:r>
    </w:p>
    <w:p>
      <w:pPr>
        <w:numPr>
          <w:ilvl w:val="1"/>
          <w:numId w:val="34"/>
        </w:numPr>
        <w:spacing w:after="160" w:line="280" w:lineRule="auto"/>
      </w:pPr>
      <w:r>
        <w:t>самостоятельной образовательной надбавки.</w:t>
      </w:r>
    </w:p>
    <w:p>
      <w:pPr>
        <w:numPr>
          <w:ilvl w:val="0"/>
          <w:numId w:val="34"/>
        </w:numPr>
        <w:spacing w:after="160" w:line="280" w:lineRule="auto"/>
      </w:pPr>
      <w:r>
        <w:t>Для неэксперта базово-экспертная компонента равна единице.</w:t>
      </w:r>
    </w:p>
    <w:p>
      <w:pPr>
        <w:numPr>
          <w:ilvl w:val="0"/>
          <w:numId w:val="34"/>
        </w:numPr>
        <w:spacing w:after="160" w:line="280" w:lineRule="auto"/>
      </w:pPr>
      <w:r>
        <w:t>Для эксперта базово-экспертная компонента определяется тематической долей, уровнем, референтным знаменателем, актуальностью знаний и установленным экспертным минимумом.</w:t>
      </w:r>
    </w:p>
    <w:p>
      <w:pPr>
        <w:numPr>
          <w:ilvl w:val="0"/>
          <w:numId w:val="34"/>
        </w:numPr>
        <w:spacing w:after="160" w:line="280" w:lineRule="auto"/>
      </w:pPr>
      <w:r>
        <w:t>Индивидуальный экспертный вес определяется формулой. Операция, устанавливающая абсолютный или относительный верхний предел экспертного веса, не допускается.</w:t>
      </w:r>
    </w:p>
    <w:p>
      <w:pPr>
        <w:numPr>
          <w:ilvl w:val="0"/>
          <w:numId w:val="34"/>
        </w:numPr>
        <w:spacing w:after="160" w:line="280" w:lineRule="auto"/>
      </w:pPr>
      <w:r>
        <w:t>Редкость экспертного статуса сама по себе не является основанием уменьшить рассчитанный вес.</w:t>
      </w:r>
    </w:p>
    <w:p>
      <w:pPr>
        <w:pStyle w:val="Heading2"/>
      </w:pPr>
      <w:r>
        <w:rPr>
          <w:rFonts w:ascii="Calibri" w:hAnsi="Calibri" w:eastAsia="Calibri"/>
          <w:b/>
          <w:color w:val="2E74B5"/>
          <w:sz w:val="26"/>
        </w:rPr>
        <w:t>Статья 26. Тематические доли и референтный знаменатель</w:t>
      </w:r>
    </w:p>
    <w:p>
      <w:pPr>
        <w:numPr>
          <w:ilvl w:val="0"/>
          <w:numId w:val="35"/>
        </w:numPr>
        <w:spacing w:after="160" w:line="280" w:lineRule="auto"/>
      </w:pPr>
      <w:r>
        <w:t xml:space="preserve">Для каждой темы </w:t>
      </w:r>
      <w:r>
        <w:rPr>
          <w:rFonts w:ascii="Consolas" w:hAnsi="Consolas" w:eastAsia="Consolas"/>
          <w:color w:val="1F4D78"/>
          <w:sz w:val="21"/>
        </w:rPr>
        <w:t>t</w:t>
      </w:r>
      <w:r>
        <w:t xml:space="preserve"> устанавливается отдельный вектор долей </w:t>
      </w:r>
      <w:r>
        <w:rPr>
          <w:rFonts w:ascii="Consolas" w:hAnsi="Consolas" w:eastAsia="Consolas"/>
          <w:color w:val="1F4D78"/>
          <w:sz w:val="21"/>
        </w:rPr>
        <w:t>q(0,t), q(1,t), … q(L,t)</w:t>
      </w:r>
      <w:r>
        <w:t>, сумма которых равна единице, а доля неэкспертов больше нуля.</w:t>
      </w:r>
    </w:p>
    <w:p>
      <w:pPr>
        <w:numPr>
          <w:ilvl w:val="0"/>
          <w:numId w:val="35"/>
        </w:numPr>
        <w:spacing w:after="160" w:line="280" w:lineRule="auto"/>
      </w:pPr>
      <w:r>
        <w:t>Универсальная совокупная доля экспертов не устанавливается. Показатели одной темы не создают презумпции для другой темы.</w:t>
      </w:r>
    </w:p>
    <w:p>
      <w:pPr>
        <w:numPr>
          <w:ilvl w:val="0"/>
          <w:numId w:val="35"/>
        </w:numPr>
        <w:spacing w:after="160" w:line="280" w:lineRule="auto"/>
      </w:pPr>
      <w:r>
        <w:t>Доли являются калибровочными ориентирами базово-экспертного слоя. Если обязательный экспертный минимум делает точное соблюдение доли невозможным, преимущество имеет экспертный минимум; отклонение публикуется и запускает проверку конфигурации.</w:t>
      </w:r>
    </w:p>
    <w:p>
      <w:pPr>
        <w:numPr>
          <w:ilvl w:val="0"/>
          <w:numId w:val="35"/>
        </w:numPr>
        <w:spacing w:after="160" w:line="280" w:lineRule="auto"/>
      </w:pPr>
      <w:r>
        <w:t>Индивидуальный номинальный вес уровня рассчитывается относительно референтного знаменателя — независимой оценки числа действующих и потенциально квалифицированных лиц данного уровня.</w:t>
      </w:r>
    </w:p>
    <w:p>
      <w:pPr>
        <w:numPr>
          <w:ilvl w:val="0"/>
          <w:numId w:val="35"/>
        </w:numPr>
        <w:spacing w:after="160" w:line="280" w:lineRule="auto"/>
      </w:pPr>
      <w:r>
        <w:t>Уменьшение числа допущенных экспертов в пределах референтного знаменателя не увеличивает вес оставшихся. Это правило не позволяет получить выгоду путём искусственного сужения экзаменационного пула.</w:t>
      </w:r>
    </w:p>
    <w:p>
      <w:pPr>
        <w:numPr>
          <w:ilvl w:val="0"/>
          <w:numId w:val="35"/>
        </w:numPr>
        <w:spacing w:after="160" w:line="280" w:lineRule="auto"/>
      </w:pPr>
      <w:r>
        <w:t>Референтный знаменатель определяет Бюро методологии по текущему реестру, историческим данным и независимой репрезентативной проверке потенциальной квалификации. Совет и экзаменационное Агентство не могут уменьшить его единолично.</w:t>
      </w:r>
    </w:p>
    <w:p>
      <w:pPr>
        <w:numPr>
          <w:ilvl w:val="0"/>
          <w:numId w:val="35"/>
        </w:numPr>
        <w:spacing w:after="160" w:line="280" w:lineRule="auto"/>
      </w:pPr>
      <w:r>
        <w:t>Снижение знаменателя требует двух последовательных независимых измерений и действует не ранее следующего полного реестрового цикла.</w:t>
      </w:r>
    </w:p>
    <w:p>
      <w:pPr>
        <w:pStyle w:val="Heading2"/>
      </w:pPr>
      <w:r>
        <w:rPr>
          <w:rFonts w:ascii="Calibri" w:hAnsi="Calibri" w:eastAsia="Calibri"/>
          <w:b/>
          <w:color w:val="2E74B5"/>
          <w:sz w:val="26"/>
        </w:rPr>
        <w:t>Статья 27. Экспертный минимум и деградация</w:t>
      </w:r>
    </w:p>
    <w:p>
      <w:pPr>
        <w:numPr>
          <w:ilvl w:val="0"/>
          <w:numId w:val="36"/>
        </w:numPr>
        <w:spacing w:after="160" w:line="280" w:lineRule="auto"/>
      </w:pPr>
      <w:r>
        <w:t xml:space="preserve">Для каждого уровня устанавливается минимальная базово-экспертная компонента </w:t>
      </w:r>
      <w:r>
        <w:rPr>
          <w:rFonts w:ascii="Consolas" w:hAnsi="Consolas" w:eastAsia="Consolas"/>
          <w:color w:val="1F4D78"/>
          <w:sz w:val="21"/>
        </w:rPr>
        <w:t>H(k,t)</w:t>
      </w:r>
      <w:r>
        <w:t>.</w:t>
      </w:r>
    </w:p>
    <w:p>
      <w:pPr>
        <w:numPr>
          <w:ilvl w:val="0"/>
          <w:numId w:val="36"/>
        </w:numPr>
        <w:spacing w:after="160" w:line="280" w:lineRule="auto"/>
      </w:pPr>
      <w:r>
        <w:t>Минимум первого экспертного уровня должен быть выше единицы, увеличенной на максимально возможную образовательную надбавку и технический запас точности. Поэтому итоговый вес любого действующего эксперта остаётся выше итогового веса любого неэксперта.</w:t>
      </w:r>
    </w:p>
    <w:p>
      <w:pPr>
        <w:numPr>
          <w:ilvl w:val="0"/>
          <w:numId w:val="36"/>
        </w:numPr>
        <w:spacing w:after="160" w:line="280" w:lineRule="auto"/>
      </w:pPr>
      <w:r>
        <w:t>Минимумы последующих уровней возрастают. Фактический вес также зависит от тематической редкости; один лишь номер уровня не отменяет расчёт по численности.</w:t>
      </w:r>
    </w:p>
    <w:p>
      <w:pPr>
        <w:numPr>
          <w:ilvl w:val="0"/>
          <w:numId w:val="36"/>
        </w:numPr>
        <w:spacing w:after="160" w:line="280" w:lineRule="auto"/>
      </w:pPr>
      <w:r>
        <w:t>Деградация уменьшает только часть веса сверх экспертного минимума и не может опустить действующего эксперта ниже установленного минимума.</w:t>
      </w:r>
    </w:p>
    <w:p>
      <w:pPr>
        <w:numPr>
          <w:ilvl w:val="0"/>
          <w:numId w:val="36"/>
        </w:numPr>
        <w:spacing w:after="160" w:line="280" w:lineRule="auto"/>
      </w:pPr>
      <w:r>
        <w:t>После предельного срока без подтверждения знаний гражданин переводится на нижний уровень либо в неэкспертную группу в порядке, установленном законом, с предварительным уведомлением и правом апелляции.</w:t>
      </w:r>
    </w:p>
    <w:p>
      <w:pPr>
        <w:numPr>
          <w:ilvl w:val="0"/>
          <w:numId w:val="36"/>
        </w:numPr>
        <w:spacing w:after="160" w:line="280" w:lineRule="auto"/>
      </w:pPr>
      <w:r>
        <w:t>Изменение статуса действует только со следующего реестрового периода и не меняет начавшееся голосование.</w:t>
      </w:r>
    </w:p>
    <w:p>
      <w:pPr>
        <w:pStyle w:val="Heading2"/>
      </w:pPr>
      <w:r>
        <w:rPr>
          <w:rFonts w:ascii="Calibri" w:hAnsi="Calibri" w:eastAsia="Calibri"/>
          <w:b/>
          <w:color w:val="2E74B5"/>
          <w:sz w:val="26"/>
        </w:rPr>
        <w:t>Статья 28. Общегражданская добавка</w:t>
      </w:r>
    </w:p>
    <w:p>
      <w:pPr>
        <w:numPr>
          <w:ilvl w:val="0"/>
          <w:numId w:val="37"/>
        </w:numPr>
        <w:spacing w:after="160" w:line="280" w:lineRule="auto"/>
      </w:pPr>
      <w:r>
        <w:t>Незаполненная часть тематической доли не передаётся соседнему экспертному уровню и не распределяется между оставшимися экспертами.</w:t>
      </w:r>
    </w:p>
    <w:p>
      <w:pPr>
        <w:numPr>
          <w:ilvl w:val="0"/>
          <w:numId w:val="37"/>
        </w:numPr>
        <w:spacing w:after="160" w:line="280" w:lineRule="auto"/>
      </w:pPr>
      <w:r>
        <w:t>Незаполненная часть поровну распределяется между всеми гражданами, включёнными в реестровый снимок, независимо от экспертного статуса.</w:t>
      </w:r>
    </w:p>
    <w:p>
      <w:pPr>
        <w:numPr>
          <w:ilvl w:val="0"/>
          <w:numId w:val="37"/>
        </w:numPr>
        <w:spacing w:after="160" w:line="280" w:lineRule="auto"/>
      </w:pPr>
      <w:r>
        <w:t>Равная общегражданская добавка не изменяет разницу между базово-экспертными компонентами и поэтому не нарушает принцип превосходства экспертного голоса.</w:t>
      </w:r>
    </w:p>
    <w:p>
      <w:pPr>
        <w:numPr>
          <w:ilvl w:val="0"/>
          <w:numId w:val="37"/>
        </w:numPr>
        <w:spacing w:after="160" w:line="280" w:lineRule="auto"/>
      </w:pPr>
      <w:r>
        <w:t>При переполнении категории экспертными минимумами общегражданская добавка не может быть отрицательной; вместо этого публикуется фактическое превышение калибровочной доли и запускается обязательный пересмотр матрицы.</w:t>
      </w:r>
    </w:p>
    <w:p>
      <w:pPr>
        <w:pStyle w:val="Heading2"/>
      </w:pPr>
      <w:r>
        <w:rPr>
          <w:rFonts w:ascii="Calibri" w:hAnsi="Calibri" w:eastAsia="Calibri"/>
          <w:b/>
          <w:color w:val="2E74B5"/>
          <w:sz w:val="26"/>
        </w:rPr>
        <w:t>Статья 29. Образовательная надбавка</w:t>
      </w:r>
    </w:p>
    <w:p>
      <w:pPr>
        <w:numPr>
          <w:ilvl w:val="0"/>
          <w:numId w:val="38"/>
        </w:numPr>
        <w:spacing w:after="160" w:line="280" w:lineRule="auto"/>
      </w:pPr>
      <w:r>
        <w:t>Образовательная надбавка является аддитивной. Она прибавляется после тематической и общегражданской компонент, не умножает экспертный вес, не вычитается из него и не финансируется за счёт долей экспертных уровней.</w:t>
      </w:r>
    </w:p>
    <w:p>
      <w:pPr>
        <w:numPr>
          <w:ilvl w:val="0"/>
          <w:numId w:val="38"/>
        </w:numPr>
        <w:spacing w:after="160" w:line="280" w:lineRule="auto"/>
      </w:pPr>
      <w:r>
        <w:t>Надбавка доступна экспертам и неэкспертам на одинаковых основаниях.</w:t>
      </w:r>
    </w:p>
    <w:p>
      <w:pPr>
        <w:numPr>
          <w:ilvl w:val="0"/>
          <w:numId w:val="38"/>
        </w:numPr>
        <w:spacing w:after="160" w:line="280" w:lineRule="auto"/>
      </w:pPr>
      <w:r>
        <w:t>Надбавка имеет конечный максимальный размер. Это ограничение относится только к образовательной компоненте и необходимо для исполнения принципа, по которому итоговый вес любого эксперта выше итогового веса любого неэксперта.</w:t>
      </w:r>
    </w:p>
    <w:p>
      <w:pPr>
        <w:numPr>
          <w:ilvl w:val="0"/>
          <w:numId w:val="38"/>
        </w:numPr>
        <w:spacing w:after="160" w:line="280" w:lineRule="auto"/>
      </w:pPr>
      <w:r>
        <w:t>Основания надбавки должны допускать сопоставимые пути через формальное образование, профессиональное обучение, подтверждённое самообразование и признанные иностранные документы.</w:t>
      </w:r>
    </w:p>
    <w:p>
      <w:pPr>
        <w:numPr>
          <w:ilvl w:val="0"/>
          <w:numId w:val="38"/>
        </w:numPr>
        <w:spacing w:after="160" w:line="280" w:lineRule="auto"/>
      </w:pPr>
      <w:r>
        <w:t>Престиж учреждения сам по себе не определяет размер надбавки. Один и тот же результат проверки не может одновременно быть единственным основанием экспертного уровня и образовательной надбавки.</w:t>
      </w:r>
    </w:p>
    <w:p>
      <w:pPr>
        <w:numPr>
          <w:ilvl w:val="0"/>
          <w:numId w:val="38"/>
        </w:numPr>
        <w:spacing w:after="160" w:line="280" w:lineRule="auto"/>
      </w:pPr>
      <w:r>
        <w:t>Надбавку начисляет Агентство общегражданской образовательной квалификации по отдельному реестру достижений. Совет, тематическое экзаменационное Агентство и Госплан не принимают индивидуальное решение о её начислении.</w:t>
      </w:r>
    </w:p>
    <w:p>
      <w:pPr>
        <w:numPr>
          <w:ilvl w:val="0"/>
          <w:numId w:val="38"/>
        </w:numPr>
        <w:spacing w:after="160" w:line="280" w:lineRule="auto"/>
      </w:pPr>
      <w:r>
        <w:t>Отказ, размер или снятие надбавки обжалуются в Трибунале.</w:t>
      </w:r>
    </w:p>
    <w:p>
      <w:pPr>
        <w:pStyle w:val="Heading2"/>
      </w:pPr>
      <w:r>
        <w:rPr>
          <w:rFonts w:ascii="Calibri" w:hAnsi="Calibri" w:eastAsia="Calibri"/>
          <w:b/>
          <w:color w:val="2E74B5"/>
          <w:sz w:val="26"/>
        </w:rPr>
        <w:t>Статья 30. Реестровый снимок и неявка</w:t>
      </w:r>
    </w:p>
    <w:p>
      <w:pPr>
        <w:numPr>
          <w:ilvl w:val="0"/>
          <w:numId w:val="39"/>
        </w:numPr>
        <w:spacing w:after="160" w:line="280" w:lineRule="auto"/>
      </w:pPr>
      <w:r>
        <w:t>До начала кампании фиксируются тема, доли, референтные знаменатели, экспертные статусы, коэффициенты деградации, образовательные надбавки, версия кода и набор исходных данных.</w:t>
      </w:r>
    </w:p>
    <w:p>
      <w:pPr>
        <w:numPr>
          <w:ilvl w:val="0"/>
          <w:numId w:val="39"/>
        </w:numPr>
        <w:spacing w:after="160" w:line="280" w:lineRule="auto"/>
      </w:pPr>
      <w:r>
        <w:t>Снимок подписывается, хешируется и публикуется в машиночитаемом и человекочитаемом виде.</w:t>
      </w:r>
    </w:p>
    <w:p>
      <w:pPr>
        <w:numPr>
          <w:ilvl w:val="0"/>
          <w:numId w:val="39"/>
        </w:numPr>
        <w:spacing w:after="160" w:line="280" w:lineRule="auto"/>
      </w:pPr>
      <w:r>
        <w:t>Численность категории определяется по снимку, а не по числу пришедших на голосование.</w:t>
      </w:r>
    </w:p>
    <w:p>
      <w:pPr>
        <w:numPr>
          <w:ilvl w:val="0"/>
          <w:numId w:val="39"/>
        </w:numPr>
        <w:spacing w:after="160" w:line="280" w:lineRule="auto"/>
      </w:pPr>
      <w:r>
        <w:t>Вес не проголосовавшего гражданина не перераспределяется.</w:t>
      </w:r>
    </w:p>
    <w:p>
      <w:pPr>
        <w:numPr>
          <w:ilvl w:val="0"/>
          <w:numId w:val="39"/>
        </w:numPr>
        <w:spacing w:after="160" w:line="280" w:lineRule="auto"/>
      </w:pPr>
      <w:r>
        <w:t>Исправление ошибки после открытия голосования применяется к будущему голосованию. Текущее голосование приостанавливается либо повторяется, если Трибунал установил, что ошибка могла изменить исход.</w:t>
      </w:r>
    </w:p>
    <w:p>
      <w:pPr>
        <w:pStyle w:val="Heading2"/>
      </w:pPr>
      <w:r>
        <w:rPr>
          <w:rFonts w:ascii="Calibri" w:hAnsi="Calibri" w:eastAsia="Calibri"/>
          <w:b/>
          <w:color w:val="2E74B5"/>
          <w:sz w:val="26"/>
        </w:rPr>
        <w:t>Статья 31. Редкая и определяющая экспертиза</w:t>
      </w:r>
    </w:p>
    <w:p>
      <w:pPr>
        <w:numPr>
          <w:ilvl w:val="0"/>
          <w:numId w:val="40"/>
        </w:numPr>
        <w:spacing w:after="160" w:line="280" w:lineRule="auto"/>
      </w:pPr>
      <w:r>
        <w:t>После подсчёта Бюро методологии проводит контрфактическую проверку: отдельно исключает экспертную компоненту каждого лица и каждого связанного кластера, сохраняя их базовую, общегражданскую и образовательную части.</w:t>
      </w:r>
    </w:p>
    <w:p>
      <w:pPr>
        <w:numPr>
          <w:ilvl w:val="0"/>
          <w:numId w:val="40"/>
        </w:numPr>
        <w:spacing w:after="160" w:line="280" w:lineRule="auto"/>
      </w:pPr>
      <w:r>
        <w:t>Если исключение одного лица или связанного кластера меняет победивший вариант, результат признаётся зависимым от единственного источника экспертизы.</w:t>
      </w:r>
    </w:p>
    <w:p>
      <w:pPr>
        <w:numPr>
          <w:ilvl w:val="0"/>
          <w:numId w:val="40"/>
        </w:numPr>
        <w:spacing w:after="160" w:line="280" w:lineRule="auto"/>
      </w:pPr>
      <w:r>
        <w:t>Вес такого эксперта не уменьшается и не ограничивается. До необратимых последствий решение:</w:t>
      </w:r>
    </w:p>
    <w:p>
      <w:pPr>
        <w:numPr>
          <w:ilvl w:val="1"/>
          <w:numId w:val="40"/>
        </w:numPr>
        <w:spacing w:after="160" w:line="280" w:lineRule="auto"/>
      </w:pPr>
      <w:r>
        <w:t>проходит открытое состязательное рецензирование;</w:t>
      </w:r>
    </w:p>
    <w:p>
      <w:pPr>
        <w:numPr>
          <w:ilvl w:val="1"/>
          <w:numId w:val="40"/>
        </w:numPr>
        <w:spacing w:after="160" w:line="280" w:lineRule="auto"/>
      </w:pPr>
      <w:r>
        <w:t>требует подтверждения не менее чем тремя независимыми источниками компетентности;</w:t>
      </w:r>
    </w:p>
    <w:p>
      <w:pPr>
        <w:numPr>
          <w:ilvl w:val="1"/>
          <w:numId w:val="40"/>
        </w:numPr>
        <w:spacing w:after="160" w:line="280" w:lineRule="auto"/>
      </w:pPr>
      <w:r>
        <w:t>если решение принимает Палата — рассматривается Палатой во втором чтении; если решение принято прямым тематическим голосованием — выносится на повторное тематическое голосование после рецензирования;</w:t>
      </w:r>
    </w:p>
    <w:p>
      <w:pPr>
        <w:numPr>
          <w:ilvl w:val="1"/>
          <w:numId w:val="40"/>
        </w:numPr>
        <w:spacing w:after="160" w:line="280" w:lineRule="auto"/>
      </w:pPr>
      <w:r>
        <w:t>при объективном отсутствии трёх источников подтверждается гражданской ассамблеей после заслушивания сторон.</w:t>
      </w:r>
    </w:p>
    <w:p>
      <w:pPr>
        <w:numPr>
          <w:ilvl w:val="0"/>
          <w:numId w:val="40"/>
        </w:numPr>
        <w:spacing w:after="160" w:line="280" w:lineRule="auto"/>
      </w:pPr>
      <w:r>
        <w:t>Временный пилот может действовать не более ста восьмидесяти дней, если он обратим и не ограничивает основные права.</w:t>
      </w:r>
    </w:p>
    <w:p>
      <w:pPr>
        <w:numPr>
          <w:ilvl w:val="0"/>
          <w:numId w:val="40"/>
        </w:numPr>
        <w:spacing w:after="160" w:line="280" w:lineRule="auto"/>
      </w:pPr>
      <w:r>
        <w:t>Персональный выбор редкого эксперта не публикуется в форме, позволяющей раскрыть тайну голоса. Сам гражданин, аудитор и Трибунал имеют доступ к индивидуальной записи.</w:t>
      </w:r>
    </w:p>
    <w:p>
      <w:pPr>
        <w:pStyle w:val="Heading2"/>
      </w:pPr>
      <w:r>
        <w:rPr>
          <w:rFonts w:ascii="Calibri" w:hAnsi="Calibri" w:eastAsia="Calibri"/>
          <w:b/>
          <w:color w:val="2E74B5"/>
          <w:sz w:val="26"/>
        </w:rPr>
        <w:t>Статья 32. Тематическая классификация</w:t>
      </w:r>
    </w:p>
    <w:p>
      <w:pPr>
        <w:numPr>
          <w:ilvl w:val="0"/>
          <w:numId w:val="41"/>
        </w:numPr>
        <w:spacing w:after="160" w:line="280" w:lineRule="auto"/>
      </w:pPr>
      <w:r>
        <w:t>Тему и применимые экспертные уровни определяет Служба тематической классификации до раскрытия предварительных результатов и до фиксации весов.</w:t>
      </w:r>
    </w:p>
    <w:p>
      <w:pPr>
        <w:numPr>
          <w:ilvl w:val="0"/>
          <w:numId w:val="41"/>
        </w:numPr>
        <w:spacing w:after="160" w:line="280" w:lineRule="auto"/>
      </w:pPr>
      <w:r>
        <w:t>Совет, Госплан, экзаменационное Агентство и инициатор не вправе единолично определять классификацию.</w:t>
      </w:r>
    </w:p>
    <w:p>
      <w:pPr>
        <w:numPr>
          <w:ilvl w:val="0"/>
          <w:numId w:val="41"/>
        </w:numPr>
        <w:spacing w:after="160" w:line="280" w:lineRule="auto"/>
      </w:pPr>
      <w:r>
        <w:t>Для многопредметного вопроса применяется многомерная классификация либо вопрос разделяется на самостоятельные части.</w:t>
      </w:r>
    </w:p>
    <w:p>
      <w:pPr>
        <w:numPr>
          <w:ilvl w:val="0"/>
          <w:numId w:val="41"/>
        </w:numPr>
        <w:spacing w:after="160" w:line="280" w:lineRule="auto"/>
      </w:pPr>
      <w:r>
        <w:t>Публикуется анализ чувствительности результата ко всем разумным альтернативным классификациям.</w:t>
      </w:r>
    </w:p>
    <w:p>
      <w:pPr>
        <w:numPr>
          <w:ilvl w:val="0"/>
          <w:numId w:val="41"/>
        </w:numPr>
        <w:spacing w:after="160" w:line="280" w:lineRule="auto"/>
      </w:pPr>
      <w:r>
        <w:t>Если разумная альтернативная классификация меняет победителя, решение не вступает в силу до ускоренного рассмотрения Трибуналом.</w:t>
      </w:r>
    </w:p>
    <w:p>
      <w:pPr>
        <w:numPr>
          <w:ilvl w:val="0"/>
          <w:numId w:val="41"/>
        </w:numPr>
        <w:spacing w:after="160" w:line="280" w:lineRule="auto"/>
      </w:pPr>
      <w:r>
        <w:t>Объединение, разделение или переименование темы действует только для будущих инициатив. Серия связанных технических поправок оценивается по совокупному эффекту за двенадцать месяцев.</w:t>
      </w:r>
    </w:p>
    <w:p>
      <w:pPr>
        <w:pStyle w:val="Heading1"/>
      </w:pPr>
      <w:r>
        <w:rPr>
          <w:rFonts w:ascii="Calibri" w:hAnsi="Calibri" w:eastAsia="Calibri"/>
          <w:b/>
          <w:color w:val="2E74B5"/>
          <w:sz w:val="32"/>
        </w:rPr>
        <w:t>VI. Повестка и принятие решений</w:t>
      </w:r>
    </w:p>
    <w:p>
      <w:pPr>
        <w:pStyle w:val="Heading2"/>
      </w:pPr>
      <w:r>
        <w:rPr>
          <w:rFonts w:ascii="Calibri" w:hAnsi="Calibri" w:eastAsia="Calibri"/>
          <w:b/>
          <w:color w:val="2E74B5"/>
          <w:sz w:val="26"/>
        </w:rPr>
        <w:t>Статья 33. Инициатива и публичный реестр</w:t>
      </w:r>
    </w:p>
    <w:p>
      <w:pPr>
        <w:numPr>
          <w:ilvl w:val="0"/>
          <w:numId w:val="42"/>
        </w:numPr>
        <w:spacing w:after="160" w:line="280" w:lineRule="auto"/>
      </w:pPr>
      <w:r>
        <w:t>Любая допустимая инициатива получает публичный номер, страницу дела и мотивированный ответ о допустимости в течение десяти дней.</w:t>
      </w:r>
    </w:p>
    <w:p>
      <w:pPr>
        <w:numPr>
          <w:ilvl w:val="0"/>
          <w:numId w:val="42"/>
        </w:numPr>
        <w:spacing w:after="160" w:line="280" w:lineRule="auto"/>
      </w:pPr>
      <w:r>
        <w:t>Все процентные пороги считаются от действующего реестра избирателей, зафиксированного на день регистрации сбора.</w:t>
      </w:r>
    </w:p>
    <w:p>
      <w:pPr>
        <w:numPr>
          <w:ilvl w:val="0"/>
          <w:numId w:val="42"/>
        </w:numPr>
        <w:spacing w:after="160" w:line="280" w:lineRule="auto"/>
      </w:pPr>
      <w:r>
        <w:t>Поддержка 0,05 процента граждан обязывает дать содержательный публичный ответ в течение тридцати дней.</w:t>
      </w:r>
    </w:p>
    <w:p>
      <w:pPr>
        <w:numPr>
          <w:ilvl w:val="0"/>
          <w:numId w:val="42"/>
        </w:numPr>
        <w:spacing w:after="160" w:line="280" w:lineRule="auto"/>
      </w:pPr>
      <w:r>
        <w:t>Поддержка 0,25 процента граждан минимум из трёх макрорегионов запускает обязательное слушание и подготовку полного досье.</w:t>
      </w:r>
    </w:p>
    <w:p>
      <w:pPr>
        <w:numPr>
          <w:ilvl w:val="0"/>
          <w:numId w:val="42"/>
        </w:numPr>
        <w:spacing w:after="160" w:line="280" w:lineRule="auto"/>
      </w:pPr>
      <w:r>
        <w:t>Три территориальных совета, четыре канала Коллегии либо официальная инициатива Госплана запускают обязательное открытие дела. Госплан прикладывает плановое и бюджетное обоснование и не получает закрытой приоритетной очереди.</w:t>
      </w:r>
    </w:p>
    <w:p>
      <w:pPr>
        <w:numPr>
          <w:ilvl w:val="0"/>
          <w:numId w:val="42"/>
        </w:numPr>
        <w:spacing w:after="160" w:line="280" w:lineRule="auto"/>
      </w:pPr>
      <w:r>
        <w:t>Поддержка двух процентов граждан минимум из пяти макрорегионов запускает равное общенациональное голосование после проверки законности и последствий.</w:t>
      </w:r>
    </w:p>
    <w:p>
      <w:pPr>
        <w:numPr>
          <w:ilvl w:val="0"/>
          <w:numId w:val="42"/>
        </w:numPr>
        <w:spacing w:after="160" w:line="280" w:lineRule="auto"/>
      </w:pPr>
      <w:r>
        <w:t>В каждом макрорегионе, учитываемом для географического порога, собирается не менее 0,05 процента его реестра; для инициативы по пункту 6 — не менее 0,1 процента.</w:t>
      </w:r>
    </w:p>
    <w:p>
      <w:pPr>
        <w:numPr>
          <w:ilvl w:val="0"/>
          <w:numId w:val="42"/>
        </w:numPr>
        <w:spacing w:after="160" w:line="280" w:lineRule="auto"/>
      </w:pPr>
      <w:r>
        <w:t>Собственная инициатива Палаты требует восемнадцати голосов и ссылки на аудит, судебное решение, выявленную математическую несовместимость либо предусмотренную законом дату пересмотра.</w:t>
      </w:r>
    </w:p>
    <w:p>
      <w:pPr>
        <w:numPr>
          <w:ilvl w:val="0"/>
          <w:numId w:val="42"/>
        </w:numPr>
        <w:spacing w:after="160" w:line="280" w:lineRule="auto"/>
      </w:pPr>
      <w:r>
        <w:t>Отказ в регистрации или выборе класса решения обжалуется в Трибунале.</w:t>
      </w:r>
    </w:p>
    <w:p>
      <w:pPr>
        <w:pStyle w:val="Heading2"/>
      </w:pPr>
      <w:r>
        <w:rPr>
          <w:rFonts w:ascii="Calibri" w:hAnsi="Calibri" w:eastAsia="Calibri"/>
          <w:b/>
          <w:color w:val="2E74B5"/>
          <w:sz w:val="26"/>
        </w:rPr>
        <w:t>Статья 34. Обязательное досье</w:t>
      </w:r>
    </w:p>
    <w:p>
      <w:r>
        <w:t>Для решения, способного изменить политическое влияние, досье включает:</w:t>
      </w:r>
    </w:p>
    <w:p>
      <w:pPr>
        <w:numPr>
          <w:ilvl w:val="0"/>
          <w:numId w:val="43"/>
        </w:numPr>
        <w:spacing w:after="160" w:line="280" w:lineRule="auto"/>
      </w:pPr>
      <w:r>
        <w:t>точный действующий и предлагаемый текст;</w:t>
      </w:r>
    </w:p>
    <w:p>
      <w:pPr>
        <w:numPr>
          <w:ilvl w:val="0"/>
          <w:numId w:val="43"/>
        </w:numPr>
        <w:spacing w:after="160" w:line="280" w:lineRule="auto"/>
      </w:pPr>
      <w:r>
        <w:t>тему и альтернативные классификации;</w:t>
      </w:r>
    </w:p>
    <w:p>
      <w:pPr>
        <w:numPr>
          <w:ilvl w:val="0"/>
          <w:numId w:val="43"/>
        </w:numPr>
        <w:spacing w:after="160" w:line="280" w:lineRule="auto"/>
      </w:pPr>
      <w:r>
        <w:t>формулу, тестовые примеры и машиночитаемую реализацию;</w:t>
      </w:r>
    </w:p>
    <w:p>
      <w:pPr>
        <w:numPr>
          <w:ilvl w:val="0"/>
          <w:numId w:val="43"/>
        </w:numPr>
        <w:spacing w:after="160" w:line="280" w:lineRule="auto"/>
      </w:pPr>
      <w:r>
        <w:t>равный, базово-экспертный, образовательный и итоговый прогноз подсчёта;</w:t>
      </w:r>
    </w:p>
    <w:p>
      <w:pPr>
        <w:numPr>
          <w:ilvl w:val="0"/>
          <w:numId w:val="43"/>
        </w:numPr>
        <w:spacing w:after="160" w:line="280" w:lineRule="auto"/>
      </w:pPr>
      <w:r>
        <w:t>средний, медианный, максимальный вес и долю веса верхних одного, пяти и десяти процентов;</w:t>
      </w:r>
    </w:p>
    <w:p>
      <w:pPr>
        <w:numPr>
          <w:ilvl w:val="0"/>
          <w:numId w:val="43"/>
        </w:numPr>
        <w:spacing w:after="160" w:line="280" w:lineRule="auto"/>
      </w:pPr>
      <w:r>
        <w:t>число лиц и связанных кластеров, способных изменить исход;</w:t>
      </w:r>
    </w:p>
    <w:p>
      <w:pPr>
        <w:numPr>
          <w:ilvl w:val="0"/>
          <w:numId w:val="43"/>
        </w:numPr>
        <w:spacing w:after="160" w:line="280" w:lineRule="auto"/>
      </w:pPr>
      <w:r>
        <w:t>заключение о совместимости с планом и бюджетом;</w:t>
      </w:r>
    </w:p>
    <w:p>
      <w:pPr>
        <w:numPr>
          <w:ilvl w:val="0"/>
          <w:numId w:val="43"/>
        </w:numPr>
        <w:spacing w:after="160" w:line="280" w:lineRule="auto"/>
      </w:pPr>
      <w:r>
        <w:t>отдельные последствия для стратегических предприятий, МСП, работников и домашних хозяйств;</w:t>
      </w:r>
    </w:p>
    <w:p>
      <w:pPr>
        <w:numPr>
          <w:ilvl w:val="0"/>
          <w:numId w:val="43"/>
        </w:numPr>
        <w:spacing w:after="160" w:line="280" w:lineRule="auto"/>
      </w:pPr>
      <w:r>
        <w:t>территориальное распределение выгод, издержек и доступности;</w:t>
      </w:r>
    </w:p>
    <w:p>
      <w:pPr>
        <w:numPr>
          <w:ilvl w:val="0"/>
          <w:numId w:val="43"/>
        </w:numPr>
        <w:spacing w:after="160" w:line="280" w:lineRule="auto"/>
      </w:pPr>
      <w:r>
        <w:t>вариант «ничего не менять», не менее одной альтернативы и анализ чувствительности;</w:t>
      </w:r>
    </w:p>
    <w:p>
      <w:pPr>
        <w:numPr>
          <w:ilvl w:val="0"/>
          <w:numId w:val="43"/>
        </w:numPr>
        <w:spacing w:after="160" w:line="280" w:lineRule="auto"/>
      </w:pPr>
      <w:r>
        <w:t>пилот, показатели результата, срок оценки, условие автоматического прекращения и план отката;</w:t>
      </w:r>
    </w:p>
    <w:p>
      <w:pPr>
        <w:numPr>
          <w:ilvl w:val="0"/>
          <w:numId w:val="43"/>
        </w:numPr>
        <w:spacing w:after="160" w:line="280" w:lineRule="auto"/>
      </w:pPr>
      <w:r>
        <w:t>карту конфликтов интересов, лоббистский след и источники финансирования исследований.</w:t>
      </w:r>
    </w:p>
    <w:p>
      <w:pPr>
        <w:pStyle w:val="Heading2"/>
      </w:pPr>
      <w:r>
        <w:rPr>
          <w:rFonts w:ascii="Calibri" w:hAnsi="Calibri" w:eastAsia="Calibri"/>
          <w:b/>
          <w:color w:val="2E74B5"/>
          <w:sz w:val="26"/>
        </w:rPr>
        <w:t>Статья 35. Классы решений</w:t>
      </w:r>
    </w:p>
    <w:p>
      <w:pPr>
        <w:numPr>
          <w:ilvl w:val="0"/>
          <w:numId w:val="44"/>
        </w:numPr>
        <w:spacing w:after="160" w:line="280" w:lineRule="auto"/>
      </w:pPr>
      <w:r>
        <w:rPr>
          <w:b/>
        </w:rPr>
        <w:t>Класс A — обслуживание.</w:t>
      </w:r>
      <w:r>
        <w:t xml:space="preserve"> К нему относятся исправления терминологии, отображения или кода, которые не меняют право, статус, тему, источник данных и распределение веса выше установленного законом порога. Требуются пятнадцать дней публикации, две независимые проверки и не менее четырнадцати голосов Палаты, включая девять гражданских и четыре территориальных.</w:t>
      </w:r>
    </w:p>
    <w:p>
      <w:pPr>
        <w:numPr>
          <w:ilvl w:val="0"/>
          <w:numId w:val="44"/>
        </w:numPr>
        <w:spacing w:after="160" w:line="280" w:lineRule="auto"/>
      </w:pPr>
      <w:r>
        <w:rPr>
          <w:b/>
        </w:rPr>
        <w:t>Класс B — существенное регулирование.</w:t>
      </w:r>
      <w:r>
        <w:t xml:space="preserve"> К нему относятся создание, объединение или закрытие темы; тематическая матрица внутри равным референдумом одобренной методологии; параметры деградации внутри законного коридора; и иные изменения с существенным распределительным эффектом. Требуются полное досье, заключение Коллегии, два чтения с интервалом не менее четырнадцати дней и семнадцать голосов Палаты, включая десять гражданских и пять территориальных.</w:t>
      </w:r>
    </w:p>
    <w:p>
      <w:pPr>
        <w:numPr>
          <w:ilvl w:val="0"/>
          <w:numId w:val="44"/>
        </w:numPr>
        <w:spacing w:after="160" w:line="280" w:lineRule="auto"/>
      </w:pPr>
      <w:r>
        <w:rPr>
          <w:b/>
        </w:rPr>
        <w:t>Класс C — метаправила.</w:t>
      </w:r>
      <w:r>
        <w:t xml:space="preserve"> К нему относятся предметная область взвешенного голосования; определение эксперта; уровни; отсутствие верхнего предела; экспертный минимум; образовательная надбавка; метод тематических долей; референтный знаменатель; классификация тем; реестровый снимок; состав Совета; полномочия Госплана; экзамены и апелляции. Требуются девяносто дней обсуждения, отдельная ассамблея из шестидесяти граждан, два чтения с интервалом не менее тридцати дней, восемнадцать голосов Палаты, включая двенадцать гражданских и шесть территориальных, а затем равный референдум.</w:t>
      </w:r>
    </w:p>
    <w:p>
      <w:pPr>
        <w:numPr>
          <w:ilvl w:val="0"/>
          <w:numId w:val="44"/>
        </w:numPr>
        <w:spacing w:after="160" w:line="280" w:lineRule="auto"/>
      </w:pPr>
      <w:r>
        <w:t>Изменение класса по формальному названию запрещается. Учитывается совокупный фактический эффект всех связанных поправок за двенадцать месяцев.</w:t>
      </w:r>
    </w:p>
    <w:p>
      <w:pPr>
        <w:pStyle w:val="Heading2"/>
      </w:pPr>
      <w:r>
        <w:rPr>
          <w:rFonts w:ascii="Calibri" w:hAnsi="Calibri" w:eastAsia="Calibri"/>
          <w:b/>
          <w:color w:val="2E74B5"/>
          <w:sz w:val="26"/>
        </w:rPr>
        <w:t>Статья 36. Равный референдум по метаправилам</w:t>
      </w:r>
    </w:p>
    <w:p>
      <w:pPr>
        <w:numPr>
          <w:ilvl w:val="0"/>
          <w:numId w:val="45"/>
        </w:numPr>
        <w:spacing w:after="160" w:line="280" w:lineRule="auto"/>
      </w:pPr>
      <w:r>
        <w:t>На референдуме каждый гражданин имеет один голос. Тематические экспертные веса и образовательные надбавки не применяются.</w:t>
      </w:r>
    </w:p>
    <w:p>
      <w:pPr>
        <w:numPr>
          <w:ilvl w:val="0"/>
          <w:numId w:val="45"/>
        </w:numPr>
        <w:spacing w:after="160" w:line="280" w:lineRule="auto"/>
      </w:pPr>
      <w:r>
        <w:t>Метаправило принимается большинством действительных голосов по стране и большинством минимум в пяти из девяти макрорегионов.</w:t>
      </w:r>
    </w:p>
    <w:p>
      <w:pPr>
        <w:numPr>
          <w:ilvl w:val="0"/>
          <w:numId w:val="45"/>
        </w:numPr>
        <w:spacing w:after="160" w:line="280" w:lineRule="auto"/>
      </w:pPr>
      <w:r>
        <w:t>Порог явки не устанавливается. Реестр фиксируется заранее; формулировка должна быть единой, ясной и проверенной Комиссией выборов и жребия.</w:t>
      </w:r>
    </w:p>
    <w:p>
      <w:pPr>
        <w:numPr>
          <w:ilvl w:val="0"/>
          <w:numId w:val="45"/>
        </w:numPr>
        <w:spacing w:after="160" w:line="280" w:lineRule="auto"/>
      </w:pPr>
      <w:r>
        <w:t>Сторонам предоставляются равные официальные материалы, публичное финансирование и офлайн-доступ.</w:t>
      </w:r>
    </w:p>
    <w:p>
      <w:pPr>
        <w:numPr>
          <w:ilvl w:val="0"/>
          <w:numId w:val="45"/>
        </w:numPr>
        <w:spacing w:after="160" w:line="280" w:lineRule="auto"/>
      </w:pPr>
      <w:r>
        <w:t>Территориальное большинство действительно, только если поддержавшие решение макрорегионы вместе представляют не менее сорока процентов зарегистрированных избирателей страны.</w:t>
      </w:r>
    </w:p>
    <w:p>
      <w:pPr>
        <w:pStyle w:val="Heading2"/>
      </w:pPr>
      <w:r>
        <w:rPr>
          <w:rFonts w:ascii="Calibri" w:hAnsi="Calibri" w:eastAsia="Calibri"/>
          <w:b/>
          <w:color w:val="2E74B5"/>
          <w:sz w:val="26"/>
        </w:rPr>
        <w:t>Статья 37. Вступление в силу, пилот и прекращение</w:t>
      </w:r>
    </w:p>
    <w:p>
      <w:pPr>
        <w:numPr>
          <w:ilvl w:val="0"/>
          <w:numId w:val="46"/>
        </w:numPr>
        <w:spacing w:after="160" w:line="280" w:lineRule="auto"/>
      </w:pPr>
      <w:r>
        <w:t>Решение публикуется не позднее семидесяти двух часов после голосования и вступает в силу после срока для срочной процедурной апелляции.</w:t>
      </w:r>
    </w:p>
    <w:p>
      <w:pPr>
        <w:numPr>
          <w:ilvl w:val="0"/>
          <w:numId w:val="46"/>
        </w:numPr>
        <w:spacing w:after="160" w:line="280" w:lineRule="auto"/>
      </w:pPr>
      <w:r>
        <w:t>Решение класса B вступает в силу не ранее чем через девяносто дней. Более ранний обратимый пилот требует девятнадцати голосов Палаты, включая не менее одиннадцати гражданских и шести территориальных представителей; внешний аудитор подтверждает обратимость, а Трибунал проверяет только законность и соблюдение прав.</w:t>
      </w:r>
    </w:p>
    <w:p>
      <w:pPr>
        <w:numPr>
          <w:ilvl w:val="0"/>
          <w:numId w:val="46"/>
        </w:numPr>
        <w:spacing w:after="160" w:line="280" w:lineRule="auto"/>
      </w:pPr>
      <w:r>
        <w:t>Значимое изменение проходит оценку через шесть, двенадцать и двадцать четыре месяца.</w:t>
      </w:r>
    </w:p>
    <w:p>
      <w:pPr>
        <w:numPr>
          <w:ilvl w:val="0"/>
          <w:numId w:val="46"/>
        </w:numPr>
        <w:spacing w:after="160" w:line="280" w:lineRule="auto"/>
      </w:pPr>
      <w:r>
        <w:t>Акт прекращается через установленный срок, если обязательная оценка не проведена либо повторное решение не подтверждает его.</w:t>
      </w:r>
    </w:p>
    <w:p>
      <w:pPr>
        <w:numPr>
          <w:ilvl w:val="0"/>
          <w:numId w:val="46"/>
        </w:numPr>
        <w:spacing w:after="160" w:line="280" w:lineRule="auto"/>
      </w:pPr>
      <w:r>
        <w:t>Оператор хранит последнюю законную версию и обеспечивает проверяемый откат.</w:t>
      </w:r>
    </w:p>
    <w:p>
      <w:pPr>
        <w:pStyle w:val="Heading2"/>
      </w:pPr>
      <w:r>
        <w:rPr>
          <w:rFonts w:ascii="Calibri" w:hAnsi="Calibri" w:eastAsia="Calibri"/>
          <w:b/>
          <w:color w:val="2E74B5"/>
          <w:sz w:val="26"/>
        </w:rPr>
        <w:t>Статья 38. Чрезвычайный режим</w:t>
      </w:r>
    </w:p>
    <w:p>
      <w:pPr>
        <w:numPr>
          <w:ilvl w:val="0"/>
          <w:numId w:val="47"/>
        </w:numPr>
        <w:spacing w:after="160" w:line="280" w:lineRule="auto"/>
      </w:pPr>
      <w:r>
        <w:t>В чрезвычайном режиме запрещается менять экспертные уровни, доли, образовательную надбавку, состав органов, правила выборов и метаправила.</w:t>
      </w:r>
    </w:p>
    <w:p>
      <w:pPr>
        <w:numPr>
          <w:ilvl w:val="0"/>
          <w:numId w:val="47"/>
        </w:numPr>
        <w:spacing w:after="160" w:line="280" w:lineRule="auto"/>
      </w:pPr>
      <w:r>
        <w:t>Допускаются только меры доступности, безопасности и непрерывности сроком до четырнадцати дней.</w:t>
      </w:r>
    </w:p>
    <w:p>
      <w:pPr>
        <w:numPr>
          <w:ilvl w:val="0"/>
          <w:numId w:val="47"/>
        </w:numPr>
        <w:spacing w:after="160" w:line="280" w:lineRule="auto"/>
      </w:pPr>
      <w:r>
        <w:t>Мера требует двух третей Палаты и судебной проверки в течение сорока восьми часов. Допускается одно продление.</w:t>
      </w:r>
    </w:p>
    <w:p>
      <w:pPr>
        <w:numPr>
          <w:ilvl w:val="0"/>
          <w:numId w:val="47"/>
        </w:numPr>
        <w:spacing w:after="160" w:line="280" w:lineRule="auto"/>
      </w:pPr>
      <w:r>
        <w:t>Временная мера автоматически прекращается; её последующее подтверждение действует только на будущее.</w:t>
      </w:r>
    </w:p>
    <w:p>
      <w:pPr>
        <w:pStyle w:val="Heading1"/>
      </w:pPr>
      <w:r>
        <w:rPr>
          <w:rFonts w:ascii="Calibri" w:hAnsi="Calibri" w:eastAsia="Calibri"/>
          <w:b/>
          <w:color w:val="2E74B5"/>
          <w:sz w:val="32"/>
        </w:rPr>
        <w:t>VII. Независимые органы и аппарат</w:t>
      </w:r>
    </w:p>
    <w:p>
      <w:pPr>
        <w:pStyle w:val="Heading2"/>
      </w:pPr>
      <w:r>
        <w:rPr>
          <w:rFonts w:ascii="Calibri" w:hAnsi="Calibri" w:eastAsia="Calibri"/>
          <w:b/>
          <w:color w:val="2E74B5"/>
          <w:sz w:val="26"/>
        </w:rPr>
        <w:t>Статья 39. Комиссия выборов и жребия</w:t>
      </w:r>
    </w:p>
    <w:p>
      <w:pPr>
        <w:numPr>
          <w:ilvl w:val="0"/>
          <w:numId w:val="48"/>
        </w:numPr>
        <w:spacing w:after="160" w:line="280" w:lineRule="auto"/>
      </w:pPr>
      <w:r>
        <w:t>Комиссия проводит выборы, жеребьёвку, референдумы, проверяет избирательные и организационные реестры, финансирование кампаний, резервные очереди и формулировки вопросов.</w:t>
      </w:r>
    </w:p>
    <w:p>
      <w:pPr>
        <w:numPr>
          <w:ilvl w:val="0"/>
          <w:numId w:val="48"/>
        </w:numPr>
        <w:spacing w:after="160" w:line="280" w:lineRule="auto"/>
      </w:pPr>
      <w:r>
        <w:t>Комиссия состоит из девяти членов с шестилетними невозобновляемыми и несовпадающими сроками: троих назначает независимый судебный совет; троих совместно выдвигают Омбудсман и высший аудитор; троих выбирает гражданское жюри из проверенного профессионального списка.</w:t>
      </w:r>
    </w:p>
    <w:p>
      <w:pPr>
        <w:numPr>
          <w:ilvl w:val="0"/>
          <w:numId w:val="48"/>
        </w:numPr>
        <w:spacing w:after="160" w:line="280" w:lineRule="auto"/>
      </w:pPr>
      <w:r>
        <w:t>Совет, Госплан и исполнительная власть не могут назначить большинство Комиссии.</w:t>
      </w:r>
    </w:p>
    <w:p>
      <w:pPr>
        <w:numPr>
          <w:ilvl w:val="0"/>
          <w:numId w:val="48"/>
        </w:numPr>
        <w:spacing w:after="160" w:line="280" w:lineRule="auto"/>
      </w:pPr>
      <w:r>
        <w:t>Удаление члена допускается Трибуналом только по исчерпывающим законным основаниям.</w:t>
      </w:r>
    </w:p>
    <w:p>
      <w:pPr>
        <w:pStyle w:val="Heading2"/>
      </w:pPr>
      <w:r>
        <w:rPr>
          <w:rFonts w:ascii="Calibri" w:hAnsi="Calibri" w:eastAsia="Calibri"/>
          <w:b/>
          <w:color w:val="2E74B5"/>
          <w:sz w:val="26"/>
        </w:rPr>
        <w:t>Статья 40. Агентства экзаменов и образовательной квалификации</w:t>
      </w:r>
    </w:p>
    <w:p>
      <w:pPr>
        <w:numPr>
          <w:ilvl w:val="0"/>
          <w:numId w:val="49"/>
        </w:numPr>
        <w:spacing w:after="160" w:line="280" w:lineRule="auto"/>
      </w:pPr>
      <w:r>
        <w:t>Агентство разрабатывает психометрические стандарты, аккредитует несколько независимых провайдеров, проверяет валидность, доступность и дискриминационные эффекты экзаменов.</w:t>
      </w:r>
    </w:p>
    <w:p>
      <w:pPr>
        <w:numPr>
          <w:ilvl w:val="0"/>
          <w:numId w:val="49"/>
        </w:numPr>
        <w:spacing w:after="160" w:line="280" w:lineRule="auto"/>
      </w:pPr>
      <w:r>
        <w:t>Совет утверждает только общую рамку компетенций и не получает доступ к банкам заданий или индивидуальному выбору комиссии.</w:t>
      </w:r>
    </w:p>
    <w:p>
      <w:pPr>
        <w:numPr>
          <w:ilvl w:val="0"/>
          <w:numId w:val="49"/>
        </w:numPr>
        <w:spacing w:after="160" w:line="280" w:lineRule="auto"/>
      </w:pPr>
      <w:r>
        <w:t>Аккредитационные и экзаменационные сборы перечисляются в общий бюджет и не образуют доход Агентства.</w:t>
      </w:r>
    </w:p>
    <w:p>
      <w:pPr>
        <w:numPr>
          <w:ilvl w:val="0"/>
          <w:numId w:val="49"/>
        </w:numPr>
        <w:spacing w:after="160" w:line="280" w:lineRule="auto"/>
      </w:pPr>
      <w:r>
        <w:t>Агентство не рассматривает окончательно жалобы на собственные решения.</w:t>
      </w:r>
    </w:p>
    <w:p>
      <w:pPr>
        <w:numPr>
          <w:ilvl w:val="0"/>
          <w:numId w:val="49"/>
        </w:numPr>
        <w:spacing w:after="160" w:line="280" w:lineRule="auto"/>
      </w:pPr>
      <w:r>
        <w:t>Агентство общегражданской образовательной квалификации ведёт отдельный реестр оснований надбавки, применяет единые правила к экспертам и неэкспертам и не участвует в предметных экзаменах.</w:t>
      </w:r>
    </w:p>
    <w:p>
      <w:pPr>
        <w:numPr>
          <w:ilvl w:val="0"/>
          <w:numId w:val="49"/>
        </w:numPr>
        <w:spacing w:after="160" w:line="280" w:lineRule="auto"/>
      </w:pPr>
      <w:r>
        <w:t>Его решения не зависят от тематических долей, Госплана, работодателя или престижа учреждения и обжалуются в Трибунале.</w:t>
      </w:r>
    </w:p>
    <w:p>
      <w:pPr>
        <w:numPr>
          <w:ilvl w:val="0"/>
          <w:numId w:val="49"/>
        </w:numPr>
        <w:spacing w:after="160" w:line="280" w:lineRule="auto"/>
      </w:pPr>
      <w:r>
        <w:t>Один орган не может одновременно руководить тематическим экзаменационным Агентством и Агентством общегражданской образовательной квалификации.</w:t>
      </w:r>
    </w:p>
    <w:p>
      <w:pPr>
        <w:pStyle w:val="Heading2"/>
      </w:pPr>
      <w:r>
        <w:rPr>
          <w:rFonts w:ascii="Calibri" w:hAnsi="Calibri" w:eastAsia="Calibri"/>
          <w:b/>
          <w:color w:val="2E74B5"/>
          <w:sz w:val="26"/>
        </w:rPr>
        <w:t>Статья 41. Служба классификации и Бюро методологии</w:t>
      </w:r>
    </w:p>
    <w:p>
      <w:pPr>
        <w:numPr>
          <w:ilvl w:val="0"/>
          <w:numId w:val="50"/>
        </w:numPr>
        <w:spacing w:after="160" w:line="280" w:lineRule="auto"/>
      </w:pPr>
      <w:r>
        <w:t>Служба тематической классификации устанавливает тему, смежность и применимые уровни по критериям методологического закона.</w:t>
      </w:r>
    </w:p>
    <w:p>
      <w:pPr>
        <w:numPr>
          <w:ilvl w:val="0"/>
          <w:numId w:val="50"/>
        </w:numPr>
        <w:spacing w:after="160" w:line="280" w:lineRule="auto"/>
      </w:pPr>
      <w:r>
        <w:t>Бюро методологии рассчитывает веса, референтные знаменатели, последствия и чувствительность, но не присваивает статус и не выбирает политически предпочтительный вариант.</w:t>
      </w:r>
    </w:p>
    <w:p>
      <w:pPr>
        <w:numPr>
          <w:ilvl w:val="0"/>
          <w:numId w:val="50"/>
        </w:numPr>
        <w:spacing w:after="160" w:line="280" w:lineRule="auto"/>
      </w:pPr>
      <w:r>
        <w:t>Руководители Службы и Бюро назначаются после открытого конкурса на невозобновляемый срок. Один и тот же орган не может назначить обоих единолично.</w:t>
      </w:r>
    </w:p>
    <w:p>
      <w:pPr>
        <w:numPr>
          <w:ilvl w:val="0"/>
          <w:numId w:val="50"/>
        </w:numPr>
        <w:spacing w:after="160" w:line="280" w:lineRule="auto"/>
      </w:pPr>
      <w:r>
        <w:t>Руководитель Бюро имеет право публиковать заключение без редактирования Палатой, Коллегией или Госпланом.</w:t>
      </w:r>
    </w:p>
    <w:p>
      <w:pPr>
        <w:numPr>
          <w:ilvl w:val="0"/>
          <w:numId w:val="50"/>
        </w:numPr>
        <w:spacing w:after="160" w:line="280" w:lineRule="auto"/>
      </w:pPr>
      <w:r>
        <w:t>Госплан и иные держатели данных обязаны передавать исходные данные и модели в защищённую среду. Общество получает метод, допущения, качество, историю исправлений и агрегированный воспроизводимый результат.</w:t>
      </w:r>
    </w:p>
    <w:p>
      <w:pPr>
        <w:pStyle w:val="Heading2"/>
      </w:pPr>
      <w:r>
        <w:rPr>
          <w:rFonts w:ascii="Calibri" w:hAnsi="Calibri" w:eastAsia="Calibri"/>
          <w:b/>
          <w:color w:val="2E74B5"/>
          <w:sz w:val="26"/>
        </w:rPr>
        <w:t>Статья 42. Трибунал голосовых прав и Омбудсман</w:t>
      </w:r>
    </w:p>
    <w:p>
      <w:pPr>
        <w:numPr>
          <w:ilvl w:val="0"/>
          <w:numId w:val="51"/>
        </w:numPr>
        <w:spacing w:after="160" w:line="280" w:lineRule="auto"/>
      </w:pPr>
      <w:r>
        <w:t>Трибунал рассматривает экзамены, статусы, образовательные надбавки, классификацию тем, отказ в инициативе, класс решения, отводы, доступ к материалам и процедурные нарушения.</w:t>
      </w:r>
    </w:p>
    <w:p>
      <w:pPr>
        <w:numPr>
          <w:ilvl w:val="0"/>
          <w:numId w:val="51"/>
        </w:numPr>
        <w:spacing w:after="160" w:line="280" w:lineRule="auto"/>
      </w:pPr>
      <w:r>
        <w:t>Жалоба подаётся в течение пятнадцати дней; стандартное решение принимается в течение сорока пяти, сложное — не позднее девяноста дней. Срочная обеспечительная мера принимается в течение семидесяти двух часов.</w:t>
      </w:r>
    </w:p>
    <w:p>
      <w:pPr>
        <w:numPr>
          <w:ilvl w:val="0"/>
          <w:numId w:val="51"/>
        </w:numPr>
        <w:spacing w:after="160" w:line="280" w:lineRule="auto"/>
      </w:pPr>
      <w:r>
        <w:t>Решение Трибунала обязательно до его отмены компетентным судом. Трибунал может отменить акт за нарушение права или процедуры, но не подменяет собой политический выбор.</w:t>
      </w:r>
    </w:p>
    <w:p>
      <w:pPr>
        <w:numPr>
          <w:ilvl w:val="0"/>
          <w:numId w:val="51"/>
        </w:numPr>
        <w:spacing w:after="160" w:line="280" w:lineRule="auto"/>
      </w:pPr>
      <w:r>
        <w:t>Омбудсман бесплатно рассматривает недоступность, задержки, дискриминацию, давление, преследование заявителя и сокрытие документов, а также вправе начинать системное расследование.</w:t>
      </w:r>
    </w:p>
    <w:p>
      <w:pPr>
        <w:pStyle w:val="Heading2"/>
      </w:pPr>
      <w:r>
        <w:rPr>
          <w:rFonts w:ascii="Calibri" w:hAnsi="Calibri" w:eastAsia="Calibri"/>
          <w:b/>
          <w:color w:val="2E74B5"/>
          <w:sz w:val="26"/>
        </w:rPr>
        <w:t>Статья 43. Оператор, аудит и разделение доступа</w:t>
      </w:r>
    </w:p>
    <w:p>
      <w:pPr>
        <w:numPr>
          <w:ilvl w:val="0"/>
          <w:numId w:val="52"/>
        </w:numPr>
        <w:spacing w:after="160" w:line="280" w:lineRule="auto"/>
      </w:pPr>
      <w:r>
        <w:t>Оператор цифрового реестра исполняет опубликованную версию формулы и не вправе изменять правило.</w:t>
      </w:r>
    </w:p>
    <w:p>
      <w:pPr>
        <w:numPr>
          <w:ilvl w:val="0"/>
          <w:numId w:val="52"/>
        </w:numPr>
        <w:spacing w:after="160" w:line="280" w:lineRule="auto"/>
      </w:pPr>
      <w:r>
        <w:t>Ни один сотрудник не может единолично изменить формулу, активный набор данных и исполняемый код.</w:t>
      </w:r>
    </w:p>
    <w:p>
      <w:pPr>
        <w:numPr>
          <w:ilvl w:val="0"/>
          <w:numId w:val="52"/>
        </w:numPr>
        <w:spacing w:after="160" w:line="280" w:lineRule="auto"/>
      </w:pPr>
      <w:r>
        <w:t>Каждая версия подписывается, воспроизводится на зафиксированном снимке и хранится вместе с эталонными тестами.</w:t>
      </w:r>
    </w:p>
    <w:p>
      <w:pPr>
        <w:numPr>
          <w:ilvl w:val="0"/>
          <w:numId w:val="52"/>
        </w:numPr>
        <w:spacing w:after="160" w:line="280" w:lineRule="auto"/>
      </w:pPr>
      <w:r>
        <w:t>Внешний аудит имеет прямой доступ к данным, коду, поставщикам и журналам; сам определяет объём проверки и время публикации.</w:t>
      </w:r>
    </w:p>
    <w:p>
      <w:pPr>
        <w:numPr>
          <w:ilvl w:val="0"/>
          <w:numId w:val="52"/>
        </w:numPr>
        <w:spacing w:after="160" w:line="280" w:lineRule="auto"/>
      </w:pPr>
      <w:r>
        <w:t>Финансовый аудит проводится ежегодно, алгоритмический и кибераудит критических модулей — не реже одного раза в год, аудит эффективности — раз в три года.</w:t>
      </w:r>
    </w:p>
    <w:p>
      <w:pPr>
        <w:pStyle w:val="Heading1"/>
      </w:pPr>
      <w:r>
        <w:rPr>
          <w:rFonts w:ascii="Calibri" w:hAnsi="Calibri" w:eastAsia="Calibri"/>
          <w:b/>
          <w:color w:val="2E74B5"/>
          <w:sz w:val="32"/>
        </w:rPr>
        <w:t>VIII. Добросовестность, лоббизм и данные</w:t>
      </w:r>
    </w:p>
    <w:p>
      <w:pPr>
        <w:pStyle w:val="Heading2"/>
      </w:pPr>
      <w:r>
        <w:rPr>
          <w:rFonts w:ascii="Calibri" w:hAnsi="Calibri" w:eastAsia="Calibri"/>
          <w:b/>
          <w:color w:val="2E74B5"/>
          <w:sz w:val="26"/>
        </w:rPr>
        <w:t>Статья 44. Реестр интересов и контактов</w:t>
      </w:r>
    </w:p>
    <w:p>
      <w:r>
        <w:t>Для каждого содержательного воздействия публикуются:</w:t>
      </w:r>
    </w:p>
    <w:p>
      <w:pPr>
        <w:numPr>
          <w:ilvl w:val="0"/>
          <w:numId w:val="53"/>
        </w:numPr>
        <w:spacing w:after="160" w:line="280" w:lineRule="auto"/>
      </w:pPr>
      <w:r>
        <w:t>лицо, организация, связанные лица и конечные бенефициары;</w:t>
      </w:r>
    </w:p>
    <w:p>
      <w:pPr>
        <w:numPr>
          <w:ilvl w:val="0"/>
          <w:numId w:val="53"/>
        </w:numPr>
        <w:spacing w:after="160" w:line="280" w:lineRule="auto"/>
      </w:pPr>
      <w:r>
        <w:t>представляемый интерес и желаемое изменение;</w:t>
      </w:r>
    </w:p>
    <w:p>
      <w:pPr>
        <w:numPr>
          <w:ilvl w:val="0"/>
          <w:numId w:val="53"/>
        </w:numPr>
        <w:spacing w:after="160" w:line="280" w:lineRule="auto"/>
      </w:pPr>
      <w:r>
        <w:t>заказчик, финансирование, оплаченные исследования и консультанты;</w:t>
      </w:r>
    </w:p>
    <w:p>
      <w:pPr>
        <w:numPr>
          <w:ilvl w:val="0"/>
          <w:numId w:val="53"/>
        </w:numPr>
        <w:spacing w:after="160" w:line="280" w:lineRule="auto"/>
      </w:pPr>
      <w:r>
        <w:t>встречи, звонки, переписка и переданные материалы;</w:t>
      </w:r>
    </w:p>
    <w:p>
      <w:pPr>
        <w:numPr>
          <w:ilvl w:val="0"/>
          <w:numId w:val="53"/>
        </w:numPr>
        <w:spacing w:after="160" w:line="280" w:lineRule="auto"/>
      </w:pPr>
      <w:r>
        <w:t>подарки, поездки и натуральная поддержка.</w:t>
      </w:r>
    </w:p>
    <w:p>
      <w:r>
        <w:t>Устный контакт регистрируется в течение сорока восьми часов, материалы и протокол — не позднее семи дней. После закрытия доказательственного окна односторонний контакт запрещается либо раскрывается с равным правом ответа других сторон.</w:t>
      </w:r>
    </w:p>
    <w:p>
      <w:pPr>
        <w:pStyle w:val="Heading2"/>
      </w:pPr>
      <w:r>
        <w:rPr>
          <w:rFonts w:ascii="Calibri" w:hAnsi="Calibri" w:eastAsia="Calibri"/>
          <w:b/>
          <w:color w:val="2E74B5"/>
          <w:sz w:val="26"/>
        </w:rPr>
        <w:t>Статья 45. Декларации, отвод и охлаждение</w:t>
      </w:r>
    </w:p>
    <w:p>
      <w:pPr>
        <w:numPr>
          <w:ilvl w:val="0"/>
          <w:numId w:val="54"/>
        </w:numPr>
        <w:spacing w:after="160" w:line="280" w:lineRule="auto"/>
      </w:pPr>
      <w:r>
        <w:t>Члены и руководители подают декларации до вступления, ежегодно и в течение тридцати дней после существенного изменения.</w:t>
      </w:r>
    </w:p>
    <w:p>
      <w:pPr>
        <w:numPr>
          <w:ilvl w:val="0"/>
          <w:numId w:val="54"/>
        </w:numPr>
        <w:spacing w:after="160" w:line="280" w:lineRule="auto"/>
      </w:pPr>
      <w:r>
        <w:t>Подарки запрещены; протокольные подарки передаются государству.</w:t>
      </w:r>
    </w:p>
    <w:p>
      <w:pPr>
        <w:numPr>
          <w:ilvl w:val="0"/>
          <w:numId w:val="54"/>
        </w:numPr>
        <w:spacing w:after="160" w:line="280" w:lineRule="auto"/>
      </w:pPr>
      <w:r>
        <w:t>Отвод обязателен при конкретной материальной или семейной заинтересованности. Скрытый конфликт, способный изменить исход, является основанием отмены решения.</w:t>
      </w:r>
    </w:p>
    <w:p>
      <w:pPr>
        <w:numPr>
          <w:ilvl w:val="0"/>
          <w:numId w:val="54"/>
        </w:numPr>
        <w:spacing w:after="160" w:line="280" w:lineRule="auto"/>
      </w:pPr>
      <w:r>
        <w:t>Не менее пяти процентов деклараций ежегодно проверяются случайно; все высокорисковые декларации проверяются обязательно.</w:t>
      </w:r>
    </w:p>
    <w:p>
      <w:pPr>
        <w:numPr>
          <w:ilvl w:val="0"/>
          <w:numId w:val="54"/>
        </w:numPr>
        <w:spacing w:after="160" w:line="280" w:lineRule="auto"/>
      </w:pPr>
      <w:r>
        <w:t>В течение двух лет после мандата член или высший руководитель не может лоббировать Совет или работать у поставщика системы. Закон предусматривает соразмерную компенсацию ограничения.</w:t>
      </w:r>
    </w:p>
    <w:p>
      <w:pPr>
        <w:pStyle w:val="Heading2"/>
      </w:pPr>
      <w:r>
        <w:rPr>
          <w:rFonts w:ascii="Calibri" w:hAnsi="Calibri" w:eastAsia="Calibri"/>
          <w:b/>
          <w:color w:val="2E74B5"/>
          <w:sz w:val="26"/>
        </w:rPr>
        <w:t>Статья 46. Закупки и критическая инфраструктура</w:t>
      </w:r>
    </w:p>
    <w:p>
      <w:pPr>
        <w:numPr>
          <w:ilvl w:val="0"/>
          <w:numId w:val="55"/>
        </w:numPr>
        <w:spacing w:after="160" w:line="280" w:lineRule="auto"/>
      </w:pPr>
      <w:r>
        <w:t>Открытый конкурс является основным способом закупки.</w:t>
      </w:r>
    </w:p>
    <w:p>
      <w:pPr>
        <w:numPr>
          <w:ilvl w:val="0"/>
          <w:numId w:val="55"/>
        </w:numPr>
        <w:spacing w:after="160" w:line="280" w:lineRule="auto"/>
      </w:pPr>
      <w:r>
        <w:t>Публикуются план, требования, участники, оценка, договор, бенефициары, изменения, платежи и результат.</w:t>
      </w:r>
    </w:p>
    <w:p>
      <w:pPr>
        <w:numPr>
          <w:ilvl w:val="0"/>
          <w:numId w:val="55"/>
        </w:numPr>
        <w:spacing w:after="160" w:line="280" w:lineRule="auto"/>
      </w:pPr>
      <w:r>
        <w:t>Подготовка требований, выбор, приёмка и платёж разделяются между разными должностными лицами.</w:t>
      </w:r>
    </w:p>
    <w:p>
      <w:pPr>
        <w:numPr>
          <w:ilvl w:val="0"/>
          <w:numId w:val="55"/>
        </w:numPr>
        <w:spacing w:after="160" w:line="280" w:lineRule="auto"/>
      </w:pPr>
      <w:r>
        <w:t>Критический код предоставляется на открытой лицензии либо помещается в независимое хранилище исходного кода с правом государства на сборку, данные, конфигурацию и переход к другому поставщику.</w:t>
      </w:r>
    </w:p>
    <w:p>
      <w:pPr>
        <w:numPr>
          <w:ilvl w:val="0"/>
          <w:numId w:val="55"/>
        </w:numPr>
        <w:spacing w:after="160" w:line="280" w:lineRule="auto"/>
      </w:pPr>
      <w:r>
        <w:t>Экстренная закупка ограничивается объективным событием и сроком; договор публикуется, а аудит проводится не позднее тридцати дней.</w:t>
      </w:r>
    </w:p>
    <w:p>
      <w:pPr>
        <w:pStyle w:val="Heading1"/>
      </w:pPr>
      <w:r>
        <w:rPr>
          <w:rFonts w:ascii="Calibri" w:hAnsi="Calibri" w:eastAsia="Calibri"/>
          <w:b/>
          <w:color w:val="2E74B5"/>
          <w:sz w:val="32"/>
        </w:rPr>
        <w:t>IX. Ресурсы и подотчётность</w:t>
      </w:r>
    </w:p>
    <w:p>
      <w:pPr>
        <w:pStyle w:val="Heading2"/>
      </w:pPr>
      <w:r>
        <w:rPr>
          <w:rFonts w:ascii="Calibri" w:hAnsi="Calibri" w:eastAsia="Calibri"/>
          <w:b/>
          <w:color w:val="2E74B5"/>
          <w:sz w:val="26"/>
        </w:rPr>
        <w:t>Статья 47. Бюджетная независимость</w:t>
      </w:r>
    </w:p>
    <w:p>
      <w:pPr>
        <w:numPr>
          <w:ilvl w:val="0"/>
          <w:numId w:val="56"/>
        </w:numPr>
        <w:spacing w:after="160" w:line="280" w:lineRule="auto"/>
      </w:pPr>
      <w:r>
        <w:t>Система финансируется прямой статутной выплатой из консолидированного публичного бюджета.</w:t>
      </w:r>
    </w:p>
    <w:p>
      <w:pPr>
        <w:numPr>
          <w:ilvl w:val="0"/>
          <w:numId w:val="56"/>
        </w:numPr>
        <w:spacing w:after="160" w:line="280" w:lineRule="auto"/>
      </w:pPr>
      <w:r>
        <w:t>Четырёхлетний операционный план ежегодно обновляется. Реальное сокращение базового бюджета более чем на пять процентов требует отдельного закона и публичного заключения независимого фискального органа.</w:t>
      </w:r>
    </w:p>
    <w:p>
      <w:pPr>
        <w:numPr>
          <w:ilvl w:val="0"/>
          <w:numId w:val="56"/>
        </w:numPr>
        <w:spacing w:after="160" w:line="280" w:lineRule="auto"/>
      </w:pPr>
      <w:r>
        <w:t>Если новый бюджет не принят, ежемесячно автоматически перечисляется одна двенадцатая индексированного бюджета предыдущего года.</w:t>
      </w:r>
    </w:p>
    <w:p>
      <w:pPr>
        <w:numPr>
          <w:ilvl w:val="0"/>
          <w:numId w:val="56"/>
        </w:numPr>
        <w:spacing w:after="160" w:line="280" w:lineRule="auto"/>
      </w:pPr>
      <w:r>
        <w:t>Финансирование предприятиями, Госпланом, пожертвованиями, ведомственными грантами или удерживаемыми сборами запрещается.</w:t>
      </w:r>
    </w:p>
    <w:p>
      <w:pPr>
        <w:numPr>
          <w:ilvl w:val="0"/>
          <w:numId w:val="56"/>
        </w:numPr>
        <w:spacing w:after="160" w:line="280" w:lineRule="auto"/>
      </w:pPr>
      <w:r>
        <w:t>Референдумы и общенациональные выборы финансируются отдельной событийной строкой Комиссии.</w:t>
      </w:r>
    </w:p>
    <w:p>
      <w:pPr>
        <w:numPr>
          <w:ilvl w:val="0"/>
          <w:numId w:val="56"/>
        </w:numPr>
        <w:spacing w:after="160" w:line="280" w:lineRule="auto"/>
      </w:pPr>
      <w:r>
        <w:t>Фонд равного участия получает от двух до трёх процентов бюджета системы и оплачивает доступность, перевод, поездки, уход и небольшие независимые исследования для граждан, МСП и удалённых территорий. Крупные предприятия и государственные органы средства Фонда не получают.</w:t>
      </w:r>
    </w:p>
    <w:p>
      <w:pPr>
        <w:pStyle w:val="Heading2"/>
      </w:pPr>
      <w:r>
        <w:rPr>
          <w:rFonts w:ascii="Calibri" w:hAnsi="Calibri" w:eastAsia="Calibri"/>
          <w:b/>
          <w:color w:val="2E74B5"/>
          <w:sz w:val="26"/>
        </w:rPr>
        <w:t>Статья 48. Аппарат</w:t>
      </w:r>
    </w:p>
    <w:p>
      <w:pPr>
        <w:numPr>
          <w:ilvl w:val="0"/>
          <w:numId w:val="57"/>
        </w:numPr>
        <w:spacing w:after="160" w:line="280" w:lineRule="auto"/>
      </w:pPr>
      <w:r>
        <w:t>Генеральный секретарь организует календарь, юридическую технику, архив, финансы и персонал, но не является членом Палаты или Коллегии.</w:t>
      </w:r>
    </w:p>
    <w:p>
      <w:pPr>
        <w:numPr>
          <w:ilvl w:val="0"/>
          <w:numId w:val="57"/>
        </w:numPr>
        <w:spacing w:after="160" w:line="280" w:lineRule="auto"/>
      </w:pPr>
      <w:r>
        <w:t>Генеральный секретарь назначается после открытого конкурса на шесть лет без повторного срока и удаляется только по исчерпывающим основаниям.</w:t>
      </w:r>
    </w:p>
    <w:p>
      <w:pPr>
        <w:numPr>
          <w:ilvl w:val="0"/>
          <w:numId w:val="57"/>
        </w:numPr>
        <w:spacing w:after="160" w:line="280" w:lineRule="auto"/>
      </w:pPr>
      <w:r>
        <w:t>Палата, Коллегия, Служба классификации, Бюро методологии, Трибунал, Омбудсман, Инспектор этики и аудит имеют раздельные функциональные руководства и защищённые строки бюджета.</w:t>
      </w:r>
    </w:p>
    <w:p>
      <w:pPr>
        <w:numPr>
          <w:ilvl w:val="0"/>
          <w:numId w:val="57"/>
        </w:numPr>
        <w:spacing w:after="160" w:line="280" w:lineRule="auto"/>
      </w:pPr>
      <w:r>
        <w:t>Единый публичный реестр допускается; единый руководитель повестки, анализа, публикации и контроля не допускается.</w:t>
      </w:r>
    </w:p>
    <w:p>
      <w:pPr>
        <w:pStyle w:val="Heading2"/>
      </w:pPr>
      <w:r>
        <w:rPr>
          <w:rFonts w:ascii="Calibri" w:hAnsi="Calibri" w:eastAsia="Calibri"/>
          <w:b/>
          <w:color w:val="2E74B5"/>
          <w:sz w:val="26"/>
        </w:rPr>
        <w:t>Статья 49. Отчётность</w:t>
      </w:r>
    </w:p>
    <w:p>
      <w:pPr>
        <w:numPr>
          <w:ilvl w:val="0"/>
          <w:numId w:val="58"/>
        </w:numPr>
        <w:spacing w:after="160" w:line="280" w:lineRule="auto"/>
      </w:pPr>
      <w:r>
        <w:t>Досье и карта конфликтов публикуются до голосования; решение, поимённые голоса и особые мнения — в течение семидесяти двух часов.</w:t>
      </w:r>
    </w:p>
    <w:p>
      <w:pPr>
        <w:numPr>
          <w:ilvl w:val="0"/>
          <w:numId w:val="58"/>
        </w:numPr>
        <w:spacing w:after="160" w:line="280" w:lineRule="auto"/>
      </w:pPr>
      <w:r>
        <w:t>Ежемесячно публикуется операционная панель; ежеквартально — бюджет, закупки, сроки апелляций, качество данных и агрегированные сведения о безопасности.</w:t>
      </w:r>
    </w:p>
    <w:p>
      <w:pPr>
        <w:numPr>
          <w:ilvl w:val="0"/>
          <w:numId w:val="58"/>
        </w:numPr>
        <w:spacing w:after="160" w:line="280" w:lineRule="auto"/>
      </w:pPr>
      <w:r>
        <w:t>Ежегодный отчёт включает представительность выборки, концентрацию весов, отклонения от тематических долей, точность прогнозов и исполнение решений.</w:t>
      </w:r>
    </w:p>
    <w:p>
      <w:pPr>
        <w:numPr>
          <w:ilvl w:val="0"/>
          <w:numId w:val="58"/>
        </w:numPr>
        <w:spacing w:after="160" w:line="280" w:lineRule="auto"/>
      </w:pPr>
      <w:r>
        <w:t>Независимый методологический обзор проводится раз в два года; аудит эффективности — раз в три года; полная институциональная оценка — после двух первых полных циклов и далее не реже одного раза в пять лет.</w:t>
      </w:r>
    </w:p>
    <w:p>
      <w:pPr>
        <w:numPr>
          <w:ilvl w:val="0"/>
          <w:numId w:val="58"/>
        </w:numPr>
        <w:spacing w:after="160" w:line="280" w:lineRule="auto"/>
      </w:pPr>
      <w:r>
        <w:t>Показатели эффективности не могут зависеть от доли сдавших экзамен, числа созданных тем, процента отклонённых жалоб или политической поддержки Совета.</w:t>
      </w:r>
    </w:p>
    <w:p>
      <w:pPr>
        <w:pStyle w:val="Heading1"/>
      </w:pPr>
      <w:r>
        <w:rPr>
          <w:rFonts w:ascii="Calibri" w:hAnsi="Calibri" w:eastAsia="Calibri"/>
          <w:b/>
          <w:color w:val="2E74B5"/>
          <w:sz w:val="32"/>
        </w:rPr>
        <w:t>X. Обжалование, роспуск и изменение Устава</w:t>
      </w:r>
    </w:p>
    <w:p>
      <w:pPr>
        <w:pStyle w:val="Heading2"/>
      </w:pPr>
      <w:r>
        <w:rPr>
          <w:rFonts w:ascii="Calibri" w:hAnsi="Calibri" w:eastAsia="Calibri"/>
          <w:b/>
          <w:color w:val="2E74B5"/>
          <w:sz w:val="26"/>
        </w:rPr>
        <w:t>Статья 50. Обжалование системного решения</w:t>
      </w:r>
    </w:p>
    <w:p>
      <w:pPr>
        <w:numPr>
          <w:ilvl w:val="0"/>
          <w:numId w:val="59"/>
        </w:numPr>
        <w:spacing w:after="160" w:line="280" w:lineRule="auto"/>
      </w:pPr>
      <w:r>
        <w:t>Один процент граждан минимум из пяти макрорегионов может приостановить решение класса B и запустить равное голосование. Сбор регистрируется не позднее девяноста дней после публикации решения и продолжается не более шестидесяти дней; в каждом учитываемом макрорегионе требуется не менее 0,05 процента его реестра.</w:t>
      </w:r>
    </w:p>
    <w:p>
      <w:pPr>
        <w:numPr>
          <w:ilvl w:val="0"/>
          <w:numId w:val="59"/>
        </w:numPr>
        <w:spacing w:after="160" w:line="280" w:lineRule="auto"/>
      </w:pPr>
      <w:r>
        <w:t>По одному решению допускается одна приостанавливающая петиция. Приостановка возникает после проверки подписей Комиссией в срок не более пятнадцати дней; референдум проводится не позднее ста двадцати дней после проверки.</w:t>
      </w:r>
    </w:p>
    <w:p>
      <w:pPr>
        <w:numPr>
          <w:ilvl w:val="0"/>
          <w:numId w:val="59"/>
        </w:numPr>
        <w:spacing w:after="160" w:line="280" w:lineRule="auto"/>
      </w:pPr>
      <w:r>
        <w:t>Инспектор этики, внешний аудитор, Омбудсман и Служба классификации вправе обратиться в Трибунал за временной мерой.</w:t>
      </w:r>
    </w:p>
    <w:p>
      <w:pPr>
        <w:numPr>
          <w:ilvl w:val="0"/>
          <w:numId w:val="59"/>
        </w:numPr>
        <w:spacing w:after="160" w:line="280" w:lineRule="auto"/>
      </w:pPr>
      <w:r>
        <w:t>Конституционный суд рассматривает противоречие основным правам и конституционным пределам; Трибунал — административную процедуру и индивидуальные права.</w:t>
      </w:r>
    </w:p>
    <w:p>
      <w:pPr>
        <w:pStyle w:val="Heading2"/>
      </w:pPr>
      <w:r>
        <w:rPr>
          <w:rFonts w:ascii="Calibri" w:hAnsi="Calibri" w:eastAsia="Calibri"/>
          <w:b/>
          <w:color w:val="2E74B5"/>
          <w:sz w:val="26"/>
        </w:rPr>
        <w:t>Статья 51. Ответственность и роспуск</w:t>
      </w:r>
    </w:p>
    <w:p>
      <w:pPr>
        <w:numPr>
          <w:ilvl w:val="0"/>
          <w:numId w:val="60"/>
        </w:numPr>
        <w:spacing w:after="160" w:line="280" w:lineRule="auto"/>
      </w:pPr>
      <w:r>
        <w:t>Полный роспуск применяется только после судебного установления согласованного захвата либо по требованию двух процентов граждан минимум из пяти макрорегионов, подтверждённому равным общенациональным голосованием.</w:t>
      </w:r>
    </w:p>
    <w:p>
      <w:pPr>
        <w:numPr>
          <w:ilvl w:val="0"/>
          <w:numId w:val="60"/>
        </w:numPr>
        <w:spacing w:after="160" w:line="280" w:lineRule="auto"/>
      </w:pPr>
      <w:r>
        <w:t>Несогласие с отдельным решением не является основанием удалить члена или распустить Совет.</w:t>
      </w:r>
    </w:p>
    <w:p>
      <w:pPr>
        <w:numPr>
          <w:ilvl w:val="0"/>
          <w:numId w:val="60"/>
        </w:numPr>
        <w:spacing w:after="160" w:line="280" w:lineRule="auto"/>
      </w:pPr>
      <w:r>
        <w:t>До формирования нового состава действует последняя законная версия правил; временная администрация не меняет веса, темы или метаправила.</w:t>
      </w:r>
    </w:p>
    <w:p>
      <w:pPr>
        <w:numPr>
          <w:ilvl w:val="0"/>
          <w:numId w:val="60"/>
        </w:numPr>
        <w:spacing w:after="160" w:line="280" w:lineRule="auto"/>
      </w:pPr>
      <w:r>
        <w:t>Новый состав формируется в течение девяноста дней.</w:t>
      </w:r>
    </w:p>
    <w:p>
      <w:pPr>
        <w:pStyle w:val="Heading2"/>
      </w:pPr>
      <w:r>
        <w:rPr>
          <w:rFonts w:ascii="Calibri" w:hAnsi="Calibri" w:eastAsia="Calibri"/>
          <w:b/>
          <w:color w:val="2E74B5"/>
          <w:sz w:val="26"/>
        </w:rPr>
        <w:t>Статья 52. Изменение Устава</w:t>
      </w:r>
    </w:p>
    <w:p>
      <w:pPr>
        <w:numPr>
          <w:ilvl w:val="0"/>
          <w:numId w:val="61"/>
        </w:numPr>
        <w:spacing w:after="160" w:line="280" w:lineRule="auto"/>
      </w:pPr>
      <w:r>
        <w:t>Поправка рассматривается как решение класса C.</w:t>
      </w:r>
    </w:p>
    <w:p>
      <w:pPr>
        <w:numPr>
          <w:ilvl w:val="0"/>
          <w:numId w:val="61"/>
        </w:numPr>
        <w:spacing w:after="160" w:line="280" w:lineRule="auto"/>
      </w:pPr>
      <w:r>
        <w:t>Инициатива может исходить от Палаты, не менее чем от четырёх каналов Коллегии, от Трибунала по вопросу защиты права или от одного процента граждан минимум из пяти макрорегионов.</w:t>
      </w:r>
    </w:p>
    <w:p>
      <w:pPr>
        <w:numPr>
          <w:ilvl w:val="0"/>
          <w:numId w:val="61"/>
        </w:numPr>
        <w:spacing w:after="160" w:line="280" w:lineRule="auto"/>
      </w:pPr>
      <w:r>
        <w:t>Орган, чьи места, полномочия или специальный вес непосредственно увеличиваются, не обладает решающим голосом по соответствующей поправке.</w:t>
      </w:r>
    </w:p>
    <w:p>
      <w:pPr>
        <w:numPr>
          <w:ilvl w:val="0"/>
          <w:numId w:val="61"/>
        </w:numPr>
        <w:spacing w:after="160" w:line="280" w:lineRule="auto"/>
      </w:pPr>
      <w:r>
        <w:t>Поправка требует двух чтений, гражданской ассамблеи, восемнадцати голосов Палаты с перекрёстными минимумами и равного референдума.</w:t>
      </w:r>
    </w:p>
    <w:p>
      <w:pPr>
        <w:numPr>
          <w:ilvl w:val="0"/>
          <w:numId w:val="61"/>
        </w:numPr>
        <w:spacing w:after="160" w:line="280" w:lineRule="auto"/>
      </w:pPr>
      <w:r>
        <w:t>Принцип экспертного веса выше неэкспертного и отсутствие индивидуального потолка могут быть изменены только в том же порядке; ускоренная или чрезвычайная процедура запрещается.</w:t>
      </w:r>
    </w:p>
    <w:p>
      <w:pPr>
        <w:pStyle w:val="Heading2"/>
      </w:pPr>
      <w:r>
        <w:rPr>
          <w:rFonts w:ascii="Calibri" w:hAnsi="Calibri" w:eastAsia="Calibri"/>
          <w:b/>
          <w:color w:val="2E74B5"/>
          <w:sz w:val="26"/>
        </w:rPr>
        <w:t>Статья 53. Переходные положения</w:t>
      </w:r>
    </w:p>
    <w:p>
      <w:pPr>
        <w:numPr>
          <w:ilvl w:val="0"/>
          <w:numId w:val="62"/>
        </w:numPr>
        <w:spacing w:after="160" w:line="280" w:lineRule="auto"/>
      </w:pPr>
      <w:r>
        <w:t>До ввода новой системы изменение тематических долей, принципов деградации, образовательной надбавки и классификации тем замораживается, кроме обратимой коррекции подтверждённой ошибки сроком не более девяноста дней.</w:t>
      </w:r>
    </w:p>
    <w:p>
      <w:pPr>
        <w:numPr>
          <w:ilvl w:val="0"/>
          <w:numId w:val="62"/>
        </w:numPr>
        <w:spacing w:after="160" w:line="280" w:lineRule="auto"/>
      </w:pPr>
      <w:r>
        <w:t>В течение первых трёх месяцев публикуются действующие формулы, реестры версий, данные и результаты независимого повторного расчёта.</w:t>
      </w:r>
    </w:p>
    <w:p>
      <w:pPr>
        <w:numPr>
          <w:ilvl w:val="0"/>
          <w:numId w:val="62"/>
        </w:numPr>
        <w:spacing w:after="160" w:line="280" w:lineRule="auto"/>
      </w:pPr>
      <w:r>
        <w:t>В течение шести месяцев создаются Комиссия выборов и жребия, Трибунал, Агентство экзаменов, Агентство общегражданской образовательной квалификации, Служба классификации и Бюро методологии.</w:t>
      </w:r>
    </w:p>
    <w:p>
      <w:pPr>
        <w:numPr>
          <w:ilvl w:val="0"/>
          <w:numId w:val="62"/>
        </w:numPr>
        <w:spacing w:after="160" w:line="280" w:lineRule="auto"/>
      </w:pPr>
      <w:r>
        <w:t>В течение девяти месяцев формируются Палата и Коллегия, резервные очереди и аппарат.</w:t>
      </w:r>
    </w:p>
    <w:p>
      <w:pPr>
        <w:numPr>
          <w:ilvl w:val="0"/>
          <w:numId w:val="62"/>
        </w:numPr>
        <w:spacing w:after="160" w:line="280" w:lineRule="auto"/>
      </w:pPr>
      <w:r>
        <w:t>Не менее трёх месяцев новая система действует в теневом режиме без изменения прав; для каждого голосования публикуются равный, базово-экспертный, образовательный и итоговый результаты.</w:t>
      </w:r>
    </w:p>
    <w:p>
      <w:pPr>
        <w:numPr>
          <w:ilvl w:val="0"/>
          <w:numId w:val="62"/>
        </w:numPr>
        <w:spacing w:after="160" w:line="280" w:lineRule="auto"/>
      </w:pPr>
      <w:r>
        <w:t>В первые два года допускаются не более двух крупных пилотных реформ с заранее определённым откатом.</w:t>
      </w:r>
    </w:p>
    <w:p>
      <w:pPr>
        <w:numPr>
          <w:ilvl w:val="0"/>
          <w:numId w:val="62"/>
        </w:numPr>
        <w:spacing w:after="160" w:line="280" w:lineRule="auto"/>
      </w:pPr>
      <w:r>
        <w:t>Численность 27 и 29, распределение 18/9 и 9/4/4/4/4/4, кворумы и пороги являются стартовой конструкцией. После двух полных циклов независимая оценка проверяет представительность, бойкоты, тупики, стоимость захватывающей коалиции и качество решений; изменение проходит как метаправило.</w:t>
      </w:r>
    </w:p>
    <w:p>
      <w:pPr>
        <w:numPr>
          <w:ilvl w:val="0"/>
          <w:numId w:val="62"/>
        </w:numPr>
        <w:spacing w:after="160" w:line="280" w:lineRule="auto"/>
      </w:pPr>
      <w:r>
        <w:t>Настоящий проект вступает в силу после принятия необходимого органического, методологического, избирательного, апелляционного и технического пакета.</w:t>
      </w:r>
    </w:p>
    <w:sectPr>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55555"/>
        <w:sz w:val="18"/>
      </w:rPr>
      <w:t xml:space="preserve">Стр. </w:t>
    </w:r>
    <w:r>
      <w:rPr>
        <w:rFonts w:ascii="Calibri" w:hAnsi="Calibri" w:eastAsia="Calibri"/>
        <w:color w:val="555555"/>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55555"/>
        <w:sz w:val="18"/>
      </w:rPr>
      <w:t xml:space="preserve">Стр. </w:t>
    </w:r>
    <w:r>
      <w:rPr>
        <w:rFonts w:ascii="Calibri" w:hAnsi="Calibri" w:eastAsia="Calibri"/>
        <w:color w:val="55555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b/>
        <w:color w:val="555555"/>
        <w:sz w:val="17"/>
      </w:rPr>
      <w:t>Совет конституции голосования</w:t>
    </w:r>
    <w:r>
      <w:rPr>
        <w:rFonts w:ascii="Calibri" w:hAnsi="Calibri" w:eastAsia="Calibri"/>
        <w:color w:val="555555"/>
        <w:sz w:val="17"/>
      </w:rPr>
      <w:tab/>
      <w:t>Проект 0.2 • 16.07.2026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10">
    <w:abstractNumId w:val="9"/>
  </w:num>
  <w:abstractNum w:abstractNumId="10">
    <w:multiLevelType w:val="hybridMultilevel"/>
    <w:lvl w:ilvl="0">
      <w:start w:val="1"/>
      <w:numFmt w:val="bullet"/>
      <w:lvlText w:val="•"/>
      <w:suff w:val="tab"/>
      <w:pPr>
        <w:tabs>
          <w:tab w:val="num" w:pos="720"/>
        </w:tabs>
        <w:ind w:left="720" w:hanging="360"/>
        <w:spacing w:after="160" w:line="280" w:lineRule="auto"/>
      </w:pPr>
      <w:rPr>
        <w:rFonts w:ascii="Calibri" w:hAnsi="Calibri"/>
      </w:rPr>
    </w:lvl>
    <w:lvl w:ilvl="1">
      <w:start w:val="1"/>
      <w:numFmt w:val="bullet"/>
      <w:lvlText w:val="–"/>
      <w:suff w:val="tab"/>
      <w:pPr>
        <w:tabs>
          <w:tab w:val="num" w:pos="1260"/>
        </w:tabs>
        <w:ind w:left="1260" w:hanging="360"/>
        <w:spacing w:after="160" w:line="280" w:lineRule="auto"/>
      </w:pPr>
      <w:rPr>
        <w:rFonts w:ascii="Calibri" w:hAnsi="Calibri"/>
      </w:rPr>
    </w:lvl>
    <w:lvl w:ilvl="2">
      <w:start w:val="1"/>
      <w:numFmt w:val="bullet"/>
      <w:lvlText w:val="•"/>
      <w:suff w:val="tab"/>
      <w:pPr>
        <w:tabs>
          <w:tab w:val="num" w:pos="1800"/>
        </w:tabs>
        <w:ind w:left="1800" w:hanging="360"/>
        <w:spacing w:after="160" w:line="280" w:lineRule="auto"/>
      </w:pPr>
      <w:rPr>
        <w:rFonts w:ascii="Calibri" w:hAnsi="Calibri"/>
      </w:rPr>
    </w:lvl>
    <w:lvl w:ilvl="3">
      <w:start w:val="1"/>
      <w:numFmt w:val="bullet"/>
      <w:lvlText w:val="–"/>
      <w:suff w:val="tab"/>
      <w:pPr>
        <w:tabs>
          <w:tab w:val="num" w:pos="2340"/>
        </w:tabs>
        <w:ind w:left="2340" w:hanging="360"/>
        <w:spacing w:after="160" w:line="280" w:lineRule="auto"/>
      </w:pPr>
      <w:rPr>
        <w:rFonts w:ascii="Calibri" w:hAnsi="Calibri"/>
      </w:rPr>
    </w:lvl>
  </w:abstractNum>
  <w:num w:numId="11">
    <w:abstractNumId w:val="10"/>
  </w:num>
  <w:abstractNum w:abstractNumId="11">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12">
    <w:abstractNumId w:val="11"/>
  </w:num>
  <w:abstractNum w:abstractNumId="12">
    <w:multiLevelType w:val="hybridMultilevel"/>
    <w:lvl w:ilvl="0">
      <w:start w:val="1"/>
      <w:numFmt w:val="bullet"/>
      <w:lvlText w:val="•"/>
      <w:suff w:val="tab"/>
      <w:pPr>
        <w:tabs>
          <w:tab w:val="num" w:pos="720"/>
        </w:tabs>
        <w:ind w:left="720" w:hanging="360"/>
        <w:spacing w:after="160" w:line="280" w:lineRule="auto"/>
      </w:pPr>
      <w:rPr>
        <w:rFonts w:ascii="Calibri" w:hAnsi="Calibri"/>
      </w:rPr>
    </w:lvl>
    <w:lvl w:ilvl="1">
      <w:start w:val="1"/>
      <w:numFmt w:val="bullet"/>
      <w:lvlText w:val="–"/>
      <w:suff w:val="tab"/>
      <w:pPr>
        <w:tabs>
          <w:tab w:val="num" w:pos="1260"/>
        </w:tabs>
        <w:ind w:left="1260" w:hanging="360"/>
        <w:spacing w:after="160" w:line="280" w:lineRule="auto"/>
      </w:pPr>
      <w:rPr>
        <w:rFonts w:ascii="Calibri" w:hAnsi="Calibri"/>
      </w:rPr>
    </w:lvl>
    <w:lvl w:ilvl="2">
      <w:start w:val="1"/>
      <w:numFmt w:val="bullet"/>
      <w:lvlText w:val="•"/>
      <w:suff w:val="tab"/>
      <w:pPr>
        <w:tabs>
          <w:tab w:val="num" w:pos="1800"/>
        </w:tabs>
        <w:ind w:left="1800" w:hanging="360"/>
        <w:spacing w:after="160" w:line="280" w:lineRule="auto"/>
      </w:pPr>
      <w:rPr>
        <w:rFonts w:ascii="Calibri" w:hAnsi="Calibri"/>
      </w:rPr>
    </w:lvl>
    <w:lvl w:ilvl="3">
      <w:start w:val="1"/>
      <w:numFmt w:val="bullet"/>
      <w:lvlText w:val="–"/>
      <w:suff w:val="tab"/>
      <w:pPr>
        <w:tabs>
          <w:tab w:val="num" w:pos="2340"/>
        </w:tabs>
        <w:ind w:left="2340" w:hanging="360"/>
        <w:spacing w:after="160" w:line="280" w:lineRule="auto"/>
      </w:pPr>
      <w:rPr>
        <w:rFonts w:ascii="Calibri" w:hAnsi="Calibri"/>
      </w:rPr>
    </w:lvl>
  </w:abstractNum>
  <w:num w:numId="13">
    <w:abstractNumId w:val="12"/>
  </w:num>
  <w:abstractNum w:abstractNumId="13">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14">
    <w:abstractNumId w:val="13"/>
  </w:num>
  <w:abstractNum w:abstractNumId="14">
    <w:multiLevelType w:val="hybridMultilevel"/>
    <w:lvl w:ilvl="0">
      <w:start w:val="1"/>
      <w:numFmt w:val="bullet"/>
      <w:lvlText w:val="•"/>
      <w:suff w:val="tab"/>
      <w:pPr>
        <w:tabs>
          <w:tab w:val="num" w:pos="720"/>
        </w:tabs>
        <w:ind w:left="720" w:hanging="360"/>
        <w:spacing w:after="160" w:line="280" w:lineRule="auto"/>
      </w:pPr>
      <w:rPr>
        <w:rFonts w:ascii="Calibri" w:hAnsi="Calibri"/>
      </w:rPr>
    </w:lvl>
    <w:lvl w:ilvl="1">
      <w:start w:val="1"/>
      <w:numFmt w:val="bullet"/>
      <w:lvlText w:val="–"/>
      <w:suff w:val="tab"/>
      <w:pPr>
        <w:tabs>
          <w:tab w:val="num" w:pos="1260"/>
        </w:tabs>
        <w:ind w:left="1260" w:hanging="360"/>
        <w:spacing w:after="160" w:line="280" w:lineRule="auto"/>
      </w:pPr>
      <w:rPr>
        <w:rFonts w:ascii="Calibri" w:hAnsi="Calibri"/>
      </w:rPr>
    </w:lvl>
    <w:lvl w:ilvl="2">
      <w:start w:val="1"/>
      <w:numFmt w:val="bullet"/>
      <w:lvlText w:val="•"/>
      <w:suff w:val="tab"/>
      <w:pPr>
        <w:tabs>
          <w:tab w:val="num" w:pos="1800"/>
        </w:tabs>
        <w:ind w:left="1800" w:hanging="360"/>
        <w:spacing w:after="160" w:line="280" w:lineRule="auto"/>
      </w:pPr>
      <w:rPr>
        <w:rFonts w:ascii="Calibri" w:hAnsi="Calibri"/>
      </w:rPr>
    </w:lvl>
    <w:lvl w:ilvl="3">
      <w:start w:val="1"/>
      <w:numFmt w:val="bullet"/>
      <w:lvlText w:val="–"/>
      <w:suff w:val="tab"/>
      <w:pPr>
        <w:tabs>
          <w:tab w:val="num" w:pos="2340"/>
        </w:tabs>
        <w:ind w:left="2340" w:hanging="360"/>
        <w:spacing w:after="160" w:line="280" w:lineRule="auto"/>
      </w:pPr>
      <w:rPr>
        <w:rFonts w:ascii="Calibri" w:hAnsi="Calibri"/>
      </w:rPr>
    </w:lvl>
  </w:abstractNum>
  <w:num w:numId="15">
    <w:abstractNumId w:val="14"/>
  </w:num>
  <w:abstractNum w:abstractNumId="15">
    <w:multiLevelType w:val="hybridMultilevel"/>
    <w:lvl w:ilvl="0">
      <w:start w:val="1"/>
      <w:numFmt w:val="bullet"/>
      <w:lvlText w:val="•"/>
      <w:suff w:val="tab"/>
      <w:pPr>
        <w:tabs>
          <w:tab w:val="num" w:pos="720"/>
        </w:tabs>
        <w:ind w:left="720" w:hanging="360"/>
        <w:spacing w:after="160" w:line="280" w:lineRule="auto"/>
      </w:pPr>
      <w:rPr>
        <w:rFonts w:ascii="Calibri" w:hAnsi="Calibri"/>
      </w:rPr>
    </w:lvl>
    <w:lvl w:ilvl="1">
      <w:start w:val="1"/>
      <w:numFmt w:val="bullet"/>
      <w:lvlText w:val="–"/>
      <w:suff w:val="tab"/>
      <w:pPr>
        <w:tabs>
          <w:tab w:val="num" w:pos="1260"/>
        </w:tabs>
        <w:ind w:left="1260" w:hanging="360"/>
        <w:spacing w:after="160" w:line="280" w:lineRule="auto"/>
      </w:pPr>
      <w:rPr>
        <w:rFonts w:ascii="Calibri" w:hAnsi="Calibri"/>
      </w:rPr>
    </w:lvl>
    <w:lvl w:ilvl="2">
      <w:start w:val="1"/>
      <w:numFmt w:val="bullet"/>
      <w:lvlText w:val="•"/>
      <w:suff w:val="tab"/>
      <w:pPr>
        <w:tabs>
          <w:tab w:val="num" w:pos="1800"/>
        </w:tabs>
        <w:ind w:left="1800" w:hanging="360"/>
        <w:spacing w:after="160" w:line="280" w:lineRule="auto"/>
      </w:pPr>
      <w:rPr>
        <w:rFonts w:ascii="Calibri" w:hAnsi="Calibri"/>
      </w:rPr>
    </w:lvl>
    <w:lvl w:ilvl="3">
      <w:start w:val="1"/>
      <w:numFmt w:val="bullet"/>
      <w:lvlText w:val="–"/>
      <w:suff w:val="tab"/>
      <w:pPr>
        <w:tabs>
          <w:tab w:val="num" w:pos="2340"/>
        </w:tabs>
        <w:ind w:left="2340" w:hanging="360"/>
        <w:spacing w:after="160" w:line="280" w:lineRule="auto"/>
      </w:pPr>
      <w:rPr>
        <w:rFonts w:ascii="Calibri" w:hAnsi="Calibri"/>
      </w:rPr>
    </w:lvl>
  </w:abstractNum>
  <w:num w:numId="16">
    <w:abstractNumId w:val="15"/>
  </w:num>
  <w:abstractNum w:abstractNumId="16">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17">
    <w:abstractNumId w:val="16"/>
  </w:num>
  <w:abstractNum w:abstractNumId="17">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18">
    <w:abstractNumId w:val="17"/>
  </w:num>
  <w:abstractNum w:abstractNumId="18">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19">
    <w:abstractNumId w:val="18"/>
  </w:num>
  <w:abstractNum w:abstractNumId="19">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20">
    <w:abstractNumId w:val="19"/>
  </w:num>
  <w:abstractNum w:abstractNumId="20">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21">
    <w:abstractNumId w:val="20"/>
  </w:num>
  <w:abstractNum w:abstractNumId="21">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22">
    <w:abstractNumId w:val="21"/>
  </w:num>
  <w:abstractNum w:abstractNumId="22">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23">
    <w:abstractNumId w:val="22"/>
  </w:num>
  <w:abstractNum w:abstractNumId="23">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24">
    <w:abstractNumId w:val="23"/>
  </w:num>
  <w:abstractNum w:abstractNumId="24">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25">
    <w:abstractNumId w:val="24"/>
  </w:num>
  <w:abstractNum w:abstractNumId="25">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26">
    <w:abstractNumId w:val="25"/>
  </w:num>
  <w:abstractNum w:abstractNumId="26">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27">
    <w:abstractNumId w:val="26"/>
  </w:num>
  <w:abstractNum w:abstractNumId="27">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28">
    <w:abstractNumId w:val="27"/>
  </w:num>
  <w:abstractNum w:abstractNumId="28">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29">
    <w:abstractNumId w:val="28"/>
  </w:num>
  <w:abstractNum w:abstractNumId="29">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30">
    <w:abstractNumId w:val="29"/>
  </w:num>
  <w:abstractNum w:abstractNumId="30">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31">
    <w:abstractNumId w:val="30"/>
  </w:num>
  <w:abstractNum w:abstractNumId="31">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32">
    <w:abstractNumId w:val="31"/>
  </w:num>
  <w:abstractNum w:abstractNumId="32">
    <w:multiLevelType w:val="hybridMultilevel"/>
    <w:lvl w:ilvl="0">
      <w:start w:val="1"/>
      <w:numFmt w:val="bullet"/>
      <w:lvlText w:val="•"/>
      <w:suff w:val="tab"/>
      <w:pPr>
        <w:tabs>
          <w:tab w:val="num" w:pos="720"/>
        </w:tabs>
        <w:ind w:left="720" w:hanging="360"/>
        <w:spacing w:after="160" w:line="280" w:lineRule="auto"/>
      </w:pPr>
      <w:rPr>
        <w:rFonts w:ascii="Calibri" w:hAnsi="Calibri"/>
      </w:rPr>
    </w:lvl>
    <w:lvl w:ilvl="1">
      <w:start w:val="1"/>
      <w:numFmt w:val="bullet"/>
      <w:lvlText w:val="–"/>
      <w:suff w:val="tab"/>
      <w:pPr>
        <w:tabs>
          <w:tab w:val="num" w:pos="1260"/>
        </w:tabs>
        <w:ind w:left="1260" w:hanging="360"/>
        <w:spacing w:after="160" w:line="280" w:lineRule="auto"/>
      </w:pPr>
      <w:rPr>
        <w:rFonts w:ascii="Calibri" w:hAnsi="Calibri"/>
      </w:rPr>
    </w:lvl>
    <w:lvl w:ilvl="2">
      <w:start w:val="1"/>
      <w:numFmt w:val="bullet"/>
      <w:lvlText w:val="•"/>
      <w:suff w:val="tab"/>
      <w:pPr>
        <w:tabs>
          <w:tab w:val="num" w:pos="1800"/>
        </w:tabs>
        <w:ind w:left="1800" w:hanging="360"/>
        <w:spacing w:after="160" w:line="280" w:lineRule="auto"/>
      </w:pPr>
      <w:rPr>
        <w:rFonts w:ascii="Calibri" w:hAnsi="Calibri"/>
      </w:rPr>
    </w:lvl>
    <w:lvl w:ilvl="3">
      <w:start w:val="1"/>
      <w:numFmt w:val="bullet"/>
      <w:lvlText w:val="–"/>
      <w:suff w:val="tab"/>
      <w:pPr>
        <w:tabs>
          <w:tab w:val="num" w:pos="2340"/>
        </w:tabs>
        <w:ind w:left="2340" w:hanging="360"/>
        <w:spacing w:after="160" w:line="280" w:lineRule="auto"/>
      </w:pPr>
      <w:rPr>
        <w:rFonts w:ascii="Calibri" w:hAnsi="Calibri"/>
      </w:rPr>
    </w:lvl>
  </w:abstractNum>
  <w:num w:numId="33">
    <w:abstractNumId w:val="32"/>
  </w:num>
  <w:abstractNum w:abstractNumId="33">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34">
    <w:abstractNumId w:val="33"/>
  </w:num>
  <w:abstractNum w:abstractNumId="34">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35">
    <w:abstractNumId w:val="34"/>
  </w:num>
  <w:abstractNum w:abstractNumId="35">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36">
    <w:abstractNumId w:val="35"/>
  </w:num>
  <w:abstractNum w:abstractNumId="36">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37">
    <w:abstractNumId w:val="36"/>
  </w:num>
  <w:abstractNum w:abstractNumId="37">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38">
    <w:abstractNumId w:val="37"/>
  </w:num>
  <w:abstractNum w:abstractNumId="38">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39">
    <w:abstractNumId w:val="38"/>
  </w:num>
  <w:abstractNum w:abstractNumId="39">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40">
    <w:abstractNumId w:val="39"/>
  </w:num>
  <w:abstractNum w:abstractNumId="40">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41">
    <w:abstractNumId w:val="40"/>
  </w:num>
  <w:abstractNum w:abstractNumId="41">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42">
    <w:abstractNumId w:val="41"/>
  </w:num>
  <w:abstractNum w:abstractNumId="42">
    <w:multiLevelType w:val="hybridMultilevel"/>
    <w:lvl w:ilvl="0">
      <w:start w:val="1"/>
      <w:numFmt w:val="bullet"/>
      <w:lvlText w:val="•"/>
      <w:suff w:val="tab"/>
      <w:pPr>
        <w:tabs>
          <w:tab w:val="num" w:pos="720"/>
        </w:tabs>
        <w:ind w:left="720" w:hanging="360"/>
        <w:spacing w:after="160" w:line="280" w:lineRule="auto"/>
      </w:pPr>
      <w:rPr>
        <w:rFonts w:ascii="Calibri" w:hAnsi="Calibri"/>
      </w:rPr>
    </w:lvl>
    <w:lvl w:ilvl="1">
      <w:start w:val="1"/>
      <w:numFmt w:val="bullet"/>
      <w:lvlText w:val="–"/>
      <w:suff w:val="tab"/>
      <w:pPr>
        <w:tabs>
          <w:tab w:val="num" w:pos="1260"/>
        </w:tabs>
        <w:ind w:left="1260" w:hanging="360"/>
        <w:spacing w:after="160" w:line="280" w:lineRule="auto"/>
      </w:pPr>
      <w:rPr>
        <w:rFonts w:ascii="Calibri" w:hAnsi="Calibri"/>
      </w:rPr>
    </w:lvl>
    <w:lvl w:ilvl="2">
      <w:start w:val="1"/>
      <w:numFmt w:val="bullet"/>
      <w:lvlText w:val="•"/>
      <w:suff w:val="tab"/>
      <w:pPr>
        <w:tabs>
          <w:tab w:val="num" w:pos="1800"/>
        </w:tabs>
        <w:ind w:left="1800" w:hanging="360"/>
        <w:spacing w:after="160" w:line="280" w:lineRule="auto"/>
      </w:pPr>
      <w:rPr>
        <w:rFonts w:ascii="Calibri" w:hAnsi="Calibri"/>
      </w:rPr>
    </w:lvl>
    <w:lvl w:ilvl="3">
      <w:start w:val="1"/>
      <w:numFmt w:val="bullet"/>
      <w:lvlText w:val="–"/>
      <w:suff w:val="tab"/>
      <w:pPr>
        <w:tabs>
          <w:tab w:val="num" w:pos="2340"/>
        </w:tabs>
        <w:ind w:left="2340" w:hanging="360"/>
        <w:spacing w:after="160" w:line="280" w:lineRule="auto"/>
      </w:pPr>
      <w:rPr>
        <w:rFonts w:ascii="Calibri" w:hAnsi="Calibri"/>
      </w:rPr>
    </w:lvl>
  </w:abstractNum>
  <w:num w:numId="43">
    <w:abstractNumId w:val="42"/>
  </w:num>
  <w:abstractNum w:abstractNumId="43">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44">
    <w:abstractNumId w:val="43"/>
  </w:num>
  <w:abstractNum w:abstractNumId="44">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45">
    <w:abstractNumId w:val="44"/>
  </w:num>
  <w:abstractNum w:abstractNumId="45">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46">
    <w:abstractNumId w:val="45"/>
  </w:num>
  <w:abstractNum w:abstractNumId="46">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47">
    <w:abstractNumId w:val="46"/>
  </w:num>
  <w:abstractNum w:abstractNumId="47">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48">
    <w:abstractNumId w:val="47"/>
  </w:num>
  <w:abstractNum w:abstractNumId="48">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49">
    <w:abstractNumId w:val="48"/>
  </w:num>
  <w:abstractNum w:abstractNumId="49">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50">
    <w:abstractNumId w:val="49"/>
  </w:num>
  <w:abstractNum w:abstractNumId="50">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51">
    <w:abstractNumId w:val="50"/>
  </w:num>
  <w:abstractNum w:abstractNumId="51">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52">
    <w:abstractNumId w:val="51"/>
  </w:num>
  <w:abstractNum w:abstractNumId="52">
    <w:multiLevelType w:val="hybridMultilevel"/>
    <w:lvl w:ilvl="0">
      <w:start w:val="1"/>
      <w:numFmt w:val="bullet"/>
      <w:lvlText w:val="•"/>
      <w:suff w:val="tab"/>
      <w:pPr>
        <w:tabs>
          <w:tab w:val="num" w:pos="720"/>
        </w:tabs>
        <w:ind w:left="720" w:hanging="360"/>
        <w:spacing w:after="160" w:line="280" w:lineRule="auto"/>
      </w:pPr>
      <w:rPr>
        <w:rFonts w:ascii="Calibri" w:hAnsi="Calibri"/>
      </w:rPr>
    </w:lvl>
    <w:lvl w:ilvl="1">
      <w:start w:val="1"/>
      <w:numFmt w:val="bullet"/>
      <w:lvlText w:val="–"/>
      <w:suff w:val="tab"/>
      <w:pPr>
        <w:tabs>
          <w:tab w:val="num" w:pos="1260"/>
        </w:tabs>
        <w:ind w:left="1260" w:hanging="360"/>
        <w:spacing w:after="160" w:line="280" w:lineRule="auto"/>
      </w:pPr>
      <w:rPr>
        <w:rFonts w:ascii="Calibri" w:hAnsi="Calibri"/>
      </w:rPr>
    </w:lvl>
    <w:lvl w:ilvl="2">
      <w:start w:val="1"/>
      <w:numFmt w:val="bullet"/>
      <w:lvlText w:val="•"/>
      <w:suff w:val="tab"/>
      <w:pPr>
        <w:tabs>
          <w:tab w:val="num" w:pos="1800"/>
        </w:tabs>
        <w:ind w:left="1800" w:hanging="360"/>
        <w:spacing w:after="160" w:line="280" w:lineRule="auto"/>
      </w:pPr>
      <w:rPr>
        <w:rFonts w:ascii="Calibri" w:hAnsi="Calibri"/>
      </w:rPr>
    </w:lvl>
    <w:lvl w:ilvl="3">
      <w:start w:val="1"/>
      <w:numFmt w:val="bullet"/>
      <w:lvlText w:val="–"/>
      <w:suff w:val="tab"/>
      <w:pPr>
        <w:tabs>
          <w:tab w:val="num" w:pos="2340"/>
        </w:tabs>
        <w:ind w:left="2340" w:hanging="360"/>
        <w:spacing w:after="160" w:line="280" w:lineRule="auto"/>
      </w:pPr>
      <w:rPr>
        <w:rFonts w:ascii="Calibri" w:hAnsi="Calibri"/>
      </w:rPr>
    </w:lvl>
  </w:abstractNum>
  <w:num w:numId="53">
    <w:abstractNumId w:val="52"/>
  </w:num>
  <w:abstractNum w:abstractNumId="53">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54">
    <w:abstractNumId w:val="53"/>
  </w:num>
  <w:abstractNum w:abstractNumId="54">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55">
    <w:abstractNumId w:val="54"/>
  </w:num>
  <w:abstractNum w:abstractNumId="55">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56">
    <w:abstractNumId w:val="55"/>
  </w:num>
  <w:abstractNum w:abstractNumId="56">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57">
    <w:abstractNumId w:val="56"/>
  </w:num>
  <w:abstractNum w:abstractNumId="57">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58">
    <w:abstractNumId w:val="57"/>
  </w:num>
  <w:abstractNum w:abstractNumId="58">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59">
    <w:abstractNumId w:val="58"/>
  </w:num>
  <w:abstractNum w:abstractNumId="59">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60">
    <w:abstractNumId w:val="59"/>
  </w:num>
  <w:abstractNum w:abstractNumId="60">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61">
    <w:abstractNumId w:val="60"/>
  </w:num>
  <w:abstractNum w:abstractNumId="61">
    <w:multiLevelType w:val="hybridMultilevel"/>
    <w:lvl w:ilvl="0">
      <w:start w:val="1"/>
      <w:numFmt w:val="decimal"/>
      <w:lvlText w:val="%1."/>
      <w:suff w:val="tab"/>
      <w:pPr>
        <w:tabs>
          <w:tab w:val="num" w:pos="720"/>
        </w:tabs>
        <w:ind w:left="720" w:hanging="360"/>
        <w:spacing w:after="160" w:line="280" w:lineRule="auto"/>
      </w:pPr>
      <w:rPr>
        <w:rFonts w:ascii="Calibri" w:hAnsi="Calibri"/>
      </w:rPr>
    </w:lvl>
    <w:lvl w:ilvl="1">
      <w:start w:val="1"/>
      <w:numFmt w:val="decimal"/>
      <w:lvlText w:val="%2)"/>
      <w:suff w:val="tab"/>
      <w:pPr>
        <w:tabs>
          <w:tab w:val="num" w:pos="1260"/>
        </w:tabs>
        <w:ind w:left="1260" w:hanging="360"/>
        <w:spacing w:after="160" w:line="280" w:lineRule="auto"/>
      </w:pPr>
      <w:rPr>
        <w:rFonts w:ascii="Calibri" w:hAnsi="Calibri"/>
      </w:rPr>
    </w:lvl>
    <w:lvl w:ilvl="2">
      <w:start w:val="1"/>
      <w:numFmt w:val="decimal"/>
      <w:lvlText w:val="%3)"/>
      <w:suff w:val="tab"/>
      <w:pPr>
        <w:tabs>
          <w:tab w:val="num" w:pos="1800"/>
        </w:tabs>
        <w:ind w:left="1800" w:hanging="360"/>
        <w:spacing w:after="160" w:line="280" w:lineRule="auto"/>
      </w:pPr>
      <w:rPr>
        <w:rFonts w:ascii="Calibri" w:hAnsi="Calibri"/>
      </w:rPr>
    </w:lvl>
    <w:lvl w:ilvl="3">
      <w:start w:val="1"/>
      <w:numFmt w:val="decimal"/>
      <w:lvlText w:val="%4)"/>
      <w:suff w:val="tab"/>
      <w:pPr>
        <w:tabs>
          <w:tab w:val="num" w:pos="2340"/>
        </w:tabs>
        <w:ind w:left="2340" w:hanging="360"/>
        <w:spacing w:after="160" w:line="280" w:lineRule="auto"/>
      </w:pPr>
      <w:rPr>
        <w:rFonts w:ascii="Calibri" w:hAnsi="Calibri"/>
      </w:rPr>
    </w:lvl>
  </w:abstractNum>
  <w:num w:numId="62">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eastAsia="Calibri"/>
      <w:i w:val="0"/>
      <w:iCs/>
      <w:color w:val="55555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Metadata">
    <w:name w:val="Document Metadata"/>
    <w:pPr>
      <w:spacing w:before="0" w:after="60" w:line="264" w:lineRule="auto"/>
    </w:pPr>
    <w:rPr>
      <w:rFonts w:ascii="Calibri" w:hAnsi="Calibri" w:eastAsia="Calibri"/>
      <w:color w:val="555555"/>
      <w:sz w:val="21"/>
    </w:rPr>
  </w:style>
  <w:style w:type="paragraph" w:customStyle="1" w:styleId="FormulaBlock">
    <w:name w:val="Formula Block"/>
    <w:pPr>
      <w:keepLines/>
      <w:spacing w:before="60" w:after="160"/>
      <w:ind w:left="360" w:right="216"/>
    </w:pPr>
    <w:rPr>
      <w:rFonts w:ascii="Consolas" w:hAnsi="Consolas" w:eastAsia="Consolas"/>
      <w:color w:val="1F4D7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Устав Совета конституции голосования</dc:title>
  <dc:subject>Проект институционального устройства тематического взвешенного голосования</dc:subject>
  <dc:creator/>
  <cp:keywords>совет, экспертный вес, госплан, голосование, устав</cp:keywords>
  <dc:description>generated by python-docx</dc:description>
  <cp:lastModifiedBy/>
  <cp:revision>1</cp:revision>
  <dcterms:created xsi:type="dcterms:W3CDTF">2013-12-23T23:15:00Z</dcterms:created>
  <dcterms:modified xsi:type="dcterms:W3CDTF">2013-12-23T23:15:00Z</dcterms:modified>
  <cp:category/>
</cp:coreProperties>
</file>