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D0" w:rsidRPr="000A0BA9" w:rsidRDefault="000A0BA9">
      <w:pPr>
        <w:rPr>
          <w:rFonts w:ascii="Times New Roman" w:hAnsi="Times New Roman" w:cs="Times New Roman"/>
          <w:sz w:val="24"/>
          <w:szCs w:val="24"/>
        </w:rPr>
      </w:pPr>
      <w:r w:rsidRPr="000A0BA9">
        <w:rPr>
          <w:rFonts w:ascii="Times New Roman" w:hAnsi="Times New Roman" w:cs="Times New Roman"/>
          <w:sz w:val="24"/>
          <w:szCs w:val="24"/>
        </w:rPr>
        <w:t>TO DO</w:t>
      </w:r>
    </w:p>
    <w:p w:rsidR="000A0BA9" w:rsidRPr="00AC1A28" w:rsidRDefault="00BC3CD7" w:rsidP="00AC1A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Either experimental data needs to be included which strongly shows a difference between A and P compartment waves, or</w:t>
      </w:r>
      <w:r w:rsidR="00574840">
        <w:rPr>
          <w:rFonts w:ascii="Times New Roman" w:hAnsi="Times New Roman" w:cs="Times New Roman"/>
          <w:sz w:val="24"/>
          <w:szCs w:val="24"/>
        </w:rPr>
        <w:t xml:space="preserve"> we need to find a paper to cite</w:t>
      </w:r>
    </w:p>
    <w:p w:rsidR="000A0BA9" w:rsidRPr="000A0BA9" w:rsidRDefault="000A0BA9">
      <w:pPr>
        <w:rPr>
          <w:rFonts w:ascii="Times New Roman" w:hAnsi="Times New Roman" w:cs="Times New Roman"/>
          <w:sz w:val="24"/>
          <w:szCs w:val="24"/>
        </w:rPr>
      </w:pPr>
    </w:p>
    <w:p w:rsidR="000A0BA9" w:rsidRPr="000A0BA9" w:rsidRDefault="000A0BA9">
      <w:pPr>
        <w:rPr>
          <w:rFonts w:ascii="Times New Roman" w:hAnsi="Times New Roman" w:cs="Times New Roman"/>
          <w:sz w:val="24"/>
          <w:szCs w:val="24"/>
        </w:rPr>
      </w:pPr>
    </w:p>
    <w:p w:rsidR="000A0BA9" w:rsidRPr="000A0BA9" w:rsidRDefault="000A0BA9">
      <w:pPr>
        <w:rPr>
          <w:rFonts w:ascii="Times New Roman" w:hAnsi="Times New Roman" w:cs="Times New Roman"/>
          <w:sz w:val="24"/>
          <w:szCs w:val="24"/>
        </w:rPr>
      </w:pPr>
    </w:p>
    <w:p w:rsidR="006A2247" w:rsidRDefault="006A2247">
      <w:pPr>
        <w:rPr>
          <w:rFonts w:ascii="Times New Roman" w:hAnsi="Times New Roman" w:cs="Times New Roman"/>
          <w:sz w:val="24"/>
          <w:szCs w:val="24"/>
        </w:rPr>
      </w:pPr>
      <w:r>
        <w:rPr>
          <w:rFonts w:ascii="Times New Roman" w:hAnsi="Times New Roman" w:cs="Times New Roman"/>
          <w:sz w:val="24"/>
          <w:szCs w:val="24"/>
        </w:rPr>
        <w:br w:type="page"/>
      </w:r>
    </w:p>
    <w:p w:rsidR="00EB54E1" w:rsidRDefault="00EB54E1" w:rsidP="00EB54E1">
      <w:pPr>
        <w:pStyle w:val="Heading1"/>
      </w:pPr>
      <w:r>
        <w:lastRenderedPageBreak/>
        <w:t>Title page</w:t>
      </w:r>
    </w:p>
    <w:p w:rsidR="009A28A0" w:rsidRDefault="009A28A0" w:rsidP="00E40C82">
      <w:pPr>
        <w:ind w:left="360"/>
        <w:rPr>
          <w:rFonts w:ascii="Times New Roman" w:hAnsi="Times New Roman" w:cs="Times New Roman"/>
          <w:sz w:val="24"/>
          <w:szCs w:val="24"/>
        </w:rPr>
      </w:pPr>
      <w:r>
        <w:rPr>
          <w:rFonts w:ascii="Times New Roman" w:hAnsi="Times New Roman" w:cs="Times New Roman"/>
          <w:sz w:val="24"/>
          <w:szCs w:val="24"/>
        </w:rPr>
        <w:t xml:space="preserve">Title: </w:t>
      </w:r>
    </w:p>
    <w:p w:rsidR="00E40C82" w:rsidRPr="009A28A0" w:rsidRDefault="00EB54E1" w:rsidP="009A28A0">
      <w:pPr>
        <w:ind w:left="360"/>
        <w:rPr>
          <w:rFonts w:ascii="Times New Roman" w:hAnsi="Times New Roman" w:cs="Times New Roman"/>
          <w:sz w:val="24"/>
          <w:szCs w:val="24"/>
        </w:rPr>
      </w:pPr>
      <w:r>
        <w:rPr>
          <w:rFonts w:ascii="Times New Roman" w:hAnsi="Times New Roman" w:cs="Times New Roman"/>
          <w:sz w:val="24"/>
          <w:szCs w:val="24"/>
        </w:rPr>
        <w:t xml:space="preserve">Authors: </w:t>
      </w:r>
      <w:r w:rsidR="00E40C82" w:rsidRPr="000A0BA9">
        <w:rPr>
          <w:rFonts w:ascii="Times New Roman" w:hAnsi="Times New Roman" w:cs="Times New Roman"/>
          <w:sz w:val="24"/>
          <w:szCs w:val="24"/>
        </w:rPr>
        <w:t xml:space="preserve">PA Brodskiy, </w:t>
      </w:r>
      <w:r w:rsidR="00BB1A1A" w:rsidRPr="000A0BA9">
        <w:rPr>
          <w:rFonts w:ascii="Times New Roman" w:hAnsi="Times New Roman" w:cs="Times New Roman"/>
          <w:sz w:val="24"/>
          <w:szCs w:val="24"/>
        </w:rPr>
        <w:t xml:space="preserve">C Narciso, Q Wu, A Jilkine, </w:t>
      </w:r>
      <w:r w:rsidR="00E40C82" w:rsidRPr="000A0BA9">
        <w:rPr>
          <w:rFonts w:ascii="Times New Roman" w:hAnsi="Times New Roman" w:cs="Times New Roman"/>
          <w:sz w:val="24"/>
          <w:szCs w:val="24"/>
        </w:rPr>
        <w:t>JJ Zartman</w:t>
      </w:r>
    </w:p>
    <w:p w:rsidR="00065CD0" w:rsidRPr="000A0BA9" w:rsidRDefault="00065CD0" w:rsidP="009D2642">
      <w:pPr>
        <w:pStyle w:val="Heading1"/>
      </w:pPr>
      <w:r w:rsidRPr="000A0BA9">
        <w:t xml:space="preserve">Abstract </w:t>
      </w:r>
    </w:p>
    <w:p w:rsidR="00065CD0" w:rsidRPr="000A0BA9" w:rsidRDefault="00D77B7F" w:rsidP="009D2642">
      <w:pPr>
        <w:pStyle w:val="Heading1"/>
      </w:pPr>
      <w:r w:rsidRPr="000A0BA9">
        <w:t>Introduction</w:t>
      </w:r>
    </w:p>
    <w:p w:rsidR="00F845AC" w:rsidRDefault="00481ADB" w:rsidP="00F845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Calcium signaling</w:t>
      </w:r>
      <w:r w:rsidR="00D22705">
        <w:rPr>
          <w:rFonts w:ascii="Times New Roman" w:hAnsi="Times New Roman" w:cs="Times New Roman"/>
          <w:sz w:val="24"/>
          <w:szCs w:val="24"/>
        </w:rPr>
        <w:fldChar w:fldCharType="begin"/>
      </w:r>
      <w:r w:rsidR="00D22705">
        <w:rPr>
          <w:rFonts w:ascii="Times New Roman" w:hAnsi="Times New Roman" w:cs="Times New Roman"/>
          <w:sz w:val="24"/>
          <w:szCs w:val="24"/>
        </w:rPr>
        <w:instrText xml:space="preserve"> ADDIN ZOTERO_ITEM CSL_CITATION {"citationID":"1h728o96fp","properties":{"formattedCitation":"[1]","plainCitation":"[1]"},"citationItems":[{"id":1024,"uris":["http://zotero.org/users/2009205/items/6ZQXK84T"],"uri":["http://zotero.org/users/2009205/items/6ZQXK84T"],"itemData":{"id":1024,"type":"article-journal","title":"Patterning of wound-induced intercellular Ca 2+ flashes in a developing epithelium","container-title":"Physical Biology","page":"056005","volume":"12","issue":"5","source":"Institute of Physics","abstract":"Differential mechanical force distributions are increasingly recognized to provide important feedback into the control of an organ’s final size and shape. As a second messenger that integrates and relays mechanical information to the cell, calcium ions (Ca 2+ ) are a prime candidate for providing important information on both the overall mechanical state of the tissue and resulting behavior at the individual-cell level during development. Still, how the spatiotemporal properties of Ca 2+ transients reflect the underlying mechanical characteristics of tissues is still poorly understood. Here we use an established model system of an epithelial tissue, the Drosophila wing imaginal disc, to investigate how tissue properties impact the propagation of Ca 2+ transients induced by laser ablation. The resulting intercellular Ca 2+ flash is found to be mediated by inositol 1,4,5-trisphosphate and depends on gap junction communication. Further, we find that intercellular Ca 2+ transients show spatially non-uniform characteristics across the proximal–distal axis of the larval wing imaginal disc, which exhibit a gradient in cell size and anisotropy. A computational model of Ca 2+ transients is employed to identify the principle factors explaining the spatiotemporal patterning dynamics of intercellular Ca 2+ flashes. The relative Ca 2+ flash anisotropy is principally explained by local cell shape anisotropy. Further, Ca 2+ velocities are relatively uniform throughout the wing disc, irrespective of cell size or anisotropy. This can be explained by the opposing effects of cell diameter and cell elongation on intercellular Ca 2+ propagation. Thus, intercellular Ca 2+ transients follow lines of mechanical tension at velocities that are largely independent of tissue heterogeneity and reflect the mechanical state of the underlying tissue.","DOI":"10.1088/1478-3975/12/5/056005","ISSN":"1478-3975","journalAbbreviation":"Phys. Biol.","language":"en","author":[{"family":"Narciso","given":"Cody"},{"family":"Wu","given":"Qinfeng"},{"family":"Brodskiy","given":"Pavel"},{"family":"Garston","given":"George"},{"family":"Baker","given":"Ruth"},{"family":"Fletcher","given":"Alexander"},{"family":"Zartman","given":"Jeremiah"}],"issued":{"date-parts":[["2015"]]}}}],"schema":"https://github.com/citation-style-language/schema/raw/master/csl-citation.json"} </w:instrText>
      </w:r>
      <w:r w:rsidR="00D22705">
        <w:rPr>
          <w:rFonts w:ascii="Times New Roman" w:hAnsi="Times New Roman" w:cs="Times New Roman"/>
          <w:sz w:val="24"/>
          <w:szCs w:val="24"/>
        </w:rPr>
        <w:fldChar w:fldCharType="separate"/>
      </w:r>
      <w:r w:rsidR="00D22705" w:rsidRPr="00D22705">
        <w:rPr>
          <w:rFonts w:ascii="Times New Roman" w:hAnsi="Times New Roman" w:cs="Times New Roman"/>
          <w:sz w:val="24"/>
        </w:rPr>
        <w:t>[1]</w:t>
      </w:r>
      <w:r w:rsidR="00D22705">
        <w:rPr>
          <w:rFonts w:ascii="Times New Roman" w:hAnsi="Times New Roman" w:cs="Times New Roman"/>
          <w:sz w:val="24"/>
          <w:szCs w:val="24"/>
        </w:rPr>
        <w:fldChar w:fldCharType="end"/>
      </w:r>
    </w:p>
    <w:p w:rsidR="00481ADB" w:rsidRDefault="00481ADB" w:rsidP="00F845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Wing disc</w:t>
      </w:r>
    </w:p>
    <w:p w:rsidR="00481ADB" w:rsidRDefault="00C80479" w:rsidP="00F845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Calcium modeling</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{"citationID":"2civ9cqb8f","properties":{"formattedCitation":"{\\rtf [2]\\uc0\\u8211{}[4]}","plainCitation":"[2]–[4]"},"citationItems":[{"id":409,"uris":["http://zotero.org/users/2009205/items/ZRG98GCU"],"uri":["http://zotero.org/users/2009205/items/ZRG98GCU"],"itemData":{"id":409,"type":"book","title":"Mathematical Physiology: I: Cellular Physiology","publisher":"Springer","publisher-place":"New York, NY","number-of-pages":"547","edition":"2nd edition","source":"Amazon","event-place":"New York, NY","abstract":"Divided into two volumes, the book begins with a pedagogical presentation of some of the basic theory, with chapters on biochemical reactions, diffusion, excitability, wave propagation and cellular homeostasis. The second, more extensive part discusses particular physiological systems, with chapters on calcium dynamics, bursting oscillations and secretion, cardiac cells, muscles, intercellular communication, the circulatory system, the immune system, wound healing, the respiratory system, the visual system, hormone physiology, renal physiology, digestion, the visual system and hearing. New chapters on Calcium Dynamics, Neuroendocrine Cells and Regulation of Cell Function have been included.   Reviews from first edition: Keener and Sneyd's Mathematical Physiology is the first comprehensive text of its kind that deals exclusively with the interplay between mathematics and physiology. Writing a book like this is an audacious act! -Society of Mathematical Biology   Keener and Sneyd's is unique in that it attempts to present one of the most important subfields of biology and medicine, physiology, in terms of mathematical \"language\", rather than organizing materials around mathematical methodology. -SIAM review","ISBN":"978-0-387-75846-6","shortTitle":"Mathematical Physiology","language":"English","author":[{"family":"Keener","given":"James"},{"family":"Sneyd","given":"James"}],"issued":{"date-parts":[["2008",10,27]]}}},{"id":1026,"uris":["http://zotero.org/users/2009205/items/9GNUKSF2"],"uri":["http://zotero.org/users/2009205/items/9GNUKSF2"],"itemData":{"id":1026,"type":"article-journal","title":"Intercellular calcium waves mediated by diffusion of inositol trisphosphate: a two-dimensional model","container-title":"American Journal of Physiology - Cell Physiology","page":"C1537-C1545","volume":"268","issue":"6","source":"ajpcell.physiology.org","ISSN":"0363-6143, 1522-1563","note":"PMID: 7611375","shortTitle":"Intercellular calcium waves mediated by diffusion of inositol trisphosphate","language":"en","author":[{"family":"Sneyd","given":"J."},{"family":"Wetton","given":"B. T."},{"family":"Charles","given":"A. C."},{"family":"Sanderson","given":"M. J."}],"issued":{"date-parts":[["1995",6,1]]},"PMID":"7611375"}},{"id":234,"uris":["http://zotero.org/users/2009205/items/2A92SX82"],"uri":["http://zotero.org/users/2009205/items/2A92SX82"],"itemData":{"id":234,"type":"article-journal","title":"Control and Plasticity of Intercellular Calcium Waves in Astrocytes: A Modeling Approach","container-title":"The Journal of Neuroscience","page":"4850-4859","volume":"22","issue":"12","source":"www.jneurosci.org","abstract":"Intercellular Ca2+ waves in astrocytes are thought to serve as a pathway of long-range signaling. The waves can propagate by the diffusion of molecules through gap junctions and across the extracellular space. In rat striatal astrocytes, the gap-junctional route was shown to be dominant. To analyze the interplay of the processes involved in wave propagation, a mathematical model of this system has been developed. The kinetic description of Ca2+ signaling within a single cell accounts for inositol 1,4,5-trisphosphate (IP3) generation, including its activation by cytoplasmic Ca2+, IP3-induced Ca2+ liberation from intracellular stores and various other Ca2+transports, and cytoplasmic diffusion of IP3 and Ca2+. When cells are coupled by gap junction channels in a two-dimensional array, IP3 generation in one cell triggers Ca2+ waves propagating across some tens of cells. The spatial range of wave propagation is limited, yet depends sensitively on the Ca2+-mediated regeneration of the IP3 signal. Accordingly, the term “limited regenerative signaling” is proposed. The gap-junctional permeability for IP3 is the crucial permissive factor for wave propagation, and heterogeneity of gap-junctional coupling yields preferential pathways of wave propagation. Processes involved in both signal initiation (activation of IP3 production caused by receptor agonist) and regeneration (activation of IP3production by Ca2+, loading of the Ca2+ stores) are found to exert the main control on the wave range. The refractory period of signaling strongly depends on the refilling kinetics of the Ca2+ stores. Thus the model identifies multiple steps that may be involved in the regulation of this intercellular signaling pathway.","ISSN":"0270-6474, 1529-2401","note":"PMID: 12077182","shortTitle":"Control and Plasticity of Intercellular Calcium Waves in Astrocytes","journalAbbreviation":"J. Neurosci.","language":"en","author":[{"family":"Höfer","given":"Thomas"},{"family":"Venance","given":"Laurent"},{"family":"Giaume","given":"Christian"}],"issued":{"date-parts":[["2002",6,15]]},"PMID":"12077182"}}],"schema":"https://github.com/citation-style-language/schema/raw/master/csl-citation.json"} </w:instrText>
      </w:r>
      <w:r>
        <w:rPr>
          <w:rFonts w:ascii="Times New Roman" w:hAnsi="Times New Roman" w:cs="Times New Roman"/>
          <w:sz w:val="24"/>
          <w:szCs w:val="24"/>
        </w:rPr>
        <w:fldChar w:fldCharType="separate"/>
      </w:r>
      <w:r w:rsidRPr="00C80479">
        <w:rPr>
          <w:rFonts w:ascii="Times New Roman" w:hAnsi="Times New Roman" w:cs="Times New Roman"/>
          <w:sz w:val="24"/>
          <w:szCs w:val="24"/>
        </w:rPr>
        <w:t>[2]–[4]</w:t>
      </w:r>
      <w:r>
        <w:rPr>
          <w:rFonts w:ascii="Times New Roman" w:hAnsi="Times New Roman" w:cs="Times New Roman"/>
          <w:sz w:val="24"/>
          <w:szCs w:val="24"/>
        </w:rPr>
        <w:fldChar w:fldCharType="end"/>
      </w:r>
    </w:p>
    <w:p w:rsidR="00065CD0" w:rsidRDefault="00D77B7F" w:rsidP="009D2642">
      <w:pPr>
        <w:pStyle w:val="Heading1"/>
      </w:pPr>
      <w:r w:rsidRPr="000A0BA9">
        <w:t>Materials and Methods</w:t>
      </w:r>
    </w:p>
    <w:p w:rsidR="00F337BA" w:rsidRPr="00F337BA" w:rsidRDefault="00F337BA" w:rsidP="00F337BA"/>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2D49AF" w:rsidTr="00DF6A9C">
        <w:tc>
          <w:tcPr>
            <w:tcW w:w="193" w:type="pct"/>
            <w:vAlign w:val="center"/>
          </w:tcPr>
          <w:p w:rsidR="002D49AF" w:rsidRDefault="002D49AF" w:rsidP="002F2660">
            <w:pPr>
              <w:jc w:val="center"/>
              <w:rPr>
                <w:rFonts w:ascii="Times New Roman" w:hAnsi="Times New Roman" w:cs="Times New Roman"/>
                <w:sz w:val="24"/>
                <w:szCs w:val="24"/>
              </w:rPr>
            </w:pPr>
          </w:p>
        </w:tc>
        <w:tc>
          <w:tcPr>
            <w:tcW w:w="4516" w:type="pct"/>
            <w:vAlign w:val="center"/>
          </w:tcPr>
          <w:p w:rsidR="002D49AF" w:rsidRDefault="00F337BA" w:rsidP="002F266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B12505">
                  <wp:extent cx="2565779" cy="2757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5495" cy="335882"/>
                          </a:xfrm>
                          <a:prstGeom prst="rect">
                            <a:avLst/>
                          </a:prstGeom>
                          <a:noFill/>
                        </pic:spPr>
                      </pic:pic>
                    </a:graphicData>
                  </a:graphic>
                </wp:inline>
              </w:drawing>
            </w:r>
          </w:p>
        </w:tc>
        <w:tc>
          <w:tcPr>
            <w:tcW w:w="291" w:type="pct"/>
            <w:vAlign w:val="center"/>
          </w:tcPr>
          <w:p w:rsidR="002D49AF" w:rsidRDefault="002F2660" w:rsidP="00DF6A9C">
            <w:pPr>
              <w:jc w:val="right"/>
              <w:rPr>
                <w:rFonts w:ascii="Times New Roman" w:hAnsi="Times New Roman" w:cs="Times New Roman"/>
                <w:sz w:val="24"/>
                <w:szCs w:val="24"/>
              </w:rPr>
            </w:pPr>
            <w:r>
              <w:rPr>
                <w:rFonts w:ascii="Times New Roman" w:hAnsi="Times New Roman" w:cs="Times New Roman"/>
                <w:sz w:val="24"/>
                <w:szCs w:val="24"/>
              </w:rPr>
              <w:t>(</w:t>
            </w:r>
            <w:r w:rsidR="00DF6A9C">
              <w:rPr>
                <w:rFonts w:ascii="Times New Roman" w:hAnsi="Times New Roman" w:cs="Times New Roman"/>
                <w:sz w:val="24"/>
                <w:szCs w:val="24"/>
              </w:rPr>
              <w:fldChar w:fldCharType="begin"/>
            </w:r>
            <w:r w:rsidR="00DF6A9C">
              <w:rPr>
                <w:rFonts w:ascii="Times New Roman" w:hAnsi="Times New Roman" w:cs="Times New Roman"/>
                <w:sz w:val="24"/>
                <w:szCs w:val="24"/>
              </w:rPr>
              <w:instrText xml:space="preserve"> AUTONUMLGL  \* Arabic \e </w:instrText>
            </w:r>
            <w:r w:rsidR="00DF6A9C">
              <w:rPr>
                <w:rFonts w:ascii="Times New Roman" w:hAnsi="Times New Roman" w:cs="Times New Roman"/>
                <w:sz w:val="24"/>
                <w:szCs w:val="24"/>
              </w:rPr>
              <w:fldChar w:fldCharType="end"/>
            </w:r>
            <w:r>
              <w:rPr>
                <w:rFonts w:ascii="Times New Roman" w:hAnsi="Times New Roman" w:cs="Times New Roman"/>
                <w:sz w:val="24"/>
                <w:szCs w:val="24"/>
              </w:rPr>
              <w:t>)</w:t>
            </w:r>
          </w:p>
        </w:tc>
      </w:tr>
    </w:tbl>
    <w:p w:rsidR="002D49AF" w:rsidRPr="00C74065" w:rsidRDefault="00C74065" w:rsidP="002D49AF">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flux</m:t>
            </m:r>
          </m:sub>
        </m:sSub>
      </m:oMath>
      <w:r>
        <w:rPr>
          <w:rFonts w:ascii="Times New Roman" w:eastAsiaTheme="minorEastAsia" w:hAnsi="Times New Roman" w:cs="Times New Roman"/>
          <w:sz w:val="24"/>
          <w:szCs w:val="24"/>
        </w:rPr>
        <w:t xml:space="preserve"> represents the flux of </w:t>
      </w:r>
      <m:oMath>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out of the ER through IP3R channels,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SERCA</m:t>
            </m:r>
          </m:sub>
        </m:sSub>
      </m:oMath>
      <w:r>
        <w:rPr>
          <w:rFonts w:ascii="Times New Roman" w:eastAsiaTheme="minorEastAsia" w:hAnsi="Times New Roman" w:cs="Times New Roman"/>
          <w:sz w:val="24"/>
          <w:szCs w:val="24"/>
        </w:rPr>
        <w:t xml:space="preserve"> represents the flux of </w:t>
      </w:r>
      <m:oMath>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into the ER through SERCA pumps</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media</m:t>
            </m:r>
          </m:sub>
        </m:sSub>
      </m:oMath>
      <w:r>
        <w:rPr>
          <w:rFonts w:ascii="Times New Roman" w:eastAsiaTheme="minorEastAsia" w:hAnsi="Times New Roman" w:cs="Times New Roman"/>
          <w:sz w:val="24"/>
          <w:szCs w:val="24"/>
        </w:rPr>
        <w:t xml:space="preserve"> represents the flux of </w:t>
      </w:r>
      <w:r>
        <w:rPr>
          <w:rFonts w:ascii="Times New Roman" w:eastAsiaTheme="minorEastAsia" w:hAnsi="Times New Roman" w:cs="Times New Roman"/>
          <w:sz w:val="24"/>
          <w:szCs w:val="24"/>
        </w:rPr>
        <w:t>Ca</w:t>
      </w:r>
      <w:r w:rsidRPr="00C74065">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leaking in and out of the medium in response to cytoplasmic </w:t>
      </w:r>
      <m:oMath>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concentration,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sub>
        </m:sSub>
      </m:oMath>
      <w:r>
        <w:rPr>
          <w:rFonts w:ascii="Times New Roman" w:eastAsiaTheme="minorEastAsia" w:hAnsi="Times New Roman" w:cs="Times New Roman"/>
          <w:sz w:val="24"/>
          <w:szCs w:val="24"/>
        </w:rPr>
        <w:t xml:space="preserve"> represents the effective diffusivity of </w:t>
      </w:r>
      <m:oMath>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w:t>
      </w:r>
      <w:bookmarkStart w:id="0" w:name="_GoBack"/>
      <w:bookmarkEnd w:id="0"/>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824BA4"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C6723">
                  <wp:extent cx="1958454" cy="32587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3130" cy="363254"/>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Default="00DF6A9C" w:rsidP="002D49AF">
      <w:pPr>
        <w:rPr>
          <w:rFonts w:ascii="Times New Roman" w:hAnsi="Times New Roman" w:cs="Times New Roman"/>
          <w:sz w:val="24"/>
          <w:szCs w:val="24"/>
        </w:rPr>
      </w:pPr>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B450A0"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B367C6">
                  <wp:extent cx="1842447" cy="335119"/>
                  <wp:effectExtent l="0" t="0" r="571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7730" cy="356088"/>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Default="00DF6A9C" w:rsidP="002D49AF">
      <w:pPr>
        <w:rPr>
          <w:rFonts w:ascii="Times New Roman" w:hAnsi="Times New Roman" w:cs="Times New Roman"/>
          <w:sz w:val="24"/>
          <w:szCs w:val="24"/>
        </w:rPr>
      </w:pPr>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B450A0"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B65A5B">
                  <wp:extent cx="2094931" cy="278511"/>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2128" cy="284786"/>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Default="00DF6A9C" w:rsidP="002D49AF">
      <w:pPr>
        <w:rPr>
          <w:rFonts w:ascii="Times New Roman" w:hAnsi="Times New Roman" w:cs="Times New Roman"/>
          <w:sz w:val="24"/>
          <w:szCs w:val="24"/>
        </w:rPr>
      </w:pPr>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B450A0"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190537">
                  <wp:extent cx="2790968" cy="34608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1145" cy="356027"/>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Default="00DF6A9C" w:rsidP="002D49AF">
      <w:pPr>
        <w:rPr>
          <w:rFonts w:ascii="Times New Roman" w:hAnsi="Times New Roman" w:cs="Times New Roman"/>
          <w:sz w:val="24"/>
          <w:szCs w:val="24"/>
        </w:rPr>
      </w:pPr>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DF6A9C"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E0AB1E" wp14:editId="101188D3">
                  <wp:extent cx="2565779" cy="27573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5495" cy="335882"/>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Pr="002D49AF" w:rsidRDefault="00DF6A9C" w:rsidP="002D49AF">
      <w:pPr>
        <w:rPr>
          <w:rFonts w:ascii="Times New Roman" w:hAnsi="Times New Roman" w:cs="Times New Roman"/>
          <w:sz w:val="24"/>
          <w:szCs w:val="24"/>
        </w:rPr>
      </w:pPr>
    </w:p>
    <w:p w:rsidR="006A40D1" w:rsidRDefault="00EE1C0E" w:rsidP="006A40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Experimental stuff</w:t>
      </w:r>
    </w:p>
    <w:p w:rsidR="00EE1C0E" w:rsidRDefault="00EE1C0E" w:rsidP="006A40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Derivation and repurposing of model</w:t>
      </w:r>
    </w:p>
    <w:p w:rsidR="008B5E18" w:rsidRDefault="008B5E18" w:rsidP="008B5E1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Explain why we used sneyd form of SERCA equation and </w:t>
      </w:r>
      <w:r w:rsidR="00BB4988">
        <w:rPr>
          <w:rFonts w:ascii="Times New Roman" w:hAnsi="Times New Roman" w:cs="Times New Roman"/>
          <w:sz w:val="24"/>
          <w:szCs w:val="24"/>
        </w:rPr>
        <w:t>hofer form of Jflux equation—ideally we would fit to Cl8 cell data</w:t>
      </w:r>
    </w:p>
    <w:p w:rsidR="00CC7F7E" w:rsidRDefault="00CC7F7E" w:rsidP="008B5E1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Explain why gamma distribution of signal makes sense in the context</w:t>
      </w:r>
    </w:p>
    <w:p w:rsidR="00EE1C0E" w:rsidRDefault="00EE1C0E" w:rsidP="006A40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Tuning of parameters</w:t>
      </w:r>
    </w:p>
    <w:p w:rsidR="00EE1C0E" w:rsidRDefault="00104F84" w:rsidP="00104F8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Explain reasoning for each parameter and realistic biological range</w:t>
      </w:r>
    </w:p>
    <w:p w:rsidR="00104F84" w:rsidRDefault="00652EC1" w:rsidP="003977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Solving PDEs</w:t>
      </w:r>
    </w:p>
    <w:p w:rsidR="00652EC1" w:rsidRPr="000A0BA9" w:rsidRDefault="00652EC1" w:rsidP="00652EC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Possible numerical analysis</w:t>
      </w:r>
    </w:p>
    <w:p w:rsidR="00065CD0" w:rsidRDefault="00D77B7F" w:rsidP="009D2642">
      <w:pPr>
        <w:pStyle w:val="Heading1"/>
      </w:pPr>
      <w:r w:rsidRPr="000A0BA9">
        <w:t>Results</w:t>
      </w:r>
    </w:p>
    <w:p w:rsidR="00C80479" w:rsidRDefault="007465C0" w:rsidP="00C804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Variance of stochastic noise term directly results in a transition from no waves, to traveling waves, to random pulses</w:t>
      </w:r>
    </w:p>
    <w:p w:rsidR="00BA079D" w:rsidRDefault="00BA079D" w:rsidP="00C804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of different phenotypes pulled from parameter sweep and analysis of biological implications</w:t>
      </w:r>
    </w:p>
    <w:p w:rsidR="008B43D4" w:rsidRDefault="008B43D4" w:rsidP="008B43D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Patterning of refractory period</w:t>
      </w:r>
    </w:p>
    <w:p w:rsidR="008B43D4" w:rsidRDefault="008B43D4" w:rsidP="008B43D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Patterning of steady-state concentration</w:t>
      </w:r>
    </w:p>
    <w:p w:rsidR="003D0F74" w:rsidRDefault="003D0F74" w:rsidP="008B43D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Biologically impossible results (ie. Loss of wave activity)</w:t>
      </w:r>
    </w:p>
    <w:p w:rsidR="003E35C8" w:rsidRDefault="003E35C8" w:rsidP="003E35C8">
      <w:pPr>
        <w:pStyle w:val="ListParagraph"/>
        <w:numPr>
          <w:ilvl w:val="1"/>
          <w:numId w:val="1"/>
        </w:numPr>
        <w:rPr>
          <w:rFonts w:ascii="Times New Roman" w:hAnsi="Times New Roman" w:cs="Times New Roman"/>
          <w:sz w:val="24"/>
          <w:szCs w:val="24"/>
        </w:rPr>
      </w:pPr>
    </w:p>
    <w:p w:rsidR="00544312" w:rsidRPr="003E35C8" w:rsidRDefault="003E35C8" w:rsidP="003E35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w:t>
      </w:r>
      <w:r w:rsidRPr="003E35C8">
        <w:rPr>
          <w:rFonts w:ascii="Times New Roman" w:hAnsi="Times New Roman" w:cs="Times New Roman"/>
          <w:sz w:val="24"/>
          <w:szCs w:val="24"/>
        </w:rPr>
        <w:t>ormal numerical stability analysis should be conducted</w:t>
      </w:r>
    </w:p>
    <w:p w:rsidR="00065CD0" w:rsidRPr="009D2642" w:rsidRDefault="00065CD0" w:rsidP="009D2642">
      <w:pPr>
        <w:pStyle w:val="Heading1"/>
      </w:pPr>
      <w:r w:rsidRPr="009D2642">
        <w:t xml:space="preserve">Discussion </w:t>
      </w:r>
    </w:p>
    <w:p w:rsidR="00065CD0" w:rsidRPr="009D2642" w:rsidRDefault="00065CD0" w:rsidP="009D2642">
      <w:pPr>
        <w:pStyle w:val="Heading1"/>
      </w:pPr>
      <w:r w:rsidRPr="009D2642">
        <w:t>Conclusion</w:t>
      </w:r>
    </w:p>
    <w:p w:rsidR="006A2247" w:rsidRPr="009D2642" w:rsidRDefault="00065CD0" w:rsidP="009D2642">
      <w:pPr>
        <w:pStyle w:val="Heading1"/>
      </w:pPr>
      <w:r w:rsidRPr="009D2642">
        <w:t xml:space="preserve">Acknowledgments </w:t>
      </w:r>
    </w:p>
    <w:p w:rsidR="00D77B7F" w:rsidRPr="009D2642" w:rsidRDefault="00065CD0" w:rsidP="009D2642">
      <w:pPr>
        <w:pStyle w:val="Heading1"/>
      </w:pPr>
      <w:r w:rsidRPr="009D2642">
        <w:t>References</w:t>
      </w:r>
    </w:p>
    <w:p w:rsidR="00C80479" w:rsidRPr="00C80479" w:rsidRDefault="00D22705" w:rsidP="00C80479">
      <w:pPr>
        <w:pStyle w:val="Bibliography"/>
        <w:rPr>
          <w:rFonts w:ascii="Times New Roman" w:hAnsi="Times New Roman" w:cs="Times New Roman"/>
          <w:sz w:val="24"/>
        </w:rPr>
      </w:pPr>
      <w:r>
        <w:fldChar w:fldCharType="begin"/>
      </w:r>
      <w:r>
        <w:instrText xml:space="preserve"> ADDIN ZOTERO_BIBL {"custom":[]} CSL_BIBLIOGRAPHY </w:instrText>
      </w:r>
      <w:r>
        <w:fldChar w:fldCharType="separate"/>
      </w:r>
      <w:r w:rsidR="00C80479" w:rsidRPr="00C80479">
        <w:rPr>
          <w:rFonts w:ascii="Times New Roman" w:hAnsi="Times New Roman" w:cs="Times New Roman"/>
          <w:sz w:val="24"/>
        </w:rPr>
        <w:t>[1]</w:t>
      </w:r>
      <w:r w:rsidR="00C80479" w:rsidRPr="00C80479">
        <w:rPr>
          <w:rFonts w:ascii="Times New Roman" w:hAnsi="Times New Roman" w:cs="Times New Roman"/>
          <w:sz w:val="24"/>
        </w:rPr>
        <w:tab/>
        <w:t xml:space="preserve">C. Narciso, Q. Wu, P. Brodskiy, G. Garston, R. Baker, A. Fletcher, and J. Zartman, “Patterning of wound-induced intercellular Ca 2+ flashes in a developing epithelium,” </w:t>
      </w:r>
      <w:r w:rsidR="00C80479" w:rsidRPr="00C80479">
        <w:rPr>
          <w:rFonts w:ascii="Times New Roman" w:hAnsi="Times New Roman" w:cs="Times New Roman"/>
          <w:i/>
          <w:iCs/>
          <w:sz w:val="24"/>
        </w:rPr>
        <w:t>Phys. Biol.</w:t>
      </w:r>
      <w:r w:rsidR="00C80479" w:rsidRPr="00C80479">
        <w:rPr>
          <w:rFonts w:ascii="Times New Roman" w:hAnsi="Times New Roman" w:cs="Times New Roman"/>
          <w:sz w:val="24"/>
        </w:rPr>
        <w:t>, vol. 12, no. 5, p. 056005, 2015.</w:t>
      </w:r>
    </w:p>
    <w:p w:rsidR="00C80479" w:rsidRPr="00C80479" w:rsidRDefault="00C80479" w:rsidP="00C80479">
      <w:pPr>
        <w:pStyle w:val="Bibliography"/>
        <w:rPr>
          <w:rFonts w:ascii="Times New Roman" w:hAnsi="Times New Roman" w:cs="Times New Roman"/>
          <w:sz w:val="24"/>
        </w:rPr>
      </w:pPr>
      <w:r w:rsidRPr="00C80479">
        <w:rPr>
          <w:rFonts w:ascii="Times New Roman" w:hAnsi="Times New Roman" w:cs="Times New Roman"/>
          <w:sz w:val="24"/>
        </w:rPr>
        <w:t>[2]</w:t>
      </w:r>
      <w:r w:rsidRPr="00C80479">
        <w:rPr>
          <w:rFonts w:ascii="Times New Roman" w:hAnsi="Times New Roman" w:cs="Times New Roman"/>
          <w:sz w:val="24"/>
        </w:rPr>
        <w:tab/>
        <w:t xml:space="preserve">J. Keener and J. Sneyd, </w:t>
      </w:r>
      <w:r w:rsidRPr="00C80479">
        <w:rPr>
          <w:rFonts w:ascii="Times New Roman" w:hAnsi="Times New Roman" w:cs="Times New Roman"/>
          <w:i/>
          <w:iCs/>
          <w:sz w:val="24"/>
        </w:rPr>
        <w:t>Mathematical Physiology: I: Cellular Physiology</w:t>
      </w:r>
      <w:r w:rsidRPr="00C80479">
        <w:rPr>
          <w:rFonts w:ascii="Times New Roman" w:hAnsi="Times New Roman" w:cs="Times New Roman"/>
          <w:sz w:val="24"/>
        </w:rPr>
        <w:t>, 2nd edition. New York, NY: Springer, 2008.</w:t>
      </w:r>
    </w:p>
    <w:p w:rsidR="00C80479" w:rsidRPr="00C80479" w:rsidRDefault="00C80479" w:rsidP="00C80479">
      <w:pPr>
        <w:pStyle w:val="Bibliography"/>
        <w:rPr>
          <w:rFonts w:ascii="Times New Roman" w:hAnsi="Times New Roman" w:cs="Times New Roman"/>
          <w:sz w:val="24"/>
        </w:rPr>
      </w:pPr>
      <w:r w:rsidRPr="00C80479">
        <w:rPr>
          <w:rFonts w:ascii="Times New Roman" w:hAnsi="Times New Roman" w:cs="Times New Roman"/>
          <w:sz w:val="24"/>
        </w:rPr>
        <w:t>[3]</w:t>
      </w:r>
      <w:r w:rsidRPr="00C80479">
        <w:rPr>
          <w:rFonts w:ascii="Times New Roman" w:hAnsi="Times New Roman" w:cs="Times New Roman"/>
          <w:sz w:val="24"/>
        </w:rPr>
        <w:tab/>
        <w:t xml:space="preserve">J. Sneyd, B. T. Wetton, A. C. Charles, and M. J. Sanderson, “Intercellular calcium waves mediated by diffusion of inositol trisphosphate: a two-dimensional model,” </w:t>
      </w:r>
      <w:r w:rsidRPr="00C80479">
        <w:rPr>
          <w:rFonts w:ascii="Times New Roman" w:hAnsi="Times New Roman" w:cs="Times New Roman"/>
          <w:i/>
          <w:iCs/>
          <w:sz w:val="24"/>
        </w:rPr>
        <w:t>Am. J. Physiol. - Cell Physiol.</w:t>
      </w:r>
      <w:r w:rsidRPr="00C80479">
        <w:rPr>
          <w:rFonts w:ascii="Times New Roman" w:hAnsi="Times New Roman" w:cs="Times New Roman"/>
          <w:sz w:val="24"/>
        </w:rPr>
        <w:t>, vol. 268, no. 6, pp. C1537–C1545, Jun. 1995.</w:t>
      </w:r>
    </w:p>
    <w:p w:rsidR="00C80479" w:rsidRPr="00C80479" w:rsidRDefault="00C80479" w:rsidP="00C80479">
      <w:pPr>
        <w:pStyle w:val="Bibliography"/>
        <w:rPr>
          <w:rFonts w:ascii="Times New Roman" w:hAnsi="Times New Roman" w:cs="Times New Roman"/>
          <w:sz w:val="24"/>
        </w:rPr>
      </w:pPr>
      <w:r w:rsidRPr="00C80479">
        <w:rPr>
          <w:rFonts w:ascii="Times New Roman" w:hAnsi="Times New Roman" w:cs="Times New Roman"/>
          <w:sz w:val="24"/>
        </w:rPr>
        <w:t>[4]</w:t>
      </w:r>
      <w:r w:rsidRPr="00C80479">
        <w:rPr>
          <w:rFonts w:ascii="Times New Roman" w:hAnsi="Times New Roman" w:cs="Times New Roman"/>
          <w:sz w:val="24"/>
        </w:rPr>
        <w:tab/>
        <w:t xml:space="preserve">T. Höfer, L. Venance, and C. Giaume, “Control and Plasticity of Intercellular Calcium Waves in Astrocytes: A Modeling Approach,” </w:t>
      </w:r>
      <w:r w:rsidRPr="00C80479">
        <w:rPr>
          <w:rFonts w:ascii="Times New Roman" w:hAnsi="Times New Roman" w:cs="Times New Roman"/>
          <w:i/>
          <w:iCs/>
          <w:sz w:val="24"/>
        </w:rPr>
        <w:t>J. Neurosci.</w:t>
      </w:r>
      <w:r w:rsidRPr="00C80479">
        <w:rPr>
          <w:rFonts w:ascii="Times New Roman" w:hAnsi="Times New Roman" w:cs="Times New Roman"/>
          <w:sz w:val="24"/>
        </w:rPr>
        <w:t>, vol. 22, no. 12, pp. 4850–4859, Jun. 2002.</w:t>
      </w:r>
    </w:p>
    <w:p w:rsidR="00065CD0" w:rsidRPr="000A0BA9" w:rsidRDefault="00D22705" w:rsidP="00F91437">
      <w:pPr>
        <w:pStyle w:val="Heading1"/>
      </w:pPr>
      <w:r>
        <w:fldChar w:fldCharType="end"/>
      </w:r>
      <w:r w:rsidR="00065CD0" w:rsidRPr="000A0BA9">
        <w:t>Supporting Material</w:t>
      </w:r>
    </w:p>
    <w:p w:rsidR="00EE5D35" w:rsidRPr="000A0BA9" w:rsidRDefault="00EE5D35">
      <w:pPr>
        <w:rPr>
          <w:rFonts w:ascii="Times New Roman" w:hAnsi="Times New Roman" w:cs="Times New Roman"/>
          <w:sz w:val="24"/>
          <w:szCs w:val="24"/>
        </w:rPr>
      </w:pPr>
    </w:p>
    <w:sectPr w:rsidR="00EE5D35" w:rsidRPr="000A0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760" w:rsidRDefault="00487760" w:rsidP="000A0BA9">
      <w:pPr>
        <w:spacing w:after="0" w:line="240" w:lineRule="auto"/>
      </w:pPr>
      <w:r>
        <w:separator/>
      </w:r>
    </w:p>
  </w:endnote>
  <w:endnote w:type="continuationSeparator" w:id="0">
    <w:p w:rsidR="00487760" w:rsidRDefault="00487760" w:rsidP="000A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760" w:rsidRDefault="00487760" w:rsidP="000A0BA9">
      <w:pPr>
        <w:spacing w:after="0" w:line="240" w:lineRule="auto"/>
      </w:pPr>
      <w:r>
        <w:separator/>
      </w:r>
    </w:p>
  </w:footnote>
  <w:footnote w:type="continuationSeparator" w:id="0">
    <w:p w:rsidR="00487760" w:rsidRDefault="00487760" w:rsidP="000A0B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A38EF"/>
    <w:multiLevelType w:val="hybridMultilevel"/>
    <w:tmpl w:val="DBB07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7730"/>
    <w:multiLevelType w:val="hybridMultilevel"/>
    <w:tmpl w:val="0BDC565E"/>
    <w:lvl w:ilvl="0" w:tplc="8CAAD0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579EE"/>
    <w:multiLevelType w:val="hybridMultilevel"/>
    <w:tmpl w:val="D6FE7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D6"/>
    <w:rsid w:val="00065CD0"/>
    <w:rsid w:val="000A0BA9"/>
    <w:rsid w:val="00104F84"/>
    <w:rsid w:val="002D49AF"/>
    <w:rsid w:val="002F2660"/>
    <w:rsid w:val="003977E3"/>
    <w:rsid w:val="003D0F74"/>
    <w:rsid w:val="003E35C8"/>
    <w:rsid w:val="0044687A"/>
    <w:rsid w:val="00481ADB"/>
    <w:rsid w:val="00487760"/>
    <w:rsid w:val="00544312"/>
    <w:rsid w:val="00574840"/>
    <w:rsid w:val="00652EC1"/>
    <w:rsid w:val="006A2247"/>
    <w:rsid w:val="006A40D1"/>
    <w:rsid w:val="006F462E"/>
    <w:rsid w:val="0071184A"/>
    <w:rsid w:val="007465C0"/>
    <w:rsid w:val="00824BA4"/>
    <w:rsid w:val="00881AD6"/>
    <w:rsid w:val="008B43D4"/>
    <w:rsid w:val="008B5E18"/>
    <w:rsid w:val="009A28A0"/>
    <w:rsid w:val="009C5117"/>
    <w:rsid w:val="009C5E8E"/>
    <w:rsid w:val="009D2642"/>
    <w:rsid w:val="00AC1A28"/>
    <w:rsid w:val="00B450A0"/>
    <w:rsid w:val="00BA079D"/>
    <w:rsid w:val="00BB1A1A"/>
    <w:rsid w:val="00BB4988"/>
    <w:rsid w:val="00BC3CD7"/>
    <w:rsid w:val="00BE682C"/>
    <w:rsid w:val="00C74065"/>
    <w:rsid w:val="00C80479"/>
    <w:rsid w:val="00CC7F7E"/>
    <w:rsid w:val="00CE4569"/>
    <w:rsid w:val="00D22705"/>
    <w:rsid w:val="00D77B7F"/>
    <w:rsid w:val="00DF6A9C"/>
    <w:rsid w:val="00E40C82"/>
    <w:rsid w:val="00EB54E1"/>
    <w:rsid w:val="00EE1C0E"/>
    <w:rsid w:val="00EE5D35"/>
    <w:rsid w:val="00F337BA"/>
    <w:rsid w:val="00F845AC"/>
    <w:rsid w:val="00F9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D9518-902E-4993-A64F-60AF2DF9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2642"/>
    <w:pPr>
      <w:keepNext/>
      <w:keepLines/>
      <w:spacing w:before="240" w:after="0"/>
      <w:outlineLvl w:val="0"/>
    </w:pPr>
    <w:rPr>
      <w:rFonts w:ascii="Times New Roman" w:eastAsiaTheme="majorEastAsia" w:hAnsi="Times New Roman" w:cs="Times New Roman"/>
      <w:b/>
      <w:cap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B7F"/>
    <w:pPr>
      <w:ind w:left="720"/>
      <w:contextualSpacing/>
    </w:pPr>
  </w:style>
  <w:style w:type="paragraph" w:styleId="Header">
    <w:name w:val="header"/>
    <w:basedOn w:val="Normal"/>
    <w:link w:val="HeaderChar"/>
    <w:uiPriority w:val="99"/>
    <w:unhideWhenUsed/>
    <w:rsid w:val="000A0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BA9"/>
  </w:style>
  <w:style w:type="paragraph" w:styleId="Footer">
    <w:name w:val="footer"/>
    <w:basedOn w:val="Normal"/>
    <w:link w:val="FooterChar"/>
    <w:uiPriority w:val="99"/>
    <w:unhideWhenUsed/>
    <w:rsid w:val="000A0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BA9"/>
  </w:style>
  <w:style w:type="paragraph" w:styleId="Bibliography">
    <w:name w:val="Bibliography"/>
    <w:basedOn w:val="Normal"/>
    <w:next w:val="Normal"/>
    <w:uiPriority w:val="37"/>
    <w:unhideWhenUsed/>
    <w:rsid w:val="00D22705"/>
    <w:pPr>
      <w:tabs>
        <w:tab w:val="left" w:pos="384"/>
      </w:tabs>
      <w:spacing w:after="0" w:line="240" w:lineRule="auto"/>
      <w:ind w:left="384" w:hanging="384"/>
    </w:pPr>
  </w:style>
  <w:style w:type="character" w:customStyle="1" w:styleId="Heading1Char">
    <w:name w:val="Heading 1 Char"/>
    <w:basedOn w:val="DefaultParagraphFont"/>
    <w:link w:val="Heading1"/>
    <w:uiPriority w:val="9"/>
    <w:rsid w:val="009D2642"/>
    <w:rPr>
      <w:rFonts w:ascii="Times New Roman" w:eastAsiaTheme="majorEastAsia" w:hAnsi="Times New Roman" w:cs="Times New Roman"/>
      <w:b/>
      <w:caps/>
      <w:sz w:val="24"/>
      <w:szCs w:val="24"/>
    </w:rPr>
  </w:style>
  <w:style w:type="table" w:styleId="TableGrid">
    <w:name w:val="Table Grid"/>
    <w:basedOn w:val="TableNormal"/>
    <w:uiPriority w:val="39"/>
    <w:rsid w:val="002D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40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Brodskiy</dc:creator>
  <cp:keywords/>
  <dc:description/>
  <cp:lastModifiedBy>Pavel Brodskiy</cp:lastModifiedBy>
  <cp:revision>44</cp:revision>
  <dcterms:created xsi:type="dcterms:W3CDTF">2015-11-08T21:50:00Z</dcterms:created>
  <dcterms:modified xsi:type="dcterms:W3CDTF">2015-11-09T00:25:00Z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id="zyRezGMJ"/&gt;&lt;style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