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eastAsia="ru-RU"/>
        </w:rPr>
      </w:pPr>
      <w:r>
        <w:rPr/>
        <w:drawing>
          <wp:inline distT="0" distB="0" distL="0" distR="0">
            <wp:extent cx="1113155" cy="1113155"/>
            <wp:effectExtent l="0" t="0" r="0" b="0"/>
            <wp:docPr id="1" name="Рисунок 2" descr="МИРЭА — Российский технологический университет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МИРЭА — Российский технологический университет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высшего образования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32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  <w:t>«МИРЭА – Российский технологический университет»</w:t>
      </w:r>
      <w:r>
        <w:rPr>
          <w:rFonts w:eastAsia="Times New Roman"/>
          <w:b/>
          <w:sz w:val="32"/>
          <w:szCs w:val="24"/>
          <w:lang w:eastAsia="ru-RU"/>
        </w:rPr>
        <w:t xml:space="preserve"> 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РТУ МИРЭА</w:t>
      </w:r>
    </w:p>
    <w:tbl>
      <w:tblPr>
        <w:tblStyle w:val="a6"/>
        <w:tblW w:w="93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54"/>
      </w:tblGrid>
      <w:tr>
        <w:trPr>
          <w:trHeight w:val="283" w:hRule="atLeast"/>
        </w:trPr>
        <w:tc>
          <w:tcPr>
            <w:tcW w:w="9354" w:type="dxa"/>
            <w:tcBorders>
              <w:top w:val="nil"/>
              <w:left w:val="nil"/>
              <w:bottom w:val="double" w:sz="12" w:space="0" w:color="000000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Институт кибернетики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Кафедра общей информатики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ОТЧЕТ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b/>
          <w:b/>
          <w:sz w:val="32"/>
          <w:szCs w:val="24"/>
          <w:lang w:eastAsia="ru-RU"/>
        </w:rPr>
      </w:pPr>
      <w:r>
        <w:rPr>
          <w:rFonts w:eastAsia="Times New Roman"/>
          <w:b/>
          <w:sz w:val="32"/>
          <w:szCs w:val="24"/>
          <w:lang w:eastAsia="ru-RU"/>
        </w:rPr>
        <w:t>ПО ПРАКТИЧЕСКОЙ РАБОТЕ №5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Построение комбинационных схем, реализующих СДНФ и СКНФ заданной логической функции от 4-х переменных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  <w:t>по дисциплине</w:t>
      </w:r>
      <w:r>
        <w:rPr>
          <w:rFonts w:eastAsia="Times New Roman"/>
          <w:sz w:val="24"/>
          <w:szCs w:val="24"/>
          <w:lang w:eastAsia="ru-RU"/>
        </w:rPr>
        <w:t xml:space="preserve"> 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«ИНФОРМАТИКА»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Выполнил студент группы ИКБО-</w:t>
      </w:r>
      <w:r>
        <w:rPr>
          <w:rFonts w:eastAsia="Times New Roman"/>
          <w:sz w:val="24"/>
          <w:szCs w:val="24"/>
          <w:lang w:val="en-US" w:eastAsia="ru-RU"/>
        </w:rPr>
        <w:t>33</w:t>
      </w:r>
      <w:r>
        <w:rPr>
          <w:rFonts w:eastAsia="Times New Roman"/>
          <w:sz w:val="24"/>
          <w:szCs w:val="24"/>
          <w:lang w:eastAsia="ru-RU"/>
        </w:rPr>
        <w:t>-21</w:t>
        <w:tab/>
        <w:tab/>
        <w:tab/>
        <w:tab/>
        <w:tab/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Дмитриев П. Д.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Принял 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eastAsia="Times New Roman"/>
          <w:i/>
          <w:i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ab/>
        <w:tab/>
        <w:tab/>
        <w:tab/>
        <w:t xml:space="preserve">      </w:t>
        <w:tab/>
        <w:tab/>
        <w:t>Воронов Г.Б.</w:t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ind w:firstLine="284"/>
        <w:jc w:val="both"/>
        <w:rPr>
          <w:rFonts w:eastAsia="Times New Roman"/>
          <w:sz w:val="24"/>
          <w:szCs w:val="24"/>
          <w:lang w:eastAsia="ru-RU"/>
        </w:rPr>
      </w:pPr>
      <w:r>
        <mc:AlternateContent>
          <mc:Choice Requires="wps">
            <w:drawing>
              <wp:anchor behindDoc="0" distT="3175" distB="3175" distL="3175" distR="3175" simplePos="0" locked="0" layoutInCell="0" allowOverlap="1" relativeHeight="5" wp14:anchorId="70BF97E9">
                <wp:simplePos x="0" y="0"/>
                <wp:positionH relativeFrom="column">
                  <wp:posOffset>4654550</wp:posOffset>
                </wp:positionH>
                <wp:positionV relativeFrom="paragraph">
                  <wp:posOffset>160655</wp:posOffset>
                </wp:positionV>
                <wp:extent cx="1198880" cy="635"/>
                <wp:effectExtent l="0" t="0" r="0" b="0"/>
                <wp:wrapNone/>
                <wp:docPr id="2" name="Прямая соедините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6.5pt,12.65pt" to="460.8pt,12.65pt" ID="Прямая соединительная линия 3" stroked="t" o:allowincell="f" style="position:absolute" wp14:anchorId="70BF97E9">
                <v:stroke color="black" weight="648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/>
          <w:sz w:val="24"/>
          <w:szCs w:val="24"/>
          <w:lang w:eastAsia="ru-RU"/>
        </w:rPr>
        <w:t xml:space="preserve">Практическая </w:t>
        <w:tab/>
        <w:tab/>
        <w:tab/>
        <w:tab/>
        <w:t>«__»_______2021 г.</w:t>
        <w:tab/>
        <w:tab/>
        <w:t xml:space="preserve">    </w:t>
      </w:r>
    </w:p>
    <w:p>
      <w:pPr>
        <w:pStyle w:val="Normal"/>
        <w:shd w:val="clear" w:color="auto" w:fill="FFFFFF"/>
        <w:spacing w:lineRule="auto" w:line="360" w:before="0" w:after="0"/>
        <w:ind w:firstLine="284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работа выполнена </w:t>
        <w:tab/>
        <w:tab/>
        <w:t xml:space="preserve"> </w:t>
      </w:r>
    </w:p>
    <w:p>
      <w:pPr>
        <w:pStyle w:val="Normal"/>
        <w:shd w:val="clear" w:color="auto" w:fill="FFFFFF"/>
        <w:spacing w:lineRule="auto" w:line="360" w:before="0" w:after="0"/>
        <w:ind w:left="708" w:hanging="0"/>
        <w:jc w:val="both"/>
        <w:rPr>
          <w:rFonts w:eastAsia="Times New Roman"/>
          <w:sz w:val="24"/>
          <w:szCs w:val="24"/>
          <w:lang w:eastAsia="ru-RU"/>
        </w:rPr>
      </w:pPr>
      <w:r>
        <mc:AlternateContent>
          <mc:Choice Requires="wps">
            <w:drawing>
              <wp:anchor behindDoc="0" distT="3175" distB="3175" distL="3175" distR="3175" simplePos="0" locked="0" layoutInCell="0" allowOverlap="1" relativeHeight="6" wp14:anchorId="363D756A">
                <wp:simplePos x="0" y="0"/>
                <wp:positionH relativeFrom="column">
                  <wp:posOffset>4655820</wp:posOffset>
                </wp:positionH>
                <wp:positionV relativeFrom="paragraph">
                  <wp:posOffset>149860</wp:posOffset>
                </wp:positionV>
                <wp:extent cx="1198880" cy="1270"/>
                <wp:effectExtent l="0" t="0" r="0" b="0"/>
                <wp:wrapNone/>
                <wp:docPr id="3" name="Прямая соедините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080" cy="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6.6pt,11.8pt" to="460.9pt,11.8pt" ID="Прямая соединительная линия 7" stroked="t" o:allowincell="f" style="position:absolute" wp14:anchorId="363D756A">
                <v:stroke color="black" weight="6480" joinstyle="miter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/>
          <w:sz w:val="24"/>
          <w:szCs w:val="24"/>
          <w:lang w:eastAsia="ru-RU"/>
        </w:rPr>
        <w:t xml:space="preserve">          </w:t>
      </w:r>
      <w:r>
        <w:rPr>
          <w:rFonts w:eastAsia="Times New Roman"/>
          <w:sz w:val="24"/>
          <w:szCs w:val="24"/>
          <w:lang w:eastAsia="ru-RU"/>
        </w:rPr>
        <w:t xml:space="preserve">«Зачтено» </w:t>
        <w:tab/>
        <w:tab/>
        <w:tab/>
        <w:t>«__»_______2021 г.</w:t>
        <w:tab/>
        <w:tab/>
        <w:t xml:space="preserve">    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Москва 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3"/>
            <w:jc w:val="center"/>
            <w:rPr>
              <w:highlight w:val="none"/>
              <w:shd w:fill="auto" w:val="clear"/>
            </w:rPr>
          </w:pPr>
          <w:r>
            <w:br w:type="page"/>
          </w:r>
          <w:r>
            <w:rPr>
              <w:rFonts w:cs="Times New Roman" w:ascii="Times New Roman" w:hAnsi="Times New Roman"/>
              <w:b/>
              <w:color w:val="000000"/>
              <w:shd w:fill="auto" w:val="clear"/>
            </w:rPr>
            <w:t>СОДЕРЖАНИЕ</w:t>
          </w:r>
        </w:p>
        <w:p>
          <w:pPr>
            <w:pStyle w:val="Normal"/>
            <w:rPr>
              <w:highlight w:val="none"/>
              <w:shd w:fill="auto" w:val="clear"/>
              <w:lang w:eastAsia="ru-RU"/>
            </w:rPr>
          </w:pPr>
          <w:r>
            <w:rPr>
              <w:shd w:fill="auto" w:val="clear"/>
              <w:lang w:eastAsia="ru-RU"/>
            </w:rPr>
          </w:r>
        </w:p>
        <w:p>
          <w:pPr>
            <w:pStyle w:val="12"/>
            <w:tabs>
              <w:tab w:val="clear" w:pos="708"/>
              <w:tab w:val="right" w:pos="9627" w:leader="dot"/>
            </w:tabs>
            <w:rPr/>
          </w:pPr>
          <w:r>
            <w:fldChar w:fldCharType="begin"/>
          </w:r>
          <w:r>
            <w:rPr>
              <w:webHidden/>
              <w:b/>
              <w:shd w:fill="auto" w:val="clear"/>
              <w:vanish w:val="false"/>
              <w:rFonts w:eastAsia="Times New Roman"/>
              <w:lang w:eastAsia="ru-RU"/>
            </w:rPr>
            <w:instrText> TOC \z \o "1-3" \u \h</w:instrText>
          </w:r>
          <w:r>
            <w:rPr>
              <w:webHidden/>
              <w:b/>
              <w:shd w:fill="auto" w:val="clear"/>
              <w:vanish w:val="false"/>
              <w:rFonts w:eastAsia="Times New Roman"/>
              <w:lang w:eastAsia="ru-RU"/>
            </w:rPr>
            <w:fldChar w:fldCharType="separate"/>
          </w:r>
          <w:hyperlink w:anchor="_Toc53613916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I. ПРАКТИЧЕСКАЯ РАБОТА №5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_Toc53613916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7" w:leader="dot"/>
            </w:tabs>
            <w:rPr/>
          </w:pPr>
          <w:hyperlink w:anchor="_Toc53613917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1.</w:t>
            </w:r>
            <w:r>
              <w:rPr>
                <w:rFonts w:eastAsia="等线" w:cs="" w:ascii="Calibri" w:hAnsi="Calibri" w:asciiTheme="minorHAnsi" w:cstheme="minorBidi" w:eastAsiaTheme="minorEastAsia" w:hAnsiTheme="minorHAnsi"/>
                <w:sz w:val="22"/>
                <w:szCs w:val="22"/>
                <w:shd w:fill="auto" w:val="clear"/>
                <w:lang w:eastAsia="ru-RU"/>
              </w:rPr>
              <w:tab/>
            </w:r>
            <w:r>
              <w:rPr>
                <w:rFonts w:eastAsia="Times New Roman"/>
                <w:b/>
                <w:shd w:fill="auto" w:val="clear"/>
                <w:lang w:eastAsia="ru-RU"/>
              </w:rPr>
              <w:t>Постановка задачи и персональный вариант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_Toc53613917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7" w:leader="dot"/>
            </w:tabs>
            <w:rPr/>
          </w:pPr>
          <w:hyperlink w:anchor="_Toc53613918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2.</w:t>
            </w:r>
            <w:r>
              <w:rPr>
                <w:rFonts w:eastAsia="等线" w:cs="" w:ascii="Calibri" w:hAnsi="Calibri" w:asciiTheme="minorHAnsi" w:cstheme="minorBidi" w:eastAsiaTheme="minorEastAsia" w:hAnsiTheme="minorHAnsi"/>
                <w:sz w:val="22"/>
                <w:szCs w:val="22"/>
                <w:shd w:fill="auto" w:val="clear"/>
                <w:lang w:eastAsia="ru-RU"/>
              </w:rPr>
              <w:tab/>
            </w:r>
            <w:r>
              <w:rPr>
                <w:rFonts w:eastAsia="Times New Roman"/>
                <w:b/>
                <w:shd w:fill="auto" w:val="clear"/>
                <w:lang w:eastAsia="ru-RU"/>
              </w:rPr>
              <w:t>Восстановленная таблица истинности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_Toc53613918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7" w:leader="dot"/>
            </w:tabs>
            <w:rPr/>
          </w:pPr>
          <w:hyperlink w:anchor="_Toc53613919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3.</w:t>
            </w:r>
            <w:r>
              <w:rPr>
                <w:rFonts w:eastAsia="等线" w:cs="" w:ascii="Calibri" w:hAnsi="Calibri" w:asciiTheme="minorHAnsi" w:cstheme="minorBidi" w:eastAsiaTheme="minorEastAsia" w:hAnsiTheme="minorHAnsi"/>
                <w:sz w:val="22"/>
                <w:szCs w:val="22"/>
                <w:shd w:fill="auto" w:val="clear"/>
                <w:lang w:eastAsia="ru-RU"/>
              </w:rPr>
              <w:tab/>
            </w:r>
            <w:r>
              <w:rPr>
                <w:rFonts w:eastAsia="Times New Roman"/>
                <w:b/>
                <w:shd w:fill="auto" w:val="clear"/>
                <w:lang w:eastAsia="ru-RU"/>
              </w:rPr>
              <w:t>Формулы СДНФ и СКНФ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_Toc53613919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7" w:leader="dot"/>
            </w:tabs>
            <w:rPr/>
          </w:pPr>
          <w:hyperlink w:anchor="_Toc53613920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4.</w:t>
            </w:r>
            <w:r>
              <w:rPr>
                <w:rFonts w:eastAsia="等线" w:cs="" w:ascii="Calibri" w:hAnsi="Calibri" w:asciiTheme="minorHAnsi" w:cstheme="minorBidi" w:eastAsiaTheme="minorEastAsia" w:hAnsiTheme="minorHAnsi"/>
                <w:sz w:val="22"/>
                <w:szCs w:val="22"/>
                <w:shd w:fill="auto" w:val="clear"/>
                <w:lang w:eastAsia="ru-RU"/>
              </w:rPr>
              <w:tab/>
            </w:r>
            <w:r>
              <w:rPr>
                <w:rFonts w:eastAsia="Times New Roman"/>
                <w:b/>
                <w:shd w:fill="auto" w:val="clear"/>
                <w:lang w:eastAsia="ru-RU"/>
              </w:rPr>
              <w:t>Схемы, реализующие СДНФ и СКНФ в общем логическом базисе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_Toc53613920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7" w:leader="dot"/>
            </w:tabs>
            <w:rPr/>
          </w:pPr>
          <w:hyperlink w:anchor="_Toc53613921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II. 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_Toc53613921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7" w:leader="dot"/>
            </w:tabs>
            <w:rPr/>
          </w:pPr>
          <w:hyperlink w:anchor="_Toc53613922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5.</w:t>
            </w:r>
            <w:r>
              <w:rPr>
                <w:rFonts w:eastAsia="等线" w:cs="" w:ascii="Calibri" w:hAnsi="Calibri" w:asciiTheme="minorHAnsi" w:cstheme="minorBidi" w:eastAsiaTheme="minorEastAsia" w:hAnsiTheme="minorHAnsi"/>
                <w:sz w:val="22"/>
                <w:szCs w:val="22"/>
                <w:shd w:fill="auto" w:val="clear"/>
                <w:lang w:eastAsia="ru-RU"/>
              </w:rPr>
              <w:tab/>
            </w:r>
            <w:r>
              <w:rPr>
                <w:rFonts w:eastAsia="Times New Roman"/>
                <w:b/>
                <w:shd w:fill="auto" w:val="clear"/>
                <w:lang w:eastAsia="ru-RU"/>
              </w:rPr>
              <w:t>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_Toc53613922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7" w:leader="dot"/>
            </w:tabs>
            <w:rPr/>
          </w:pPr>
          <w:hyperlink w:anchor="_Toc53613923">
            <w:r>
              <w:rPr>
                <w:webHidden/>
                <w:rFonts w:eastAsia="Times New Roman"/>
                <w:b/>
                <w:vanish w:val="false"/>
                <w:shd w:fill="auto" w:val="clear"/>
                <w:lang w:eastAsia="ru-RU"/>
              </w:rPr>
              <w:t>III. СПИСОК ИНФОМАЦИОННЫХ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_Toc53613923 \h</w:instrText>
            </w:r>
            <w:r>
              <w:rPr>
                <w:webHidden/>
              </w:rPr>
              <w:fldChar w:fldCharType="separate"/>
            </w:r>
            <w:r>
              <w:rPr>
                <w:shd w:fill="auto" w:val="clear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highlight w:val="none"/>
              <w:shd w:fill="auto" w:val="clear"/>
            </w:rPr>
          </w:pPr>
          <w:r>
            <w:rPr>
              <w:shd w:fill="auto" w:val="clear"/>
            </w:rPr>
          </w:r>
          <w:r>
            <w:rPr>
              <w:shd w:fill="auto" w:val="clear"/>
            </w:rPr>
            <w:fldChar w:fldCharType="end"/>
          </w:r>
        </w:p>
      </w:sdtContent>
    </w:sdt>
    <w:p>
      <w:pPr>
        <w:pStyle w:val="ListParagraph"/>
        <w:rPr>
          <w:rFonts w:eastAsia="Times New Roman"/>
          <w:sz w:val="24"/>
          <w:szCs w:val="24"/>
          <w:highlight w:val="none"/>
          <w:shd w:fill="auto" w:val="clear"/>
          <w:lang w:eastAsia="ru-RU"/>
        </w:rPr>
      </w:pPr>
      <w:r>
        <w:rPr>
          <w:rFonts w:eastAsia="Times New Roman"/>
          <w:sz w:val="24"/>
          <w:szCs w:val="24"/>
          <w:shd w:fill="auto" w:val="clear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ListParagrap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/>
      </w:r>
    </w:p>
    <w:p>
      <w:pPr>
        <w:pStyle w:val="Normal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br w:type="page"/>
      </w:r>
    </w:p>
    <w:p>
      <w:pPr>
        <w:pStyle w:val="1"/>
        <w:numPr>
          <w:ilvl w:val="0"/>
          <w:numId w:val="1"/>
        </w:numPr>
        <w:ind w:left="360" w:hanging="360"/>
        <w:jc w:val="center"/>
        <w:rPr>
          <w:rFonts w:ascii="Times New Roman" w:hAnsi="Times New Roman" w:eastAsia="Times New Roman" w:cs="Times New Roman"/>
          <w:b/>
          <w:b/>
          <w:color w:val="auto"/>
          <w:lang w:eastAsia="ru-RU"/>
        </w:rPr>
      </w:pPr>
      <w:bookmarkStart w:id="0" w:name="_Toc53613916"/>
      <w:r>
        <w:rPr>
          <w:rFonts w:eastAsia="Times New Roman" w:cs="Times New Roman" w:ascii="Times New Roman" w:hAnsi="Times New Roman"/>
          <w:b/>
          <w:color w:val="auto"/>
          <w:lang w:eastAsia="ru-RU"/>
        </w:rPr>
        <w:t>ПРАКТИЧЕСКАЯ РАБОТА №5</w:t>
      </w:r>
      <w:bookmarkEnd w:id="0"/>
    </w:p>
    <w:p>
      <w:pPr>
        <w:pStyle w:val="2"/>
        <w:numPr>
          <w:ilvl w:val="0"/>
          <w:numId w:val="2"/>
        </w:numPr>
        <w:ind w:left="360" w:hanging="360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  <w:lang w:eastAsia="ru-RU"/>
        </w:rPr>
      </w:pPr>
      <w:bookmarkStart w:id="1" w:name="_Toc53613917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Постановка задачи и персональный вариант</w:t>
      </w:r>
      <w:bookmarkEnd w:id="1"/>
    </w:p>
    <w:p>
      <w:pPr>
        <w:pStyle w:val="ListParagraph"/>
        <w:shd w:val="clear" w:color="auto" w:fill="FFFFFF"/>
        <w:spacing w:lineRule="auto" w:line="240" w:before="0" w:after="0"/>
        <w:ind w:left="0"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Логическая функция от четырех переменных задана в 16-теричной векторной форме.  Восстановить таблицу истинности.  Записать формулы СДНФ и СКНФ. Построить комбинационные схемы СДНФ и СКНФ в лабораторном комплексе, используя общий логический базис. Протестировать работу схем и убедиться в их правильности.</w:t>
      </w:r>
    </w:p>
    <w:p>
      <w:pPr>
        <w:pStyle w:val="ListParagraph"/>
        <w:spacing w:before="0" w:after="0"/>
        <w:ind w:left="0" w:firstLine="709"/>
        <w:contextualSpacing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 соответствии с вариантом функция, заданная в 16-теричной форме имеет следующий вид:</w:t>
      </w:r>
    </w:p>
    <w:p>
      <w:pPr>
        <w:pStyle w:val="ListParagraph"/>
        <w:ind w:left="709" w:hanging="0"/>
        <w:jc w:val="both"/>
        <w:rPr>
          <w:rFonts w:eastAsia="Times New Roman"/>
          <w:vertAlign w:val="subscript"/>
          <w:lang w:eastAsia="ru-RU"/>
        </w:rPr>
      </w:pPr>
      <w:r>
        <w:rPr>
          <w:rFonts w:eastAsia="Times New Roman"/>
          <w:lang w:eastAsia="ru-RU"/>
        </w:rPr>
        <w:t xml:space="preserve">F(a, b, c, d) = </w:t>
      </w:r>
      <w:r>
        <w:rPr>
          <w:rFonts w:eastAsia="Times New Roman"/>
          <w:lang w:val="en-US" w:eastAsia="ru-RU"/>
        </w:rPr>
        <w:t>C96F</w:t>
      </w:r>
      <w:r>
        <w:rPr>
          <w:rFonts w:eastAsia="Times New Roman"/>
          <w:vertAlign w:val="subscript"/>
          <w:lang w:eastAsia="ru-RU"/>
        </w:rPr>
        <w:t>16</w:t>
      </w:r>
    </w:p>
    <w:p>
      <w:pPr>
        <w:pStyle w:val="ListParagraph"/>
        <w:ind w:left="709" w:hanging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2"/>
        <w:numPr>
          <w:ilvl w:val="0"/>
          <w:numId w:val="2"/>
        </w:numPr>
        <w:ind w:left="360" w:hanging="360"/>
        <w:rPr>
          <w:rFonts w:ascii="Times New Roman" w:hAnsi="Times New Roman" w:eastAsia="Times New Roman" w:cs="Times New Roman"/>
          <w:b/>
          <w:b/>
          <w:color w:val="auto"/>
          <w:sz w:val="28"/>
          <w:szCs w:val="28"/>
          <w:lang w:eastAsia="ru-RU"/>
        </w:rPr>
      </w:pPr>
      <w:bookmarkStart w:id="2" w:name="_Toc53613918"/>
      <w:r>
        <w:rPr>
          <w:rFonts w:eastAsia="Times New Roman" w:cs="Times New Roman" w:ascii="Times New Roman" w:hAnsi="Times New Roman"/>
          <w:b/>
          <w:color w:val="auto"/>
          <w:sz w:val="28"/>
          <w:szCs w:val="28"/>
          <w:lang w:eastAsia="ru-RU"/>
        </w:rPr>
        <w:t>Восстановленная таблица истинности</w:t>
      </w:r>
      <w:bookmarkEnd w:id="2"/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Преобразуем ее в двоичную запись: 01</w:t>
      </w:r>
      <w:r>
        <w:rPr>
          <w:rFonts w:eastAsia="Times New Roman"/>
          <w:lang w:val="en-US" w:eastAsia="ru-RU"/>
        </w:rPr>
        <w:t>11</w:t>
      </w:r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1010 1011 0110</w:t>
      </w:r>
      <w:r>
        <w:rPr>
          <w:rFonts w:eastAsia="Times New Roman"/>
          <w:vertAlign w:val="subscript"/>
          <w:lang w:eastAsia="ru-RU"/>
        </w:rPr>
        <w:t>2</w:t>
      </w:r>
      <w:r>
        <w:rPr>
          <w:rFonts w:eastAsia="Times New Roman"/>
          <w:lang w:eastAsia="ru-RU"/>
        </w:rPr>
        <w:t xml:space="preserve"> –  получили столбец значений логической функции, который необходим для восстановления полной таблицы истинности (см. табл.1).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Таблица 1. Полная таблица истинности</w:t>
      </w:r>
    </w:p>
    <w:tbl>
      <w:tblPr>
        <w:tblStyle w:val="a6"/>
        <w:tblW w:w="18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673"/>
        <w:gridCol w:w="673"/>
        <w:gridCol w:w="671"/>
        <w:gridCol w:w="673"/>
        <w:gridCol w:w="677"/>
      </w:tblGrid>
      <w:tr>
        <w:trPr>
          <w:trHeight w:val="295" w:hRule="atLeast"/>
        </w:trPr>
        <w:tc>
          <w:tcPr>
            <w:tcW w:w="6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lang w:val="en-US" w:eastAsia="ru-RU"/>
              </w:rPr>
            </w:pPr>
            <w:r>
              <w:rPr>
                <w:rFonts w:eastAsia="Times New Roman"/>
                <w:b/>
                <w:kern w:val="0"/>
                <w:lang w:val="en-US" w:eastAsia="ru-RU" w:bidi="ar-SA"/>
              </w:rPr>
              <w:t>a</w:t>
            </w:r>
          </w:p>
        </w:tc>
        <w:tc>
          <w:tcPr>
            <w:tcW w:w="673" w:type="dxa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lang w:val="en-US" w:eastAsia="ru-RU"/>
              </w:rPr>
            </w:pPr>
            <w:r>
              <w:rPr>
                <w:rFonts w:eastAsia="Times New Roman"/>
                <w:b/>
                <w:kern w:val="0"/>
                <w:lang w:val="en-US" w:eastAsia="ru-RU" w:bidi="ar-SA"/>
              </w:rPr>
              <w:t>b</w:t>
            </w:r>
          </w:p>
        </w:tc>
        <w:tc>
          <w:tcPr>
            <w:tcW w:w="671" w:type="dxa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lang w:val="en-US" w:eastAsia="ru-RU"/>
              </w:rPr>
            </w:pPr>
            <w:r>
              <w:rPr>
                <w:rFonts w:eastAsia="Times New Roman"/>
                <w:b/>
                <w:kern w:val="0"/>
                <w:lang w:val="en-US" w:eastAsia="ru-RU" w:bidi="ar-SA"/>
              </w:rPr>
              <w:t>c</w:t>
            </w:r>
          </w:p>
        </w:tc>
        <w:tc>
          <w:tcPr>
            <w:tcW w:w="673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lang w:val="en-US" w:eastAsia="ru-RU"/>
              </w:rPr>
            </w:pPr>
            <w:r>
              <w:rPr>
                <w:rFonts w:eastAsia="Times New Roman"/>
                <w:b/>
                <w:kern w:val="0"/>
                <w:lang w:val="en-US" w:eastAsia="ru-RU" w:bidi="ar-SA"/>
              </w:rPr>
              <w:t>d</w:t>
            </w:r>
          </w:p>
        </w:tc>
        <w:tc>
          <w:tcPr>
            <w:tcW w:w="67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b/>
                <w:b/>
                <w:lang w:val="en-US" w:eastAsia="ru-RU"/>
              </w:rPr>
            </w:pPr>
            <w:r>
              <w:rPr>
                <w:rFonts w:eastAsia="Times New Roman"/>
                <w:b/>
                <w:kern w:val="0"/>
                <w:lang w:val="en-US" w:eastAsia="ru-RU" w:bidi="ar-SA"/>
              </w:rPr>
              <w:t>F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top w:val="single" w:sz="18" w:space="0" w:color="000000"/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top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>
              <w:top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309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309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val="en-US" w:eastAsia="ru-RU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0</w:t>
            </w:r>
          </w:p>
        </w:tc>
        <w:tc>
          <w:tcPr>
            <w:tcW w:w="677" w:type="dxa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  <w:tr>
        <w:trPr>
          <w:trHeight w:val="295" w:hRule="atLeast"/>
        </w:trPr>
        <w:tc>
          <w:tcPr>
            <w:tcW w:w="673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1" w:type="dxa"/>
            <w:tcBorders>
              <w:bottom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3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  <w:tc>
          <w:tcPr>
            <w:tcW w:w="677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kern w:val="0"/>
                <w:lang w:val="en-US" w:eastAsia="ru-RU" w:bidi="ar-SA"/>
              </w:rPr>
              <w:t>1</w:t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rPr>
          <w:rFonts w:eastAsia="Times New Roman"/>
          <w:b/>
          <w:b/>
          <w:sz w:val="32"/>
          <w:szCs w:val="32"/>
          <w:lang w:eastAsia="ru-RU"/>
        </w:rPr>
      </w:pPr>
      <w:r>
        <w:rPr>
          <w:rFonts w:eastAsia="Times New Roman"/>
          <w:b/>
          <w:sz w:val="32"/>
          <w:szCs w:val="32"/>
          <w:lang w:eastAsia="ru-RU"/>
        </w:rPr>
      </w:r>
    </w:p>
    <w:p>
      <w:pPr>
        <w:pStyle w:val="2"/>
        <w:numPr>
          <w:ilvl w:val="0"/>
          <w:numId w:val="2"/>
        </w:numPr>
        <w:ind w:left="360" w:hanging="360"/>
        <w:rPr>
          <w:rFonts w:ascii="Times New Roman" w:hAnsi="Times New Roman" w:eastAsia="Times New Roman" w:cs="Times New Roman"/>
          <w:b/>
          <w:b/>
          <w:color w:val="auto"/>
          <w:sz w:val="32"/>
          <w:szCs w:val="32"/>
          <w:lang w:eastAsia="ru-RU"/>
        </w:rPr>
      </w:pPr>
      <w:bookmarkStart w:id="3" w:name="_Toc53613919"/>
      <w:r>
        <w:rPr>
          <w:rFonts w:eastAsia="Times New Roman" w:cs="Times New Roman" w:ascii="Times New Roman" w:hAnsi="Times New Roman"/>
          <w:b/>
          <w:color w:val="auto"/>
          <w:sz w:val="32"/>
          <w:szCs w:val="32"/>
          <w:lang w:eastAsia="ru-RU"/>
        </w:rPr>
        <w:t>Формулы СДНФ и СКНФ</w:t>
      </w:r>
      <w:bookmarkEnd w:id="3"/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Запишем формулу СДНФ, для чего рассмотрим наборы значений переменных, на которых функция равна единице. Переменные, равные нулю, надо взять с отрицанием, а переменные, равные единице, без отрицания. В результате мы получим множество совершенных конъюнкций, объединив которые через дизъюнкцию образуем формулу СДНФ (формула 1).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color w:val="000000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сднф</m:t>
            </m:r>
          </m:sub>
        </m:sSub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d</m:t>
        </m:r>
      </m:oMath>
      <w:r>
        <w:rPr>
          <w:rFonts w:eastAsia="Times New Roman"/>
          <w:color w:val="000000"/>
          <w:lang w:eastAsia="ru-RU"/>
        </w:rPr>
        <w:t xml:space="preserve">    </w:t>
      </w:r>
      <w:r>
        <w:rPr>
          <w:rFonts w:eastAsia="Times New Roman"/>
          <w:color w:val="000000"/>
          <w:lang w:eastAsia="ru-RU"/>
        </w:rPr>
        <w:t xml:space="preserve">(1)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∙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d</m:t>
        </m:r>
      </m:oMath>
    </w:p>
    <w:p>
      <w:pPr>
        <w:pStyle w:val="Normal"/>
        <w:shd w:val="clear" w:color="auto" w:fill="FFFFFF"/>
        <w:spacing w:lineRule="auto" w:line="240" w:before="0" w:after="0"/>
        <w:jc w:val="right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Далее запишем формулу СКНФ, для чего рассмотрим наборы значений переменных, на которых функция равна нулю. Переменные, равные единице, надо взять с отрицанием, а переменные, равные нулю, без отрицания. В результате мы получим множество совершенных дизъюнкций, объединив которые через конъюнкцию образуем формулу СКНФ (формула 2).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eastAsia="ru-RU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скнф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c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d</m:t>
            </m:r>
          </m:e>
        </m:d>
        <m:r>
          <w:rPr>
            <w:rFonts w:ascii="Cambria Math" w:hAnsi="Cambria Math"/>
          </w:rPr>
          <m:t xml:space="preserve">∙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+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ba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c</m:t>
            </m:r>
            <m:r>
              <w:rPr>
                <w:rFonts w:ascii="Cambria Math" w:hAnsi="Cambria Math"/>
              </w:rPr>
              <m:t xml:space="preserve">+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d</m:t>
                </m:r>
              </m:e>
            </m:bar>
          </m:e>
        </m:d>
        <m:r>
          <w:rPr>
            <w:rFonts w:ascii="Cambria Math" w:hAnsi="Cambria Math"/>
          </w:rPr>
          <m:t xml:space="preserve">∙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+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bar>
            <m:r>
              <w:rPr>
                <w:rFonts w:ascii="Cambria Math" w:hAnsi="Cambria Math"/>
              </w:rPr>
              <m:t xml:space="preserve">+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</m:t>
                </m:r>
              </m:e>
            </m:bar>
            <m:r>
              <w:rPr>
                <w:rFonts w:ascii="Cambria Math" w:hAnsi="Cambria Math"/>
              </w:rPr>
              <m:t xml:space="preserve">+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d</m:t>
                </m:r>
              </m:e>
            </m:bar>
          </m:e>
        </m:d>
        <m:r>
          <w:rPr>
            <w:rFonts w:ascii="Cambria Math" w:hAnsi="Cambria Math"/>
          </w:rPr>
          <m:t xml:space="preserve">∙</m:t>
        </m:r>
      </m:oMath>
      <w:r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ab/>
        <w:t xml:space="preserve"> (2)</w:t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val="en-US" w:eastAsia="ru-RU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∙</m:t>
          </m:r>
          <m:d>
            <m:dPr>
              <m:begChr m:val="("/>
              <m:endChr m:val=")"/>
            </m:dPr>
            <m:e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b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c</m:t>
              </m:r>
              <m:r>
                <w:rPr>
                  <w:rFonts w:ascii="Cambria Math" w:hAnsi="Cambria Math"/>
                </w:rPr>
                <m:t xml:space="preserve">+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</m:bar>
            </m:e>
          </m:d>
          <m:r>
            <w:rPr>
              <w:rFonts w:ascii="Cambria Math" w:hAnsi="Cambria Math"/>
            </w:rPr>
            <m:t xml:space="preserve">∙</m:t>
          </m:r>
          <m:d>
            <m:dPr>
              <m:begChr m:val="("/>
              <m:endChr m:val=")"/>
            </m:dPr>
            <m:e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c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d</m:t>
              </m:r>
            </m:e>
          </m:d>
          <m:r>
            <w:rPr>
              <w:rFonts w:ascii="Cambria Math" w:hAnsi="Cambria Math"/>
            </w:rPr>
            <m:t xml:space="preserve">∙</m:t>
          </m:r>
          <m:d>
            <m:dPr>
              <m:begChr m:val="("/>
              <m:endChr m:val=")"/>
            </m:dPr>
            <m:e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c</m:t>
                  </m:r>
                </m:e>
              </m:bar>
              <m:r>
                <w:rPr>
                  <w:rFonts w:ascii="Cambria Math" w:hAnsi="Cambria Math"/>
                </w:rPr>
                <m:t xml:space="preserve">+</m:t>
              </m:r>
              <m:bar>
                <m:barPr>
                  <m:pos m:val="top"/>
                </m:barPr>
                <m:e>
                  <m:r>
                    <w:rPr>
                      <w:rFonts w:ascii="Cambria Math" w:hAnsi="Cambria Math"/>
                    </w:rPr>
                    <m:t xml:space="preserve">d</m:t>
                  </m:r>
                </m:e>
              </m:bar>
            </m:e>
          </m:d>
        </m:oMath>
      </m:oMathPara>
    </w:p>
    <w:p>
      <w:pPr>
        <w:pStyle w:val="Normal"/>
        <w:shd w:val="clear" w:color="auto" w:fill="FFFFFF"/>
        <w:spacing w:lineRule="auto" w:line="240" w:before="0" w:after="0"/>
        <w:jc w:val="right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</w:r>
    </w:p>
    <w:p>
      <w:pPr>
        <w:pStyle w:val="2"/>
        <w:numPr>
          <w:ilvl w:val="0"/>
          <w:numId w:val="2"/>
        </w:numPr>
        <w:ind w:left="360" w:hanging="360"/>
        <w:rPr>
          <w:rFonts w:ascii="Times New Roman" w:hAnsi="Times New Roman" w:eastAsia="Times New Roman" w:cs="Times New Roman"/>
          <w:b/>
          <w:b/>
          <w:color w:val="auto"/>
          <w:sz w:val="32"/>
          <w:szCs w:val="32"/>
          <w:lang w:eastAsia="ru-RU"/>
        </w:rPr>
      </w:pPr>
      <w:bookmarkStart w:id="4" w:name="_Toc53613920"/>
      <w:r>
        <w:rPr>
          <w:rFonts w:eastAsia="Times New Roman" w:cs="Times New Roman" w:ascii="Times New Roman" w:hAnsi="Times New Roman"/>
          <w:b/>
          <w:color w:val="auto"/>
          <w:sz w:val="32"/>
          <w:szCs w:val="32"/>
          <w:lang w:eastAsia="ru-RU"/>
        </w:rPr>
        <w:t>Схемы, реализующие СДНФ и СКНФ в общем логическом базисе</w:t>
      </w:r>
      <w:bookmarkEnd w:id="4"/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Построим в лабораторном комплексе комбинационные схемы, реализующие СДНФ и СКНФ рассматриваемой функции в общем логическом базисе, протестируем их работу и убедимся в их правильности (рис. 1,2). На схеме СДНФ (рис.1) в целях размещения всей схемы в пределах одного экрана объединяющая дизъюнкция разбита на две части. Аналогично была разбита объединяющая конъюнкция на рис.2.</w:t>
      </w:r>
    </w:p>
    <w:p>
      <w:pPr>
        <w:pStyle w:val="Normal"/>
        <w:shd w:val="clear" w:color="auto" w:fill="FFFFFF"/>
        <w:spacing w:lineRule="auto" w:line="240" w:before="0" w:after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Рисунок  1 – Схема  СДНФ</w:t>
      </w:r>
    </w:p>
    <w:p>
      <w:pPr>
        <w:pStyle w:val="ListParagraph"/>
        <w:ind w:left="0" w:hanging="0"/>
        <w:jc w:val="center"/>
        <w:rPr/>
      </w:pPr>
      <w:r>
        <w:rPr/>
        <w:drawing>
          <wp:inline distT="0" distB="0" distL="0" distR="0">
            <wp:extent cx="5939790" cy="334137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pStyle w:val="ListParagraph"/>
        <w:ind w:left="0" w:hanging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Рис.2 Тестирование схемы СКНФ</w:t>
      </w:r>
    </w:p>
    <w:p>
      <w:pPr>
        <w:pStyle w:val="ListParagraph"/>
        <w:ind w:left="0" w:hanging="0"/>
        <w:jc w:val="center"/>
        <w:rPr>
          <w:rFonts w:eastAsia="Times New Roman"/>
          <w:lang w:eastAsia="ru-RU"/>
        </w:rPr>
      </w:pPr>
      <w:r>
        <w:rPr/>
        <w:drawing>
          <wp:inline distT="0" distB="0" distL="0" distR="0">
            <wp:extent cx="5939790" cy="334137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0"/>
          <w:numId w:val="1"/>
        </w:numPr>
        <w:ind w:left="360" w:hanging="360"/>
        <w:jc w:val="center"/>
        <w:rPr>
          <w:rFonts w:ascii="Times New Roman" w:hAnsi="Times New Roman" w:eastAsia="Times New Roman" w:cs="Times New Roman"/>
          <w:b/>
          <w:b/>
          <w:color w:val="auto"/>
          <w:lang w:eastAsia="ru-RU"/>
        </w:rPr>
      </w:pPr>
      <w:bookmarkStart w:id="5" w:name="_Toc53613921"/>
      <w:r>
        <w:rPr>
          <w:rFonts w:eastAsia="Times New Roman" w:cs="Times New Roman" w:ascii="Times New Roman" w:hAnsi="Times New Roman"/>
          <w:b/>
          <w:color w:val="auto"/>
          <w:lang w:eastAsia="ru-RU"/>
        </w:rPr>
        <w:t>ЗАКЛЮЧЕНИЕ</w:t>
      </w:r>
      <w:bookmarkEnd w:id="5"/>
    </w:p>
    <w:p>
      <w:pPr>
        <w:pStyle w:val="2"/>
        <w:numPr>
          <w:ilvl w:val="0"/>
          <w:numId w:val="2"/>
        </w:numPr>
        <w:ind w:left="360" w:hanging="360"/>
        <w:rPr>
          <w:rFonts w:ascii="Times New Roman" w:hAnsi="Times New Roman" w:eastAsia="Times New Roman" w:cs="Times New Roman"/>
          <w:b/>
          <w:b/>
          <w:color w:val="auto"/>
          <w:sz w:val="32"/>
          <w:szCs w:val="32"/>
          <w:lang w:eastAsia="ru-RU"/>
        </w:rPr>
      </w:pPr>
      <w:bookmarkStart w:id="6" w:name="_Toc53613922"/>
      <w:r>
        <w:rPr>
          <w:rFonts w:eastAsia="Times New Roman" w:cs="Times New Roman" w:ascii="Times New Roman" w:hAnsi="Times New Roman"/>
          <w:b/>
          <w:color w:val="auto"/>
          <w:sz w:val="32"/>
          <w:szCs w:val="32"/>
          <w:lang w:eastAsia="ru-RU"/>
        </w:rPr>
        <w:t>Выводы</w:t>
      </w:r>
      <w:bookmarkEnd w:id="6"/>
    </w:p>
    <w:p>
      <w:pPr>
        <w:pStyle w:val="Normal"/>
        <w:shd w:val="clear" w:color="auto" w:fill="FFFFFF"/>
        <w:spacing w:lineRule="auto" w:line="240" w:before="0" w:after="0"/>
        <w:ind w:right="-2"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Тестирование показало, что обе схемы работают правильно. В данной практической работе осваиваются навыки построения комбинационных схем СДНФ и СКНФ в лабораторном комплексе, используя общий логический базис, а также навыки тестирования работы схем в среде схемотехнического моделирования </w:t>
      </w:r>
      <w:r>
        <w:rPr>
          <w:rFonts w:eastAsia="Times New Roman"/>
          <w:lang w:val="en-US" w:eastAsia="ru-RU"/>
        </w:rPr>
        <w:t>Logisim</w:t>
      </w:r>
      <w:r>
        <w:rPr>
          <w:rFonts w:eastAsia="Times New Roman"/>
          <w:lang w:eastAsia="ru-RU"/>
        </w:rPr>
        <w:t>.</w:t>
      </w:r>
    </w:p>
    <w:p>
      <w:pPr>
        <w:pStyle w:val="Normal"/>
        <w:shd w:val="clear" w:color="auto" w:fill="FFFFFF"/>
        <w:spacing w:lineRule="auto" w:line="240" w:before="0" w:after="0"/>
        <w:ind w:left="709" w:hanging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</w:r>
    </w:p>
    <w:p>
      <w:pPr>
        <w:pStyle w:val="1"/>
        <w:numPr>
          <w:ilvl w:val="0"/>
          <w:numId w:val="1"/>
        </w:numPr>
        <w:ind w:left="360" w:hanging="360"/>
        <w:jc w:val="center"/>
        <w:rPr>
          <w:rFonts w:ascii="Times New Roman" w:hAnsi="Times New Roman" w:eastAsia="Times New Roman" w:cs="Times New Roman"/>
          <w:b/>
          <w:b/>
          <w:color w:val="auto"/>
          <w:lang w:eastAsia="ru-RU"/>
        </w:rPr>
      </w:pPr>
      <w:bookmarkStart w:id="7" w:name="_Toc53613923"/>
      <w:r>
        <w:rPr>
          <w:rFonts w:eastAsia="Times New Roman" w:cs="Times New Roman" w:ascii="Times New Roman" w:hAnsi="Times New Roman"/>
          <w:b/>
          <w:color w:val="auto"/>
          <w:lang w:eastAsia="ru-RU"/>
        </w:rPr>
        <w:t>СПИСОК ИНФОМАЦИОННЫХ ИСТОЧНИКОВ</w:t>
      </w:r>
      <w:bookmarkEnd w:id="7"/>
    </w:p>
    <w:p>
      <w:pPr>
        <w:pStyle w:val="Normal"/>
        <w:tabs>
          <w:tab w:val="clear" w:pos="708"/>
          <w:tab w:val="left" w:pos="1890" w:leader="none"/>
        </w:tabs>
        <w:spacing w:before="0" w:after="0"/>
        <w:ind w:firstLine="709"/>
        <w:jc w:val="both"/>
        <w:rPr>
          <w:rFonts w:eastAsia="Times New Roman"/>
          <w:b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Смирнов С.С., Карпов Д.А.</w:t>
      </w:r>
    </w:p>
    <w:p>
      <w:pPr>
        <w:pStyle w:val="Normal"/>
        <w:tabs>
          <w:tab w:val="clear" w:pos="708"/>
          <w:tab w:val="left" w:pos="1890" w:leader="none"/>
        </w:tabs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szCs w:val="24"/>
          <w:lang w:eastAsia="ru-RU"/>
        </w:rPr>
        <w:t>Информатика: Методические указания по выполнению практических работ / С.С. Смирнов, Д.А. Карпов—М., МИРЭА —Российский технологический университет, 2020. –102с.</w:t>
      </w:r>
      <w:r>
        <w:rPr>
          <w:rFonts w:eastAsia="Times New Roman"/>
          <w:sz w:val="24"/>
          <w:szCs w:val="24"/>
          <w:lang w:eastAsia="ru-RU"/>
        </w:rPr>
        <w:tab/>
      </w:r>
    </w:p>
    <w:p>
      <w:pPr>
        <w:pStyle w:val="Normal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ind w:left="709" w:hanging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</w:p>
    <w:p>
      <w:pPr>
        <w:pStyle w:val="Normal"/>
        <w:spacing w:before="0" w:after="160"/>
        <w:rPr>
          <w:i/>
          <w:i/>
          <w:lang w:val="en-US"/>
        </w:rPr>
      </w:pPr>
      <w:r>
        <w:rPr/>
      </w:r>
    </w:p>
    <w:sectPr>
      <w:footerReference w:type="default" r:id="rId5"/>
      <w:type w:val="nextPage"/>
      <w:pgSz w:w="11906" w:h="16838"/>
      <w:pgMar w:left="1701" w:right="851" w:gutter="0" w:header="0" w:top="1134" w:footer="709" w:bottom="1191"/>
      <w:pgNumType w:start="1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AutoText"/>
      </w:docPartObj>
      <w:id w:val="827457664"/>
    </w:sdtPr>
    <w:sdtContent>
      <w:p>
        <w:pPr>
          <w:pStyle w:val="Style24"/>
          <w:jc w:val="center"/>
          <w:rPr>
            <w:rFonts w:eastAsia="Calibri" w:eastAsiaTheme="minorHAnsi"/>
            <w:highlight w:val="none"/>
            <w:shd w:fill="auto" w:val="clear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Style24"/>
      <w:tabs>
        <w:tab w:val="clear" w:pos="4677"/>
        <w:tab w:val="clear" w:pos="9355"/>
        <w:tab w:val="left" w:pos="5415" w:leader="none"/>
      </w:tabs>
      <w:rPr/>
    </w:pPr>
    <w:r>
      <w:rPr/>
      <w:tab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suff w:val="space"/>
      <w:lvlText w:val="%1."/>
      <w:lvlJc w:val="righ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>
        <w:sz w:val="32"/>
        <w:b/>
        <w:szCs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8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等线 Light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等线 Light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11" w:customStyle="1">
    <w:name w:val="Заголовок 1 Знак"/>
    <w:basedOn w:val="DefaultParagraphFont"/>
    <w:link w:val="1"/>
    <w:uiPriority w:val="9"/>
    <w:qFormat/>
    <w:rPr>
      <w:rFonts w:ascii="Calibri Light" w:hAnsi="Calibri Light" w:eastAsia="等线 Light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link w:val="2"/>
    <w:uiPriority w:val="9"/>
    <w:qFormat/>
    <w:rPr>
      <w:rFonts w:ascii="Calibri Light" w:hAnsi="Calibri Light" w:eastAsia="等线 Light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Style13" w:customStyle="1">
    <w:name w:val="Нижний колонтитул Знак"/>
    <w:basedOn w:val="DefaultParagraphFont"/>
    <w:link w:val="a4"/>
    <w:uiPriority w:val="99"/>
    <w:qFormat/>
    <w:rPr>
      <w:rFonts w:ascii="Times New Roman" w:hAnsi="Times New Roman" w:cs="Times New Roman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qFormat/>
    <w:rsid w:val="003a497d"/>
    <w:rPr>
      <w:color w:val="808080"/>
    </w:rPr>
  </w:style>
  <w:style w:type="character" w:styleId="Style14">
    <w:name w:val="Ссылка указателя"/>
    <w:qFormat/>
    <w:rPr/>
  </w:style>
  <w:style w:type="character" w:styleId="Style15">
    <w:name w:val="Символ сноски"/>
    <w:qFormat/>
    <w:rPr/>
  </w:style>
  <w:style w:type="character" w:styleId="Style16">
    <w:name w:val="Символ концевой сноски"/>
    <w:qFormat/>
    <w:rPr/>
  </w:style>
  <w:style w:type="character" w:styleId="Style17">
    <w:name w:val="Посещённая гиперссылка"/>
    <w:rPr>
      <w:color w:val="800000"/>
      <w:u w:val="single"/>
      <w:lang w:val="zxx" w:eastAsia="zxx" w:bidi="zxx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12">
    <w:name w:val="TOC 1"/>
    <w:basedOn w:val="Normal"/>
    <w:next w:val="Normal"/>
    <w:uiPriority w:val="39"/>
    <w:unhideWhenUsed/>
    <w:pPr>
      <w:spacing w:before="0" w:after="100"/>
    </w:pPr>
    <w:rPr/>
  </w:style>
  <w:style w:type="paragraph" w:styleId="22">
    <w:name w:val="TOC 2"/>
    <w:basedOn w:val="Normal"/>
    <w:next w:val="Normal"/>
    <w:uiPriority w:val="39"/>
    <w:unhideWhenUsed/>
    <w:pPr>
      <w:spacing w:before="0" w:after="100"/>
      <w:ind w:left="280" w:hanging="0"/>
    </w:pPr>
    <w:rPr/>
  </w:style>
  <w:style w:type="paragraph" w:styleId="Style23">
    <w:name w:val="Колонтитул"/>
    <w:basedOn w:val="Normal"/>
    <w:qFormat/>
    <w:pPr/>
    <w:rPr/>
  </w:style>
  <w:style w:type="paragraph" w:styleId="Style24">
    <w:name w:val="Footer"/>
    <w:basedOn w:val="Normal"/>
    <w:link w:val="a5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13" w:customStyle="1">
    <w:name w:val="Заголовок оглавления1"/>
    <w:basedOn w:val="1"/>
    <w:next w:val="Normal"/>
    <w:uiPriority w:val="39"/>
    <w:unhideWhenUsed/>
    <w:qFormat/>
    <w:pPr>
      <w:outlineLvl w:val="9"/>
    </w:pPr>
    <w:rPr>
      <w:lang w:eastAsia="ru-RU"/>
    </w:rPr>
  </w:style>
  <w:style w:type="paragraph" w:styleId="Style25">
    <w:name w:val="Header"/>
    <w:basedOn w:val="Style23"/>
    <w:pPr>
      <w:suppressLineNumbers/>
      <w:tabs>
        <w:tab w:val="clear" w:pos="708"/>
        <w:tab w:val="center" w:pos="4677" w:leader="none"/>
        <w:tab w:val="right" w:pos="9354" w:leader="none"/>
      </w:tabs>
    </w:pPr>
    <w:rPr/>
  </w:style>
  <w:style w:type="paragraph" w:styleId="Style26">
    <w:name w:val="Содержимое списка"/>
    <w:basedOn w:val="Normal"/>
    <w:qFormat/>
    <w:pPr>
      <w:ind w:lef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LibreOffice/7.2.1.2$Windows_X86_64 LibreOffice_project/87b77fad49947c1441b67c559c339af8f3517e22</Application>
  <AppVersion>15.0000</AppVersion>
  <Pages>5</Pages>
  <Words>529</Words>
  <Characters>2955</Characters>
  <CharactersWithSpaces>3409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2021-10-18T18:42:00Z</dcterms:created>
  <dc:creator>student</dc:creator>
  <dc:description/>
  <dc:language>ru-RU</dc:language>
  <cp:lastModifiedBy/>
  <dcterms:modified xsi:type="dcterms:W3CDTF">2021-10-19T17:43:58Z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9FC88C1D02F4406093803D7F45F9D11F</vt:lpwstr>
  </property>
  <property fmtid="{D5CDD505-2E9C-101B-9397-08002B2CF9AE}" pid="3" name="KSOProductBuildVer">
    <vt:lpwstr>1049-11.2.0.10323</vt:lpwstr>
  </property>
</Properties>
</file>