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 xml:space="preserve">МП vs СДЭК-фулфилмент: стоит ли овчинка выделки</w:t>
      </w:r>
    </w:p>
    <w:p>
      <w:pPr>
        <w:spacing w:after="280"/>
        <w:jc w:val="center"/>
      </w:pPr>
      <w:r>
        <w:rPr>
          <w:i/>
          <w:iCs/>
          <w:color w:val="595959"/>
        </w:rPr>
        <w:t xml:space="preserve">КФХ «Ранчо Мушкино» · ТМ «ЭКО Конь» / «Цветология» · 13.05.2026</w:t>
      </w:r>
    </w:p>
    <w:p>
      <w:pPr>
        <w:pStyle w:val="Heading1"/>
        <w:spacing w:after="140" w:before="280"/>
      </w:pPr>
      <w:r>
        <w:t xml:space="preserve">Бенчмарк: что МП-канал съедает на 1 шт</w:t>
      </w:r>
    </w:p>
    <w:p>
      <w:pPr>
        <w:spacing w:after="80" w:before="80"/>
      </w:pPr>
      <w:r>
        <w:t xml:space="preserve">Цифры из факта inSales/Ozon (без себестоимости товара). При среднем чеке на МП 620 ₽: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640"/>
        <w:gridCol w:w="2640"/>
      </w:tblGrid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Расход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₽/шт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% от чека 620 ₽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Комиссия маркетплейса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216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34,9%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Логистика МП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100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16,2%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Эквайринг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14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2,3%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Маркетинг + штрафы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8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1,3%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ИТОГО МП забрал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338</w:t>
            </w:r>
          </w:p>
        </w:tc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54,5%</w:t>
            </w:r>
          </w:p>
        </w:tc>
      </w:tr>
    </w:tbl>
    <w:p>
      <w:pPr>
        <w:spacing w:after="80" w:before="80"/>
      </w:pPr>
      <w:r>
        <w:rPr>
          <w:i/>
          <w:iCs/>
        </w:rPr>
        <w:t xml:space="preserve">Это бенчмарк. Всё, что D2C даст дешевле 338 ₽/шт overhead, — выигрыш.</w:t>
      </w:r>
    </w:p>
    <w:p>
      <w:pPr>
        <w:pStyle w:val="Heading1"/>
        <w:spacing w:after="140" w:before="280"/>
      </w:pPr>
      <w:r>
        <w:t xml:space="preserve">СДЭК-фулфилмент: расчёт на 1 шт</w:t>
      </w:r>
    </w:p>
    <w:p>
      <w:pPr>
        <w:spacing w:after="80" w:before="80"/>
      </w:pPr>
      <w:r>
        <w:t xml:space="preserve">Чек D2C принимаю 590 ₽ (как в старой финмодели). К фулфилменту и last-mile добавляю эквайринг 2,3% и маркетинг 12% от выручки.</w:t>
      </w:r>
    </w:p>
    <w:p>
      <w:pPr>
        <w:pStyle w:val="Heading2"/>
        <w:spacing w:after="120" w:before="220"/>
      </w:pPr>
      <w:r>
        <w:t xml:space="preserve">Чай — зависит от корзины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700"/>
        <w:gridCol w:w="2080"/>
        <w:gridCol w:w="24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Корзина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Фулф + last-mile, ₽/шт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+ паллета, ₽/шт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Overhead на 1 шт, 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vs МП (177 ₽ прибыль)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1 шт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335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25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445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C00000"/>
              </w:rPr>
              <w:t xml:space="preserve">−124 ₽ (хуже)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2 шт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177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25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252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00703C"/>
              </w:rPr>
              <w:t xml:space="preserve">+49 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3 шт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127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25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190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00703C"/>
              </w:rPr>
              <w:t xml:space="preserve">+111 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4 шт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103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25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160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00703C"/>
              </w:rPr>
              <w:t xml:space="preserve">+141 ₽</w:t>
            </w:r>
          </w:p>
        </w:tc>
      </w:tr>
    </w:tbl>
    <w:p>
      <w:pPr>
        <w:pStyle w:val="Heading2"/>
        <w:spacing w:after="120" w:before="220"/>
      </w:pPr>
      <w:r>
        <w:t xml:space="preserve">Грунт 5 кг (розница 700 ₽, реклама 84 ₽)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Корзина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Overhead на 1 шт, 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Прибыль/шт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1 шт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1 110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C00000"/>
              </w:rPr>
              <w:t xml:space="preserve">−510 ₽ (убыток)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2 шт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770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C00000"/>
              </w:rPr>
              <w:t xml:space="preserve">−170 ₽ (убыток)</w:t>
            </w:r>
          </w:p>
        </w:tc>
      </w:tr>
    </w:tbl>
    <w:p>
      <w:pPr>
        <w:pStyle w:val="Heading2"/>
        <w:spacing w:after="120" w:before="220"/>
      </w:pPr>
      <w:r>
        <w:t xml:space="preserve">Модули (розница 5 000 ₽, реклама 600 ₽)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Корзина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Overhead на 1 шт, ₽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Маржа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1 шт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2 035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00703C"/>
              </w:rPr>
              <w:t xml:space="preserve">1 965 ₽ (39%)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2 шт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1 925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  <w:color w:val="00703C"/>
              </w:rPr>
              <w:t xml:space="preserve">2 075 ₽ (41,5%)</w:t>
            </w:r>
          </w:p>
        </w:tc>
      </w:tr>
    </w:tbl>
    <w:p>
      <w:pPr>
        <w:spacing w:after="80" w:before="80"/>
      </w:pPr>
      <w:r>
        <w:rPr>
          <w:i/>
          <w:iCs/>
          <w:color w:val="595959"/>
        </w:rPr>
        <w:t xml:space="preserve">По модулям факта МП в исходных файлах нет — сравнение «в абсолюте по марже».</w:t>
      </w:r>
    </w:p>
    <w:p>
      <w:pPr>
        <w:pStyle w:val="Heading1"/>
        <w:spacing w:after="140" w:before="280"/>
      </w:pPr>
      <w:r>
        <w:t xml:space="preserve">Стоит ли овчинка выделки</w:t>
      </w:r>
    </w:p>
    <w:p>
      <w:pPr>
        <w:spacing w:after="80" w:before="80"/>
      </w:pPr>
      <w:r>
        <w:rPr>
          <w:b/>
          <w:bCs/>
        </w:rPr>
        <w:t xml:space="preserve">Кратко: только при двух условиях одновременно — Модули + средний чек ≥ 2 шт.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360"/>
        <w:gridCol w:w="1920"/>
      </w:tblGrid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b/>
                <w:bCs/>
              </w:rPr>
              <w:t xml:space="preserve">Категория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Через СДЭК-фф vs МП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rPr>
                <w:b/>
                <w:bCs/>
              </w:rPr>
              <w:t xml:space="preserve">Вердикт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Чай по 1 шт (текущий чек МП)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хуже МП на ~125 ₽/шт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C00000"/>
              </w:rPr>
              <w:t xml:space="preserve">НЕТ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Чай от 2 шт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лучше МП на 50–140 ₽/шт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703C"/>
              </w:rPr>
              <w:t xml:space="preserve">ДА*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Грунт 5 кг по 1–2 шт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глубокий минус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C00000"/>
              </w:rPr>
              <w:t xml:space="preserve">НЕТ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t xml:space="preserve">Модули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right"/>
            </w:pPr>
            <w:r>
              <w:t xml:space="preserve">стабильно +40% маржа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b/>
                <w:bCs/>
                <w:color w:val="00703C"/>
              </w:rPr>
              <w:t xml:space="preserve">ДА</w:t>
            </w:r>
          </w:p>
        </w:tc>
      </w:tr>
    </w:tbl>
    <w:p>
      <w:pPr>
        <w:spacing w:after="80" w:before="80"/>
      </w:pPr>
      <w:r>
        <w:rPr>
          <w:i/>
          <w:iCs/>
          <w:color w:val="595959"/>
        </w:rPr>
        <w:t xml:space="preserve">* «ДА» по Чаю от 2 шт работает только если поднять AOV. На текущем чеке МП = 1 единица перенос «как есть» проигрывает.</w:t>
      </w:r>
    </w:p>
    <w:p>
      <w:pPr>
        <w:pStyle w:val="Heading1"/>
        <w:spacing w:after="140" w:before="280"/>
      </w:pPr>
      <w:r>
        <w:t xml:space="preserve">Главный риск перехода на 3PL</w:t>
      </w:r>
    </w:p>
    <w:p>
      <w:pPr>
        <w:spacing w:after="80" w:before="80"/>
      </w:pPr>
      <w:r>
        <w:t xml:space="preserve">Текущий средний чек на МП = 1 единица (620 ₽). Если перенести его как есть на сайт через СДЭК-фулф — D2C по Чаю проиграет МП (53 vs 177 ₽/шт прибыли). Старая финмодель этого не показывала, потому что закладывала 120 ₽ на доставку вместо реальных 335.</w:t>
      </w:r>
    </w:p>
    <w:p>
      <w:pPr>
        <w:spacing w:after="80" w:before="80"/>
      </w:pPr>
      <w:r>
        <w:rPr>
          <w:b/>
          <w:bCs/>
        </w:rPr>
        <w:t xml:space="preserve">Чтобы 3PL окупился — обязательно поднимать AOV до ≥2 единиц чая (1 200 ₽) или комплектовать чай + грунт + модуль. Без этого СДЭК-фулф сожрёт всю выгоду D2C.</w:t>
      </w:r>
    </w:p>
    <w:p>
      <w:pPr>
        <w:pStyle w:val="Heading1"/>
        <w:spacing w:after="140" w:before="280"/>
      </w:pPr>
      <w:r>
        <w:t xml:space="preserve">Что делать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Не подключать СДЭК-фулф под Чай в одиночку. Самоотправка 5Post / Почтой из Карелии (99–150 ₽) даёт прибыль 230 ₽/шт — что и требовалось по старой финмодели.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Запустить СДЭК-фулф только под Модули, где он сразу даёт 39–41% маржу. Это пилот.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На сайте поставить порог бесплатной доставки 1 500 ₽, чтобы корзина была минимум 2–3 шт чая или 1 модуль + добавки. Только в этой зоне 3PL выигрывает.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Грунт 5 кг как самостоятельный SKU на D2C — оставить на МП или продавать только в комплекте с модулем, где overhead растворяется в чеке 5–8 тыс. ₽.</w:t>
      </w:r>
    </w:p>
    <w:p>
      <w:pPr>
        <w:pStyle w:val="Heading1"/>
        <w:spacing w:after="140" w:before="280"/>
      </w:pPr>
      <w:r>
        <w:t xml:space="preserve">Итог</w:t>
      </w:r>
    </w:p>
    <w:p>
      <w:pPr>
        <w:spacing w:after="80" w:before="80"/>
      </w:pPr>
      <w:r>
        <w:rPr>
          <w:b/>
          <w:bCs/>
        </w:rPr>
        <w:t xml:space="preserve">Овчинка выделки стоит — избирательно, не «весь ассортимент через СДЭК».</w:t>
      </w:r>
    </w:p>
    <w:p>
      <w:pPr>
        <w:spacing w:after="80" w:before="80"/>
      </w:pPr>
      <w:r>
        <w:t xml:space="preserve">Если поставить вопрос «полностью заменить МП-логистику на этот 3PL» — нет, не стоит: потери на Чае и Грунте съедят выигрыш на Модулях. Если же подключать СДЭК-фулф только под Модули и крупные корзины — окупится сразу и значительно (+40% маржа против МП).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МП vs СДЭК-фулфилмент</dc:title>
  <dc:creator>Павел Гладышев</dc:creator>
  <cp:lastModifiedBy>Un-named</cp:lastModifiedBy>
  <cp:revision>1</cp:revision>
  <dcterms:created xsi:type="dcterms:W3CDTF">2026-05-12T21:33:19.473Z</dcterms:created>
  <dcterms:modified xsi:type="dcterms:W3CDTF">2026-05-12T21:33:19.474Z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