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Kant’s</w:t>
      </w:r>
      <w:r>
        <w:t xml:space="preserve"> </w:t>
      </w:r>
      <w:r>
        <w:t xml:space="preserve">Idea</w:t>
      </w:r>
      <w:r>
        <w:t xml:space="preserve"> </w:t>
      </w:r>
      <w:r>
        <w:t xml:space="preserve">for</w:t>
      </w:r>
      <w:r>
        <w:t xml:space="preserve"> </w:t>
      </w:r>
      <w:r>
        <w:t xml:space="preserve">a</w:t>
      </w:r>
      <w:r>
        <w:t xml:space="preserve"> </w:t>
      </w:r>
      <w:r>
        <w:t xml:space="preserve">Universal</w:t>
      </w:r>
      <w:r>
        <w:t xml:space="preserve"> </w:t>
      </w:r>
      <w:r>
        <w:t xml:space="preserve">History</w:t>
      </w:r>
      <w:r>
        <w:t xml:space="preserve"> </w:t>
      </w:r>
      <w:r>
        <w:t xml:space="preserve">with</w:t>
      </w:r>
      <w:r>
        <w:t xml:space="preserve"> </w:t>
      </w:r>
      <w:r>
        <w:t xml:space="preserve">a</w:t>
      </w:r>
      <w:r>
        <w:t xml:space="preserve"> </w:t>
      </w:r>
      <w:r>
        <w:t xml:space="preserve">Cosmopolitan</w:t>
      </w:r>
      <w:r>
        <w:t xml:space="preserve"> </w:t>
      </w:r>
      <w:r>
        <w:t xml:space="preserve">Purpose</w:t>
      </w:r>
      <w:r>
        <w:t xml:space="preserve"> </w:t>
      </w:r>
      <w:r>
        <w:t xml:space="preserve">(1784):</w:t>
      </w:r>
      <w:r>
        <w:t xml:space="preserve"> </w:t>
      </w:r>
      <w:r>
        <w:t xml:space="preserve">Reception</w:t>
      </w:r>
      <w:r>
        <w:t xml:space="preserve"> </w:t>
      </w:r>
      <w:r>
        <w:t xml:space="preserve">and</w:t>
      </w:r>
      <w:r>
        <w:t xml:space="preserve"> </w:t>
      </w:r>
      <w:r>
        <w:t xml:space="preserve">Contemporary</w:t>
      </w:r>
      <w:r>
        <w:t xml:space="preserve"> </w:t>
      </w:r>
      <w:r>
        <w:t xml:space="preserve">Debates</w:t>
      </w:r>
    </w:p>
    <w:p>
      <w:pPr>
        <w:pStyle w:val="Date"/>
      </w:pPr>
      <w:r>
        <w:t xml:space="preserve">2026-10-09</w:t>
      </w:r>
    </w:p>
    <w:bookmarkStart w:id="20" w:name="introduction"/>
    <w:p>
      <w:pPr>
        <w:pStyle w:val="Heading2"/>
      </w:pPr>
      <w:r>
        <w:t xml:space="preserve">Introduction</w:t>
      </w:r>
    </w:p>
    <w:p>
      <w:pPr>
        <w:pStyle w:val="FirstParagraph"/>
      </w:pPr>
      <w:r>
        <w:t xml:space="preserve">Kant’s</w:t>
      </w:r>
      <w:r>
        <w:t xml:space="preserve"> </w:t>
      </w:r>
      <w:r>
        <w:t xml:space="preserve">“</w:t>
      </w:r>
      <w:r>
        <w:t xml:space="preserve">Idea for a Universal History with a Cosmopolitan Aim</w:t>
      </w:r>
      <w:r>
        <w:t xml:space="preserve">”</w:t>
      </w:r>
      <w:r>
        <w:t xml:space="preserve"> </w:t>
      </w:r>
      <w:r>
        <w:t xml:space="preserve">is a short text. It appeared in the</w:t>
      </w:r>
      <w:r>
        <w:t xml:space="preserve"> </w:t>
      </w:r>
      <w:r>
        <w:rPr>
          <w:iCs/>
          <w:i/>
        </w:rPr>
        <w:t xml:space="preserve">Berlinische Monatsschrift</w:t>
      </w:r>
      <w:r>
        <w:t xml:space="preserve"> </w:t>
      </w:r>
      <w:r>
        <w:t xml:space="preserve">in late 1784, the same year as</w:t>
      </w:r>
      <w:r>
        <w:t xml:space="preserve"> </w:t>
      </w:r>
      <w:r>
        <w:t xml:space="preserve">“</w:t>
      </w:r>
      <w:r>
        <w:t xml:space="preserve">What is Enlightenment?</w:t>
      </w:r>
      <w:r>
        <w:t xml:space="preserve">”</w:t>
      </w:r>
      <w:r>
        <w:t xml:space="preserve">. According to the translator’s introduction to the Cambridge Edition, Kant wrote it to make good on a passing remark by his colleague Johann Schultz (Kant [1784] 2007). The essay’s central device is an</w:t>
      </w:r>
      <w:r>
        <w:t xml:space="preserve"> </w:t>
      </w:r>
      <w:r>
        <w:t xml:space="preserve">“</w:t>
      </w:r>
      <w:r>
        <w:t xml:space="preserve">Idea</w:t>
      </w:r>
      <w:r>
        <w:t xml:space="preserve">”</w:t>
      </w:r>
      <w:r>
        <w:t xml:space="preserve"> </w:t>
      </w:r>
      <w:r>
        <w:t xml:space="preserve">in the technical sense: a guiding thread (</w:t>
      </w:r>
      <w:r>
        <w:rPr>
          <w:iCs/>
          <w:i/>
        </w:rPr>
        <w:t xml:space="preserve">Leitfaden</w:t>
      </w:r>
      <w:r>
        <w:t xml:space="preserve">) for writing human history according to a plan of nature, with the perfect civil union of the species as its aim. Its nine Propositions run from the development of natural predispositions in the species, through the</w:t>
      </w:r>
      <w:r>
        <w:t xml:space="preserve"> </w:t>
      </w:r>
      <w:r>
        <w:t xml:space="preserve">“</w:t>
      </w:r>
      <w:r>
        <w:t xml:space="preserve">unsocial sociability</w:t>
      </w:r>
      <w:r>
        <w:t xml:space="preserve">”</w:t>
      </w:r>
      <w:r>
        <w:t xml:space="preserve"> </w:t>
      </w:r>
      <w:r>
        <w:t xml:space="preserve">that drives that development, to the claim that a philosophical universal history is possible and furthers nature’s aim. The Cambridge translator describes the Idea as a theoretical one, an a priori programme for maximising the comprehensibility of history. He says it anticipates the use of natural teleology in the third</w:t>
      </w:r>
      <w:r>
        <w:t xml:space="preserve"> </w:t>
      </w:r>
      <w:r>
        <w:rPr>
          <w:iCs/>
          <w:i/>
        </w:rPr>
        <w:t xml:space="preserve">Critique</w:t>
      </w:r>
      <w:r>
        <w:t xml:space="preserve">, yet stands in a</w:t>
      </w:r>
      <w:r>
        <w:t xml:space="preserve"> </w:t>
      </w:r>
      <w:r>
        <w:t xml:space="preserve">“</w:t>
      </w:r>
      <w:r>
        <w:t xml:space="preserve">close and complex relationship</w:t>
      </w:r>
      <w:r>
        <w:t xml:space="preserve">”</w:t>
      </w:r>
      <w:r>
        <w:t xml:space="preserve"> </w:t>
      </w:r>
      <w:r>
        <w:t xml:space="preserve">to Kant’s moral and political philosophy and to his practical faith in providence. He also notes that it contains the first statement of Kant’s federation of states (Kant [1784] 2007). The essay’s claims were soon contested by Herder, which prompted Kant’s reviews of the</w:t>
      </w:r>
      <w:r>
        <w:t xml:space="preserve"> </w:t>
      </w:r>
      <w:r>
        <w:rPr>
          <w:iCs/>
          <w:i/>
        </w:rPr>
        <w:t xml:space="preserve">Ideas</w:t>
      </w:r>
      <w:r>
        <w:t xml:space="preserve"> </w:t>
      </w:r>
      <w:r>
        <w:t xml:space="preserve">(1785) and the</w:t>
      </w:r>
      <w:r>
        <w:t xml:space="preserve"> </w:t>
      </w:r>
      <w:r>
        <w:t xml:space="preserve">“</w:t>
      </w:r>
      <w:r>
        <w:t xml:space="preserve">Conjectural Beginning</w:t>
      </w:r>
      <w:r>
        <w:t xml:space="preserve">”</w:t>
      </w:r>
      <w:r>
        <w:t xml:space="preserve"> </w:t>
      </w:r>
      <w:r>
        <w:t xml:space="preserve">(1786) (Kant [1785] 2007; Kant [1786] 2007).</w:t>
      </w:r>
    </w:p>
    <w:p>
      <w:pPr>
        <w:pStyle w:val="BodyText"/>
      </w:pPr>
      <w:r>
        <w:t xml:space="preserve">This review asks two questions. First, how has the essay been read, from Herder to the present? Second, which interpretive disputes structure current scholarship? The stakes are set by Ameriks (2009), who treats the essay as the text that links the Critical philosophy to history. He asks whether it shows Kant’s philosophy to be</w:t>
      </w:r>
      <w:r>
        <w:t xml:space="preserve"> </w:t>
      </w:r>
      <w:r>
        <w:t xml:space="preserve">“</w:t>
      </w:r>
      <w:r>
        <w:t xml:space="preserve">fundamentally</w:t>
      </w:r>
      <w:r>
        <w:t xml:space="preserve">”</w:t>
      </w:r>
      <w:r>
        <w:t xml:space="preserve"> </w:t>
      </w:r>
      <w:r>
        <w:t xml:space="preserve">historical, and holds that there is no uncontroversial way to settle the question. Whether the essay belongs to the system or is a supplement to it recurs throughout the literature. Allison (2009) answers by tying the Idea to the regulative role of ideas of reason in the first</w:t>
      </w:r>
      <w:r>
        <w:t xml:space="preserve"> </w:t>
      </w:r>
      <w:r>
        <w:rPr>
          <w:iCs/>
          <w:i/>
        </w:rPr>
        <w:t xml:space="preserve">Critique</w:t>
      </w:r>
      <w:r>
        <w:t xml:space="preserve">, so that its philosophical credentials depend on how that role is understood.</w:t>
      </w:r>
    </w:p>
    <w:p>
      <w:pPr>
        <w:pStyle w:val="BodyText"/>
      </w:pPr>
      <w:r>
        <w:t xml:space="preserve">The reception remains active. Rorty and Schmidt (2009a, 2009b) report that their Cambridge Critical Guide arose from renewed interest in narratives of historical progress, the conditions of international justice, and the implications of globalisation. Their introduction frames the essay as an attempt to treat history philosophically. It lists questions that readers still put to the text: whether history can be meaningful, whether it can offer political guidance, how its destructive upheavals are to be understood, and how the rule of law within states relates to a cosmopolitan order. These questions explain why the essay is now read against debates about teleology, moral progress, the cosmopolitan order, and Eurocentrism, which were not the debates of 1784.</w:t>
      </w:r>
    </w:p>
    <w:p>
      <w:pPr>
        <w:pStyle w:val="BodyText"/>
      </w:pPr>
      <w:r>
        <w:t xml:space="preserve">The review is in two parts. Part I follows the reception chronologically but organises it by argument: the quarrel with Herder and other contemporaries; the passage through German Idealism, neo-Kantianism and Cassirer; and twentieth-century reappropriations in conceptual history, the philosophy of judgment, critical theory, and cosmopolitan constitutionalism. Part II takes up the current disputes by position. These concern the status of the Idea (regulative, biological, naturalist, or practical), unsocial sociability and the relation of legal to moral progress, the form of the cosmopolitan aim, and the charge that the progress narrative is racialised. It then considers the essay’s place among Kant’s other historical writings.</w:t>
      </w:r>
    </w:p>
    <w:p>
      <w:pPr>
        <w:pStyle w:val="BodyText"/>
      </w:pPr>
      <w:r>
        <w:t xml:space="preserve">The literature has a gap that shapes the whole review. Much of it concerns Kant’s philosophy of history in general, or later texts such as</w:t>
      </w:r>
      <w:r>
        <w:t xml:space="preserve"> </w:t>
      </w:r>
      <w:r>
        <w:rPr>
          <w:iCs/>
          <w:i/>
        </w:rPr>
        <w:t xml:space="preserve">Perpetual Peace</w:t>
      </w:r>
      <w:r>
        <w:t xml:space="preserve"> </w:t>
      </w:r>
      <w:r>
        <w:t xml:space="preserve">and the</w:t>
      </w:r>
      <w:r>
        <w:t xml:space="preserve"> </w:t>
      </w:r>
      <w:r>
        <w:rPr>
          <w:iCs/>
          <w:i/>
        </w:rPr>
        <w:t xml:space="preserve">Conflict of the Faculties</w:t>
      </w:r>
      <w:r>
        <w:t xml:space="preserve">. Few of the works surveyed here study the reception of this essay itself. The review therefore reconstructs that reception from studies with wider targets, and flags where the literature is thin.</w:t>
      </w:r>
    </w:p>
    <w:bookmarkEnd w:id="20"/>
    <w:bookmarkStart w:id="23" w:name="X0f2d028783763961a475110221af58938ae16aa"/>
    <w:p>
      <w:pPr>
        <w:pStyle w:val="Heading2"/>
      </w:pPr>
      <w:r>
        <w:t xml:space="preserve">Section 1: Contemporaries: Herder and the first quarrel over universal history</w:t>
      </w:r>
    </w:p>
    <w:bookmarkStart w:id="21" w:name="the-herder-dispute-three-readings"/>
    <w:p>
      <w:pPr>
        <w:pStyle w:val="Heading3"/>
      </w:pPr>
      <w:r>
        <w:t xml:space="preserve">1.1 The Herder dispute: three readings</w:t>
      </w:r>
    </w:p>
    <w:p>
      <w:pPr>
        <w:pStyle w:val="FirstParagraph"/>
      </w:pPr>
      <w:r>
        <w:t xml:space="preserve">The earliest sustained response to the project of the 1784 essay came from Kant’s former student. According to the Cambridge translator’s introduction, Herder had been Kant’s student in Königsberg between 1762 and 1765 and had become a critic of the Enlightenment in the 1770s. He published the first volume of the</w:t>
      </w:r>
      <w:r>
        <w:t xml:space="preserve"> </w:t>
      </w:r>
      <w:r>
        <w:rPr>
          <w:iCs/>
          <w:i/>
        </w:rPr>
        <w:t xml:space="preserve">Ideas for the Philosophy of the History of Humanity</w:t>
      </w:r>
      <w:r>
        <w:t xml:space="preserve"> </w:t>
      </w:r>
      <w:r>
        <w:t xml:space="preserve">in 1784, and Kant reviewed the first two volumes in 1785 (Kant [1785] 2007). The review does not mainly defend the</w:t>
      </w:r>
      <w:r>
        <w:t xml:space="preserve"> </w:t>
      </w:r>
      <w:r>
        <w:rPr>
          <w:iCs/>
          <w:i/>
        </w:rPr>
        <w:t xml:space="preserve">Leitfaden</w:t>
      </w:r>
      <w:r>
        <w:t xml:space="preserve"> </w:t>
      </w:r>
      <w:r>
        <w:t xml:space="preserve">of the</w:t>
      </w:r>
      <w:r>
        <w:t xml:space="preserve"> </w:t>
      </w:r>
      <w:r>
        <w:rPr>
          <w:iCs/>
          <w:i/>
        </w:rPr>
        <w:t xml:space="preserve">Idea</w:t>
      </w:r>
      <w:r>
        <w:t xml:space="preserve">. The translator reports that Kant’s chief objections concern Herder’s derivation of human characteristics from upright posture, and his use of analogies of nature to argue for the soul’s immortality. Kant is described as regarding Herder’s ideas as lacking rigour and as letting</w:t>
      </w:r>
      <w:r>
        <w:t xml:space="preserve"> </w:t>
      </w:r>
      <w:r>
        <w:t xml:space="preserve">“</w:t>
      </w:r>
      <w:r>
        <w:t xml:space="preserve">poetic imaginings</w:t>
      </w:r>
      <w:r>
        <w:t xml:space="preserve">”</w:t>
      </w:r>
      <w:r>
        <w:t xml:space="preserve"> </w:t>
      </w:r>
      <w:r>
        <w:t xml:space="preserve">stand in for clear thinking. The second review turns to Herder’s reading of Genesis and to his view of reason as the source of the Fall (Kant [1785] 2007). Kant’s 1786</w:t>
      </w:r>
      <w:r>
        <w:t xml:space="preserve"> </w:t>
      </w:r>
      <w:r>
        <w:t xml:space="preserve">“</w:t>
      </w:r>
      <w:r>
        <w:t xml:space="preserve">Conjectural Beginning</w:t>
      </w:r>
      <w:r>
        <w:t xml:space="preserve">”</w:t>
      </w:r>
      <w:r>
        <w:t xml:space="preserve"> </w:t>
      </w:r>
      <w:r>
        <w:t xml:space="preserve">is a further reply on the same ground, offering a Genesis-based origin narrative on Kant’s own terms (Kant [1786] 2007). Wood (1999) opens his account of Kant’s</w:t>
      </w:r>
      <w:r>
        <w:t xml:space="preserve"> </w:t>
      </w:r>
      <w:r>
        <w:t xml:space="preserve">“</w:t>
      </w:r>
      <w:r>
        <w:t xml:space="preserve">history of human nature</w:t>
      </w:r>
      <w:r>
        <w:t xml:space="preserve">”</w:t>
      </w:r>
      <w:r>
        <w:t xml:space="preserve"> </w:t>
      </w:r>
      <w:r>
        <w:t xml:space="preserve">with the Herder contrast and links Kant’s turn to history to the articulation of his moral philosophy. The quarrel is therefore one in which both sides were already working out their positions.</w:t>
      </w:r>
    </w:p>
    <w:p>
      <w:pPr>
        <w:pStyle w:val="BodyText"/>
      </w:pPr>
      <w:r>
        <w:t xml:space="preserve">The secondary literature can be organised by the axis on which it locates the disagreement. The standard frame is historicist. Beiser (2011) presents German historicism as the tradition holding that history is the key to all human values, beliefs and actions, and Herder stands near its origin. Read in this frame, Herder objects to Kant’s Idea as an external, rationalist imposition on history. The revisionist works below do not deny the disagreement but relocate it, and each can be placed on one of three axes.</w:t>
      </w:r>
    </w:p>
    <w:p>
      <w:pPr>
        <w:pStyle w:val="BodyText"/>
      </w:pPr>
      <w:r>
        <w:rPr>
          <w:iCs/>
          <w:i/>
        </w:rPr>
        <w:t xml:space="preserve">Method.</w:t>
      </w:r>
      <w:r>
        <w:t xml:space="preserve"> </w:t>
      </w:r>
      <w:r>
        <w:t xml:space="preserve">The first axis is Kant’s charge that Herder substitutes imagination and analogy for rigour. Reichl (2021) analyses the review in terms of analogical inference and indirect cognition. Nisbet (2021) places Goethe, Herder and Kant in a shared debate about natural and human history, which suggests that the disagreement concerns how far natural history can be extended into human history. McNulty (2022) adds a complication. Kant dismisses the</w:t>
      </w:r>
      <w:r>
        <w:t xml:space="preserve"> </w:t>
      </w:r>
      <w:r>
        <w:t xml:space="preserve">“</w:t>
      </w:r>
      <w:r>
        <w:t xml:space="preserve">daring adventures of reason</w:t>
      </w:r>
      <w:r>
        <w:t xml:space="preserve">”</w:t>
      </w:r>
      <w:r>
        <w:t xml:space="preserve"> </w:t>
      </w:r>
      <w:r>
        <w:t xml:space="preserve">of Buffon and Herder, yet his own race essays rely on teleological speculation about nature’s purposes to unify species. On McNulty’s account, Kant’s position threads a needle between mechanical accounts and</w:t>
      </w:r>
      <w:r>
        <w:t xml:space="preserve"> </w:t>
      </w:r>
      <w:r>
        <w:t xml:space="preserve">“</w:t>
      </w:r>
      <w:r>
        <w:t xml:space="preserve">freewheeling, conjectural narratives</w:t>
      </w:r>
      <w:r>
        <w:t xml:space="preserve">”</w:t>
      </w:r>
      <w:r>
        <w:t xml:space="preserve">. The methodological charge thus has to be reconciled with Kant’s own practice, and the question of how legitimate the teleology of the</w:t>
      </w:r>
      <w:r>
        <w:t xml:space="preserve"> </w:t>
      </w:r>
      <w:r>
        <w:rPr>
          <w:iCs/>
          <w:i/>
        </w:rPr>
        <w:t xml:space="preserve">Idea</w:t>
      </w:r>
      <w:r>
        <w:t xml:space="preserve"> </w:t>
      </w:r>
      <w:r>
        <w:t xml:space="preserve">is returns in Part II.</w:t>
      </w:r>
    </w:p>
    <w:p>
      <w:pPr>
        <w:pStyle w:val="BodyText"/>
      </w:pPr>
      <w:r>
        <w:rPr>
          <w:iCs/>
          <w:i/>
        </w:rPr>
        <w:t xml:space="preserve">Happiness and ethics.</w:t>
      </w:r>
      <w:r>
        <w:t xml:space="preserve"> </w:t>
      </w:r>
      <w:r>
        <w:t xml:space="preserve">The second axis is ethical. Sikka (2007) takes up the passage of the</w:t>
      </w:r>
      <w:r>
        <w:t xml:space="preserve"> </w:t>
      </w:r>
      <w:r>
        <w:rPr>
          <w:iCs/>
          <w:i/>
        </w:rPr>
        <w:t xml:space="preserve">Ideas</w:t>
      </w:r>
      <w:r>
        <w:t xml:space="preserve"> </w:t>
      </w:r>
      <w:r>
        <w:t xml:space="preserve">on which Kant’s second review concentrates, where happiness is</w:t>
      </w:r>
      <w:r>
        <w:t xml:space="preserve"> </w:t>
      </w:r>
      <w:r>
        <w:t xml:space="preserve">“</w:t>
      </w:r>
      <w:r>
        <w:t xml:space="preserve">everywhere an individual good</w:t>
      </w:r>
      <w:r>
        <w:t xml:space="preserve">”</w:t>
      </w:r>
      <w:r>
        <w:t xml:space="preserve">, climatic and organic, and a</w:t>
      </w:r>
      <w:r>
        <w:t xml:space="preserve"> </w:t>
      </w:r>
      <w:r>
        <w:t xml:space="preserve">“</w:t>
      </w:r>
      <w:r>
        <w:t xml:space="preserve">child of practice, tradition, and custom</w:t>
      </w:r>
      <w:r>
        <w:t xml:space="preserve">”</w:t>
      </w:r>
      <w:r>
        <w:t xml:space="preserve">. She presents Herder’s valuation of happiness and its diversity as a considered rival to Kant’s subordination of happiness to morality and to the species’ vocation (</w:t>
      </w:r>
      <w:r>
        <w:rPr>
          <w:iCs/>
          <w:i/>
        </w:rPr>
        <w:t xml:space="preserve">Bestimmung</w:t>
      </w:r>
      <w:r>
        <w:t xml:space="preserve">), which is the problem posed by the Second and Third Propositions of the</w:t>
      </w:r>
      <w:r>
        <w:t xml:space="preserve"> </w:t>
      </w:r>
      <w:r>
        <w:rPr>
          <w:iCs/>
          <w:i/>
        </w:rPr>
        <w:t xml:space="preserve">Idea</w:t>
      </w:r>
      <w:r>
        <w:t xml:space="preserve">. In her book on Herder, Sikka (2011) develops this into</w:t>
      </w:r>
      <w:r>
        <w:t xml:space="preserve"> </w:t>
      </w:r>
      <w:r>
        <w:t xml:space="preserve">“</w:t>
      </w:r>
      <w:r>
        <w:t xml:space="preserve">a qualified relativist</w:t>
      </w:r>
      <w:r>
        <w:t xml:space="preserve">”</w:t>
      </w:r>
      <w:r>
        <w:t xml:space="preserve"> </w:t>
      </w:r>
      <w:r>
        <w:t xml:space="preserve">position that pairs a common human nature with the shaping force of culture, and that includes the thesis that no single best society can be constructed. Her Herder is neither a simple relativist nor an opponent of development, and this undermines the opposition between historicism and universalism. See also Ameriks (2012) on the reviews as</w:t>
      </w:r>
      <w:r>
        <w:t xml:space="preserve"> </w:t>
      </w:r>
      <w:r>
        <w:t xml:space="preserve">“</w:t>
      </w:r>
      <w:r>
        <w:t xml:space="preserve">fateful</w:t>
      </w:r>
      <w:r>
        <w:t xml:space="preserve">”</w:t>
      </w:r>
      <w:r>
        <w:t xml:space="preserve"> </w:t>
      </w:r>
      <w:r>
        <w:t xml:space="preserve">for Kant and for later German philosophy.</w:t>
      </w:r>
    </w:p>
    <w:p>
      <w:pPr>
        <w:pStyle w:val="BodyText"/>
      </w:pPr>
      <w:r>
        <w:rPr>
          <w:iCs/>
          <w:i/>
        </w:rPr>
        <w:t xml:space="preserve">Politics.</w:t>
      </w:r>
      <w:r>
        <w:t xml:space="preserve"> </w:t>
      </w:r>
      <w:r>
        <w:t xml:space="preserve">The third axis is political. Piirimäe (2023) reconstructs Herder’s engagement with Rousseau, Montesquieu, Abbt, Ferguson, Möser and Kant on patriotism, commerce and peace, and presents him as a critic of colonialism and imperialism who envisaged Europe as a commercially and culturally connected community of peoples. This contests the image of Herder as a cultural nationalist set against Kantian cosmopolitanism. It also makes the quarrel one over the shape of a cosmopolitan order, which links it to the federation of the Seventh Proposition.</w:t>
      </w:r>
    </w:p>
    <w:p>
      <w:pPr>
        <w:pStyle w:val="BodyText"/>
      </w:pPr>
      <w:r>
        <w:t xml:space="preserve">See also Sakabe (1989) on freedom as a regulative principle in the controversy, and van der Zande’s (2004) review of Zammito’s monograph on Kant, Herder and the birth of anthropology. These three axes return in Part II as the debates over teleology, over history and morality, and over Eurocentrism.</w:t>
      </w:r>
    </w:p>
    <w:bookmarkEnd w:id="21"/>
    <w:bookmarkStart w:id="22" w:name="other-contemporaries"/>
    <w:p>
      <w:pPr>
        <w:pStyle w:val="Heading3"/>
      </w:pPr>
      <w:r>
        <w:t xml:space="preserve">1.2 Other contemporaries</w:t>
      </w:r>
    </w:p>
    <w:p>
      <w:pPr>
        <w:pStyle w:val="FirstParagraph"/>
      </w:pPr>
      <w:r>
        <w:t xml:space="preserve">Herder was not the only early interlocutor. Kleingeld (1999) distinguishes six varieties of cosmopolitanism in late eighteenth-century Germany, which provides a context for what</w:t>
      </w:r>
      <w:r>
        <w:t xml:space="preserve"> </w:t>
      </w:r>
      <w:r>
        <w:t xml:space="preserve">“</w:t>
      </w:r>
      <w:r>
        <w:t xml:space="preserve">cosmopolitan</w:t>
      </w:r>
      <w:r>
        <w:t xml:space="preserve">”</w:t>
      </w:r>
      <w:r>
        <w:t xml:space="preserve"> </w:t>
      </w:r>
      <w:r>
        <w:t xml:space="preserve">meant in the 1784 title. Her book (Kleingeld 2011) sets Kant against Cloots, Forster, Hegewisch, Wieland and Novalis. She argues that Kant’s cosmopolitanism changed radically in the mid-1790s, so that the early statement of 1784 is not the same position as his later one. Forster’s 1786 critique of Kant’s race theory is the setting of Mensch’s (2025) account, which turns to Kant’s</w:t>
      </w:r>
      <w:r>
        <w:t xml:space="preserve"> </w:t>
      </w:r>
      <w:r>
        <w:rPr>
          <w:iCs/>
          <w:i/>
        </w:rPr>
        <w:t xml:space="preserve">Physical Geography</w:t>
      </w:r>
      <w:r>
        <w:t xml:space="preserve"> </w:t>
      </w:r>
      <w:r>
        <w:t xml:space="preserve">lectures and finds Kant asking questions similar to Forster’s. Here the disputes over human unity and diversity, which Part II takes up under race and Eurocentrism, appear in the first years of reception. Schiller’s 1789 Jena lecture on universal history is a further contemporary reworking. Martinson (1988) reads it as showing the</w:t>
      </w:r>
      <w:r>
        <w:t xml:space="preserve"> </w:t>
      </w:r>
      <w:r>
        <w:t xml:space="preserve">“</w:t>
      </w:r>
      <w:r>
        <w:t xml:space="preserve">complex, open-ended nature</w:t>
      </w:r>
      <w:r>
        <w:t xml:space="preserve">”</w:t>
      </w:r>
      <w:r>
        <w:t xml:space="preserve"> </w:t>
      </w:r>
      <w:r>
        <w:t xml:space="preserve">of eighteenth-century conceptions of history, in contrast to Kant’s, Herder’s and the Göttingen historians’.</w:t>
      </w:r>
    </w:p>
    <w:p>
      <w:pPr>
        <w:pStyle w:val="BodyText"/>
      </w:pPr>
      <w:r>
        <w:t xml:space="preserve">The first reception thus already contains, in outline, the objections later raised by historicists, eudaimonists and anti-imperialists. The literature on Herder is rich; by contrast, the essay’s relation to the wider Göttingen historiography and to Kant’s other early reviewers remains little studied.</w:t>
      </w:r>
    </w:p>
    <w:bookmarkEnd w:id="22"/>
    <w:bookmarkEnd w:id="23"/>
    <w:bookmarkStart w:id="26" w:name="Xec1e78606b82c1580c087b88159dd4e302f72f4"/>
    <w:p>
      <w:pPr>
        <w:pStyle w:val="Heading2"/>
      </w:pPr>
      <w:r>
        <w:t xml:space="preserve">Section 2: From Idealism to neo-Kantianism and Cassirer</w:t>
      </w:r>
    </w:p>
    <w:bookmarkStart w:id="24" w:name="Xe7e4640a82f227a6790c16b5a7f09d49dfb8738"/>
    <w:p>
      <w:pPr>
        <w:pStyle w:val="Heading3"/>
      </w:pPr>
      <w:r>
        <w:t xml:space="preserve">2.1 Fichte, Hegel and the</w:t>
      </w:r>
      <w:r>
        <w:t xml:space="preserve"> </w:t>
      </w:r>
      <w:r>
        <w:t xml:space="preserve">“</w:t>
      </w:r>
      <w:r>
        <w:t xml:space="preserve">Kant-to-Hegel</w:t>
      </w:r>
      <w:r>
        <w:t xml:space="preserve">”</w:t>
      </w:r>
      <w:r>
        <w:t xml:space="preserve"> </w:t>
      </w:r>
      <w:r>
        <w:t xml:space="preserve">narrative</w:t>
      </w:r>
    </w:p>
    <w:p>
      <w:pPr>
        <w:pStyle w:val="FirstParagraph"/>
      </w:pPr>
      <w:r>
        <w:t xml:space="preserve">The standard story of the post-Kantian reception treats the</w:t>
      </w:r>
      <w:r>
        <w:t xml:space="preserve"> </w:t>
      </w:r>
      <w:r>
        <w:rPr>
          <w:iCs/>
          <w:i/>
        </w:rPr>
        <w:t xml:space="preserve">Idea</w:t>
      </w:r>
      <w:r>
        <w:t xml:space="preserve"> </w:t>
      </w:r>
      <w:r>
        <w:t xml:space="preserve">as a first step toward Hegel’s philosophy of history. The literature surveyed here contains no dedicated study of how Hegel’s</w:t>
      </w:r>
      <w:r>
        <w:t xml:space="preserve"> </w:t>
      </w:r>
      <w:r>
        <w:rPr>
          <w:iCs/>
          <w:i/>
        </w:rPr>
        <w:t xml:space="preserve">Lectures on the Philosophy of History</w:t>
      </w:r>
      <w:r>
        <w:t xml:space="preserve"> </w:t>
      </w:r>
      <w:r>
        <w:t xml:space="preserve">or Marx received the 1784 essay, so this story can only be assessed through comparative work. On the Fichte link, see Picardi (2013) on the</w:t>
      </w:r>
      <w:r>
        <w:t xml:space="preserve"> </w:t>
      </w:r>
      <w:r>
        <w:t xml:space="preserve">“</w:t>
      </w:r>
      <w:r>
        <w:t xml:space="preserve">guiding thread</w:t>
      </w:r>
      <w:r>
        <w:t xml:space="preserve">”</w:t>
      </w:r>
      <w:r>
        <w:t xml:space="preserve"> </w:t>
      </w:r>
      <w:r>
        <w:t xml:space="preserve">of universal history from Kant to Fichte. The Hegel material divides into two positions.</w:t>
      </w:r>
    </w:p>
    <w:p>
      <w:pPr>
        <w:pStyle w:val="BodyText"/>
      </w:pPr>
      <w:r>
        <w:t xml:space="preserve">The first holds that Kant’s position is unstable and that Hegel’s resolves the instability. Rauscher (2002) finds an ambiguity in Kant’s theory of history. Kant wants to separate empirical history from reason’s a priori regulative role, yet his view of the sciences and of reason precludes the separation. Rauscher traces the problem to the different roles Kant assigns to understanding and reason in experience. In Hegel’s theory both together constitute history, which Rauscher takes to make Hegel’s the more consistent idealist theory and to explain in part the movement from Kantian to Hegelian thought. The argument turns the regulative reading of the Idea against itself, a challenge that returns in Part II.</w:t>
      </w:r>
    </w:p>
    <w:p>
      <w:pPr>
        <w:pStyle w:val="BodyText"/>
      </w:pPr>
      <w:r>
        <w:t xml:space="preserve">The second position resists the picture of continuity. Pinkard (2009) acknowledges that many themes of German Idealist philosophy of history first appear in Kant’s essay, so that it is tempting to see Kant as foreshadowing Hegel. Following Kleingeld, however, he rejects both the claim that Kant offers a historicised conception of reason and the claim that Kant’s assertions can be made only at the cost of inconsistency with the critical philosophy. The decisive difference is that Kant treats a free political and social life as a regulative ideal that we approximate but never fully attain, whereas Hegel holds a free society possible</w:t>
      </w:r>
      <w:r>
        <w:t xml:space="preserve"> </w:t>
      </w:r>
      <w:r>
        <w:t xml:space="preserve">“</w:t>
      </w:r>
      <w:r>
        <w:t xml:space="preserve">in the here and now</w:t>
      </w:r>
      <w:r>
        <w:t xml:space="preserve">”</w:t>
      </w:r>
      <w:r>
        <w:t xml:space="preserve">. Kleingeld’s (2001) own contribution is relevant here. She reads Kant’s preference for</w:t>
      </w:r>
      <w:r>
        <w:t xml:space="preserve"> </w:t>
      </w:r>
      <w:r>
        <w:t xml:space="preserve">“</w:t>
      </w:r>
      <w:r>
        <w:t xml:space="preserve">providence</w:t>
      </w:r>
      <w:r>
        <w:t xml:space="preserve">”</w:t>
      </w:r>
      <w:r>
        <w:t xml:space="preserve"> </w:t>
      </w:r>
      <w:r>
        <w:t xml:space="preserve">over</w:t>
      </w:r>
      <w:r>
        <w:t xml:space="preserve"> </w:t>
      </w:r>
      <w:r>
        <w:t xml:space="preserve">“</w:t>
      </w:r>
      <w:r>
        <w:t xml:space="preserve">nature</w:t>
      </w:r>
      <w:r>
        <w:t xml:space="preserve">”</w:t>
      </w:r>
      <w:r>
        <w:t xml:space="preserve"> </w:t>
      </w:r>
      <w:r>
        <w:t xml:space="preserve">in the</w:t>
      </w:r>
      <w:r>
        <w:t xml:space="preserve"> </w:t>
      </w:r>
      <w:r>
        <w:rPr>
          <w:iCs/>
          <w:i/>
        </w:rPr>
        <w:t xml:space="preserve">Idea</w:t>
      </w:r>
      <w:r>
        <w:t xml:space="preserve"> </w:t>
      </w:r>
      <w:r>
        <w:t xml:space="preserve">as the passage from the theoretical question of order in history to a moral approach grounded in the teleological principle. On this reading Kant’s progress narrative has its own moral rationale rather than being an incomplete Hegelianism. The disagreement between Rauscher and Pinkard therefore concerns whether the regulative status of the Idea is a defect or a deliberate limit.</w:t>
      </w:r>
    </w:p>
    <w:p>
      <w:pPr>
        <w:pStyle w:val="BodyText"/>
      </w:pPr>
      <w:r>
        <w:t xml:space="preserve">Two further items extend the Kantian themes into the Hegelian and Marxian traditions without addressing the 1784 essay’s reception directly. Requejo and Valls (2007) trace the thesis of unsocial sociability into Hegel, arguing that both Kant and Hegel are philosophers of history who offer political ways of overcoming conflict, Kant at the individual level and Hegel at the socio-political one. Ypi (2014) compares Kant and Marx on revolution and on its educative role in showing the possibility of moral progress for the species. Her subject is the enthusiasm passage of the</w:t>
      </w:r>
      <w:r>
        <w:t xml:space="preserve"> </w:t>
      </w:r>
      <w:r>
        <w:rPr>
          <w:iCs/>
          <w:i/>
        </w:rPr>
        <w:t xml:space="preserve">Conflict of the Faculties</w:t>
      </w:r>
      <w:r>
        <w:t xml:space="preserve">, not Marx’s reading of the</w:t>
      </w:r>
      <w:r>
        <w:t xml:space="preserve"> </w:t>
      </w:r>
      <w:r>
        <w:rPr>
          <w:iCs/>
          <w:i/>
        </w:rPr>
        <w:t xml:space="preserve">Idea</w:t>
      </w:r>
      <w:r>
        <w:t xml:space="preserve">.</w:t>
      </w:r>
    </w:p>
    <w:bookmarkEnd w:id="24"/>
    <w:bookmarkStart w:id="25" w:name="X7a3683b45192351b23c9a1aa3c0c725ae6f234e"/>
    <w:p>
      <w:pPr>
        <w:pStyle w:val="Heading3"/>
      </w:pPr>
      <w:r>
        <w:t xml:space="preserve">2.2 Neo-Kantian ethical socialism and Cassirer</w:t>
      </w:r>
    </w:p>
    <w:p>
      <w:pPr>
        <w:pStyle w:val="FirstParagraph"/>
      </w:pPr>
      <w:r>
        <w:t xml:space="preserve">The neo-Kantian reception was concerned less with the</w:t>
      </w:r>
      <w:r>
        <w:t xml:space="preserve"> </w:t>
      </w:r>
      <w:r>
        <w:rPr>
          <w:iCs/>
          <w:i/>
        </w:rPr>
        <w:t xml:space="preserve">Leitfaden</w:t>
      </w:r>
      <w:r>
        <w:t xml:space="preserve"> </w:t>
      </w:r>
      <w:r>
        <w:t xml:space="preserve">than with Kant’s ethics and its social implications. Vorländer’s (1900) article in</w:t>
      </w:r>
      <w:r>
        <w:t xml:space="preserve"> </w:t>
      </w:r>
      <w:r>
        <w:rPr>
          <w:iCs/>
          <w:i/>
        </w:rPr>
        <w:t xml:space="preserve">Kant-Studien</w:t>
      </w:r>
      <w:r>
        <w:t xml:space="preserve"> </w:t>
      </w:r>
      <w:r>
        <w:t xml:space="preserve">is a primary source for this turn. He observes that critical idealism, having entered other disciplines, was now being taken up by the social movement. Neo-Kantians were developing Kant’s doctrine on its socio-scientific and social-ethical side, while a call of</w:t>
      </w:r>
      <w:r>
        <w:t xml:space="preserve"> </w:t>
      </w:r>
      <w:r>
        <w:t xml:space="preserve">“</w:t>
      </w:r>
      <w:r>
        <w:t xml:space="preserve">back to Kant</w:t>
      </w:r>
      <w:r>
        <w:t xml:space="preserve">”</w:t>
      </w:r>
      <w:r>
        <w:t xml:space="preserve"> </w:t>
      </w:r>
      <w:r>
        <w:t xml:space="preserve">came from within party socialism, so that one could almost speak of</w:t>
      </w:r>
      <w:r>
        <w:t xml:space="preserve"> </w:t>
      </w:r>
      <w:r>
        <w:t xml:space="preserve">“</w:t>
      </w:r>
      <w:r>
        <w:t xml:space="preserve">socialist Kantians and Kantian socialists</w:t>
      </w:r>
      <w:r>
        <w:t xml:space="preserve">”</w:t>
      </w:r>
      <w:r>
        <w:t xml:space="preserve">. He asks in what respect socialism may appeal to Kant, and means by socialism an ethical outlook rather than a party. See also Medicus’s (1902) two-part article on Kant’s philosophy of history in</w:t>
      </w:r>
      <w:r>
        <w:t xml:space="preserve"> </w:t>
      </w:r>
      <w:r>
        <w:rPr>
          <w:iCs/>
          <w:i/>
        </w:rPr>
        <w:t xml:space="preserve">Kant-Studien</w:t>
      </w:r>
      <w:r>
        <w:t xml:space="preserve"> </w:t>
      </w:r>
      <w:r>
        <w:t xml:space="preserve">and Krijnen and de Launay’s (2013) survey of the philosophy of history in Kant, neo-Kantianism and present-day Kantianism. No study of Windelband’s or Rickert’s reading of the essay was found.</w:t>
      </w:r>
    </w:p>
    <w:p>
      <w:pPr>
        <w:pStyle w:val="BodyText"/>
      </w:pPr>
      <w:r>
        <w:t xml:space="preserve">Recent scholarship qualifies the picture of a unified Marburg socialism. Widmer (2023) argues that the dispute between Cohen and Stammler is symptomatic of a wider current of left-wing Kant interpretation around 1900. Their Kantian justifications of socialism differ in their conceptions of law, history and political implications. Against scholars who treat the Marburg view as a coherent school, she proposes</w:t>
      </w:r>
      <w:r>
        <w:t xml:space="preserve"> </w:t>
      </w:r>
      <w:r>
        <w:t xml:space="preserve">“</w:t>
      </w:r>
      <w:r>
        <w:t xml:space="preserve">left-Kantianism</w:t>
      </w:r>
      <w:r>
        <w:t xml:space="preserve">”</w:t>
      </w:r>
      <w:r>
        <w:t xml:space="preserve"> </w:t>
      </w:r>
      <w:r>
        <w:t xml:space="preserve">as an open term for a variety of approaches. In a second study (Widmer 2024), she challenges the</w:t>
      </w:r>
      <w:r>
        <w:t xml:space="preserve"> </w:t>
      </w:r>
      <w:r>
        <w:t xml:space="preserve">“</w:t>
      </w:r>
      <w:r>
        <w:t xml:space="preserve">purposive labour reading</w:t>
      </w:r>
      <w:r>
        <w:t xml:space="preserve">”</w:t>
      </w:r>
      <w:r>
        <w:t xml:space="preserve"> </w:t>
      </w:r>
      <w:r>
        <w:t xml:space="preserve">of Cohen’s critique of capitalism, which rests on the demand that humanity be treated as an end. Reconstructing his ethics of cognition, she argues that Cohen aimed at a framework alternative to historical materialism, one that allows social practices to be interpreted in an ethical light. Sieg (2006) asks whether the late Natorp’s political philosophy is utopian detachment or perceptive critique of the present. Natorp’s relation to Kant’s cosmopolitan writings remains to be studied.</w:t>
      </w:r>
    </w:p>
    <w:p>
      <w:pPr>
        <w:pStyle w:val="BodyText"/>
      </w:pPr>
      <w:r>
        <w:t xml:space="preserve">Cassirer closes this strand. Ferrari (2023) argues that in the early 1920s Cassirer never abandoned his neo-Kantian approach, even as he enriched it with Hegel’s</w:t>
      </w:r>
      <w:r>
        <w:t xml:space="preserve"> </w:t>
      </w:r>
      <w:r>
        <w:rPr>
          <w:iCs/>
          <w:i/>
        </w:rPr>
        <w:t xml:space="preserve">Phenomenology</w:t>
      </w:r>
      <w:r>
        <w:t xml:space="preserve"> </w:t>
      </w:r>
      <w:r>
        <w:t xml:space="preserve">in a philosophy of culture. Cassirer insists that Kant’s critical idealism be contrasted with Hegel’s absolute idealism, so that the process of spirit stays open rather than closing in a definitive logical structure. Aramayo (2019) draws a parallel between Cassirer’s political turn under National Socialism and Kant’s under the French Revolution. On this account, Cassirer reclaims Kant and the Enlightenment as a whole to defend a republican constitution and the Weimar Republic, and chooses Leibniz, Rousseau, Kant and Goethe as allies in a history of ideas. Together the two studies place Cassirer between Kant and Hegel: he keeps Kant’s openness against Hegelian closure and uses Kant’s republicanism against the political present. This is a different use of the Kantian philosophy of history from either Hegel’s supersession or the socialist programme.</w:t>
      </w:r>
    </w:p>
    <w:p>
      <w:pPr>
        <w:pStyle w:val="BodyText"/>
      </w:pPr>
      <w:r>
        <w:t xml:space="preserve">Three limits qualify this section. Cassirer’s own writings on Kant and the Enlightenment are reconstructed here only through Ferrari and Aramayo. No study addresses how directly the 1784 essay, as opposed to Kant’s ethics and political writings, figured in the neo-Kantian debates. And the Hegel and Marx material is comparative rather than a reception history. The post-Kantian response to the</w:t>
      </w:r>
      <w:r>
        <w:t xml:space="preserve"> </w:t>
      </w:r>
      <w:r>
        <w:rPr>
          <w:iCs/>
          <w:i/>
        </w:rPr>
        <w:t xml:space="preserve">Idea</w:t>
      </w:r>
      <w:r>
        <w:t xml:space="preserve"> </w:t>
      </w:r>
      <w:r>
        <w:t xml:space="preserve">is thus visible mainly in what it set aside (the regulative limit) and what it kept (unsocial sociability, the moral orientation of progress).</w:t>
      </w:r>
    </w:p>
    <w:bookmarkEnd w:id="25"/>
    <w:bookmarkEnd w:id="26"/>
    <w:bookmarkStart w:id="31" w:name="Xa50282bc027610fef972e668976449615e862d7"/>
    <w:p>
      <w:pPr>
        <w:pStyle w:val="Heading2"/>
      </w:pPr>
      <w:r>
        <w:t xml:space="preserve">Section 3: Twentieth-century reappropriations</w:t>
      </w:r>
    </w:p>
    <w:bookmarkStart w:id="27" w:name="secularisation-and-conceptual-history"/>
    <w:p>
      <w:pPr>
        <w:pStyle w:val="Heading3"/>
      </w:pPr>
      <w:r>
        <w:t xml:space="preserve">3.1 Secularisation and conceptual history</w:t>
      </w:r>
    </w:p>
    <w:p>
      <w:pPr>
        <w:pStyle w:val="FirstParagraph"/>
      </w:pPr>
      <w:r>
        <w:t xml:space="preserve">Twentieth-century readers often treated the</w:t>
      </w:r>
      <w:r>
        <w:t xml:space="preserve"> </w:t>
      </w:r>
      <w:r>
        <w:rPr>
          <w:iCs/>
          <w:i/>
        </w:rPr>
        <w:t xml:space="preserve">Idea</w:t>
      </w:r>
      <w:r>
        <w:t xml:space="preserve"> </w:t>
      </w:r>
      <w:r>
        <w:t xml:space="preserve">as a case within a larger story about modernity. Löwith’s thesis, as Chorell (2021) reports it, is that modern philosophy of history and the idea of progress are secularised Christian eschatology. Chorell’s own concern is Svenungsson’s postsecular response to Löwith rather than Kant (see also Löwith 1983). Lloyd (2009) supplies the Kantian instance. She argues that the</w:t>
      </w:r>
      <w:r>
        <w:t xml:space="preserve"> </w:t>
      </w:r>
      <w:r>
        <w:rPr>
          <w:iCs/>
          <w:i/>
        </w:rPr>
        <w:t xml:space="preserve">Idea</w:t>
      </w:r>
      <w:r>
        <w:t xml:space="preserve">’s treatment of Providence marks a transition in which Providence becomes the secular idea of progress, and she links this to the cosmopolitan aim and to the narrative of human origins. Wittwer (1996) relates a</w:t>
      </w:r>
      <w:r>
        <w:t xml:space="preserve"> </w:t>
      </w:r>
      <w:r>
        <w:t xml:space="preserve">“</w:t>
      </w:r>
      <w:r>
        <w:t xml:space="preserve">transcendental eschatology</w:t>
      </w:r>
      <w:r>
        <w:t xml:space="preserve">”</w:t>
      </w:r>
      <w:r>
        <w:t xml:space="preserve"> </w:t>
      </w:r>
      <w:r>
        <w:t xml:space="preserve">to Kant’s critical view of history. Palti (2018) offers a genealogical rather than normative treatment. He places philosophies of history within Koselleck’s</w:t>
      </w:r>
      <w:r>
        <w:t xml:space="preserve"> </w:t>
      </w:r>
      <w:r>
        <w:rPr>
          <w:iCs/>
          <w:i/>
        </w:rPr>
        <w:t xml:space="preserve">Sattelzeit</w:t>
      </w:r>
      <w:r>
        <w:t xml:space="preserve"> </w:t>
      </w:r>
      <w:r>
        <w:t xml:space="preserve">and Foucault’s</w:t>
      </w:r>
      <w:r>
        <w:t xml:space="preserve"> </w:t>
      </w:r>
      <w:r>
        <w:t xml:space="preserve">“</w:t>
      </w:r>
      <w:r>
        <w:t xml:space="preserve">Age of History,</w:t>
      </w:r>
      <w:r>
        <w:t xml:space="preserve">”</w:t>
      </w:r>
      <w:r>
        <w:t xml:space="preserve"> </w:t>
      </w:r>
      <w:r>
        <w:t xml:space="preserve">and notes that Koselleck cites Herder’s</w:t>
      </w:r>
      <w:r>
        <w:t xml:space="preserve"> </w:t>
      </w:r>
      <w:r>
        <w:rPr>
          <w:iCs/>
          <w:i/>
        </w:rPr>
        <w:t xml:space="preserve">Metakritik</w:t>
      </w:r>
      <w:r>
        <w:t xml:space="preserve"> </w:t>
      </w:r>
      <w:r>
        <w:t xml:space="preserve">of Kant for the plurality of historical times. This returns to the Herder quarrel of Section 1: on this account the dispute concerned the very concept of</w:t>
      </w:r>
      <w:r>
        <w:t xml:space="preserve"> </w:t>
      </w:r>
      <w:r>
        <w:t xml:space="preserve">“</w:t>
      </w:r>
      <w:r>
        <w:t xml:space="preserve">History</w:t>
      </w:r>
      <w:r>
        <w:t xml:space="preserve">”</w:t>
      </w:r>
      <w:r>
        <w:t xml:space="preserve"> </w:t>
      </w:r>
      <w:r>
        <w:t xml:space="preserve">in the singular that the</w:t>
      </w:r>
      <w:r>
        <w:t xml:space="preserve"> </w:t>
      </w:r>
      <w:r>
        <w:rPr>
          <w:iCs/>
          <w:i/>
        </w:rPr>
        <w:t xml:space="preserve">Idea</w:t>
      </w:r>
      <w:r>
        <w:t xml:space="preserve"> </w:t>
      </w:r>
      <w:r>
        <w:t xml:space="preserve">presupposes. See also Koselleck’s (1987)</w:t>
      </w:r>
      <w:r>
        <w:t xml:space="preserve"> </w:t>
      </w:r>
      <w:r>
        <w:rPr>
          <w:iCs/>
          <w:i/>
        </w:rPr>
        <w:t xml:space="preserve">Critique and Crisis</w:t>
      </w:r>
      <w:r>
        <w:t xml:space="preserve">.</w:t>
      </w:r>
    </w:p>
    <w:bookmarkEnd w:id="27"/>
    <w:bookmarkStart w:id="28" w:name="X56cccff24400f96df49553dad89175dc8f0d243"/>
    <w:p>
      <w:pPr>
        <w:pStyle w:val="Heading3"/>
      </w:pPr>
      <w:r>
        <w:t xml:space="preserve">3.2 Judgment, spectatorship and the</w:t>
      </w:r>
      <w:r>
        <w:t xml:space="preserve"> </w:t>
      </w:r>
      <w:r>
        <w:t xml:space="preserve">“</w:t>
      </w:r>
      <w:r>
        <w:t xml:space="preserve">sign of history</w:t>
      </w:r>
      <w:r>
        <w:t xml:space="preserve">”</w:t>
      </w:r>
    </w:p>
    <w:p>
      <w:pPr>
        <w:pStyle w:val="FirstParagraph"/>
      </w:pPr>
      <w:r>
        <w:t xml:space="preserve">A second line of reappropriation moves away from the</w:t>
      </w:r>
      <w:r>
        <w:t xml:space="preserve"> </w:t>
      </w:r>
      <w:r>
        <w:rPr>
          <w:iCs/>
          <w:i/>
        </w:rPr>
        <w:t xml:space="preserve">Leitfaden</w:t>
      </w:r>
      <w:r>
        <w:t xml:space="preserve"> </w:t>
      </w:r>
      <w:r>
        <w:t xml:space="preserve">altogether. Arendt’s lectures on Kant’s political philosophy draw on the third</w:t>
      </w:r>
      <w:r>
        <w:t xml:space="preserve"> </w:t>
      </w:r>
      <w:r>
        <w:rPr>
          <w:iCs/>
          <w:i/>
        </w:rPr>
        <w:t xml:space="preserve">Critique</w:t>
      </w:r>
      <w:r>
        <w:t xml:space="preserve"> </w:t>
      </w:r>
      <w:r>
        <w:t xml:space="preserve">and the spectator’s judgment. Beiner (1997) restates the project, which he says is to ground human dignity in publicly displayed words and deeds, and argues that the conception responds to Plato and to Hegel’s historicism and leads to</w:t>
      </w:r>
      <w:r>
        <w:t xml:space="preserve"> </w:t>
      </w:r>
      <w:r>
        <w:t xml:space="preserve">“</w:t>
      </w:r>
      <w:r>
        <w:t xml:space="preserve">a sometimes onesided and misleading reading of Kant.</w:t>
      </w:r>
      <w:r>
        <w:t xml:space="preserve">”</w:t>
      </w:r>
      <w:r>
        <w:t xml:space="preserve"> </w:t>
      </w:r>
      <w:r>
        <w:t xml:space="preserve">Degryse (2011) defends Arendt against two criticisms, that she holds two theories of judgment and that she empiricalises Kant’s transcendental principles. She argues that Arendt reads the third</w:t>
      </w:r>
      <w:r>
        <w:t xml:space="preserve"> </w:t>
      </w:r>
      <w:r>
        <w:rPr>
          <w:iCs/>
          <w:i/>
        </w:rPr>
        <w:t xml:space="preserve">Critique</w:t>
      </w:r>
      <w:r>
        <w:t xml:space="preserve"> </w:t>
      </w:r>
      <w:r>
        <w:t xml:space="preserve">as an answer to the question</w:t>
      </w:r>
      <w:r>
        <w:t xml:space="preserve"> </w:t>
      </w:r>
      <w:r>
        <w:t xml:space="preserve">“</w:t>
      </w:r>
      <w:r>
        <w:t xml:space="preserve">How do I judge?</w:t>
      </w:r>
      <w:r>
        <w:t xml:space="preserve">”</w:t>
      </w:r>
      <w:r>
        <w:t xml:space="preserve"> </w:t>
      </w:r>
      <w:r>
        <w:t xml:space="preserve">and finds in</w:t>
      </w:r>
      <w:r>
        <w:t xml:space="preserve"> </w:t>
      </w:r>
      <w:r>
        <w:t xml:space="preserve">“</w:t>
      </w:r>
      <w:r>
        <w:t xml:space="preserve">community sense</w:t>
      </w:r>
      <w:r>
        <w:t xml:space="preserve">”</w:t>
      </w:r>
      <w:r>
        <w:t xml:space="preserve"> </w:t>
      </w:r>
      <w:r>
        <w:t xml:space="preserve">a foundation for the idea of humanity. Blumenthal-Barby (2021) argues that Arendt’s own distinctions in the lectures often falter. None of these studies discusses the 1784 essay directly.</w:t>
      </w:r>
    </w:p>
    <w:p>
      <w:pPr>
        <w:pStyle w:val="BodyText"/>
      </w:pPr>
      <w:r>
        <w:t xml:space="preserve">The French readings centre on the 1798 enthusiasm passage. Calcagno (1995) contrasts Kant’s view, on which the disinterested sign of the Revolution confirms a moral tendency toward improvement, with Lyotard’s denial that any objective proof of such a tendency is possible. See also Lyotard (1986). Clewis (2009) reads the same passage through the sublime, connecting enthusiasm to the freedom of individuals and to the moral character of the species. d’Entrèves (2000) describes Foucault’s</w:t>
      </w:r>
      <w:r>
        <w:t xml:space="preserve"> </w:t>
      </w:r>
      <w:r>
        <w:t xml:space="preserve">“</w:t>
      </w:r>
      <w:r>
        <w:t xml:space="preserve">qualified defence</w:t>
      </w:r>
      <w:r>
        <w:t xml:space="preserve">”</w:t>
      </w:r>
      <w:r>
        <w:t xml:space="preserve"> </w:t>
      </w:r>
      <w:r>
        <w:t xml:space="preserve">of Enlightenment as a</w:t>
      </w:r>
      <w:r>
        <w:t xml:space="preserve"> </w:t>
      </w:r>
      <w:r>
        <w:t xml:space="preserve">“</w:t>
      </w:r>
      <w:r>
        <w:t xml:space="preserve">philosophical ethos</w:t>
      </w:r>
      <w:r>
        <w:t xml:space="preserve">”</w:t>
      </w:r>
      <w:r>
        <w:t xml:space="preserve"> </w:t>
      </w:r>
      <w:r>
        <w:t xml:space="preserve">of critical attitude to the present, drawn from the companion essay</w:t>
      </w:r>
      <w:r>
        <w:t xml:space="preserve"> </w:t>
      </w:r>
      <w:r>
        <w:rPr>
          <w:iCs/>
          <w:i/>
        </w:rPr>
        <w:t xml:space="preserve">What is Enlightenment?</w:t>
      </w:r>
      <w:r>
        <w:t xml:space="preserve"> </w:t>
      </w:r>
      <w:r>
        <w:t xml:space="preserve">(see Foucault 1984). In each case the progress thesis is either reduced to a sign or dropped in favour of an ethos. These readings raise the question of which uses are faithful to Kant and which instrumentalise him, and they largely bypass the 1784 essay.</w:t>
      </w:r>
    </w:p>
    <w:bookmarkEnd w:id="28"/>
    <w:bookmarkStart w:id="29" w:name="Xa4b0a47731dc9c6f0c8d7e134c40518d96d2560"/>
    <w:p>
      <w:pPr>
        <w:pStyle w:val="Heading3"/>
      </w:pPr>
      <w:r>
        <w:t xml:space="preserve">3.3 Critical theory: progress after catastrophe</w:t>
      </w:r>
    </w:p>
    <w:p>
      <w:pPr>
        <w:pStyle w:val="FirstParagraph"/>
      </w:pPr>
      <w:r>
        <w:t xml:space="preserve">Critical theory retained the question of progress while doubting its guarantees. Honneth (2007) asks what meaning Kant’s hypothesis of progress and the</w:t>
      </w:r>
      <w:r>
        <w:t xml:space="preserve"> </w:t>
      </w:r>
      <w:r>
        <w:t xml:space="preserve">“</w:t>
      </w:r>
      <w:r>
        <w:t xml:space="preserve">signs of progress</w:t>
      </w:r>
      <w:r>
        <w:t xml:space="preserve">”</w:t>
      </w:r>
      <w:r>
        <w:t xml:space="preserve"> </w:t>
      </w:r>
      <w:r>
        <w:t xml:space="preserve">can have today. He distinguishes system-conforming from system-bursting versions and argues that only the latter, a conflict-ridden learning process</w:t>
      </w:r>
      <w:r>
        <w:t xml:space="preserve"> </w:t>
      </w:r>
      <w:r>
        <w:t xml:space="preserve">“</w:t>
      </w:r>
      <w:r>
        <w:t xml:space="preserve">without illusions,</w:t>
      </w:r>
      <w:r>
        <w:t xml:space="preserve">”</w:t>
      </w:r>
      <w:r>
        <w:t xml:space="preserve"> </w:t>
      </w:r>
      <w:r>
        <w:t xml:space="preserve">can confer contemporary meaning on Kant’s philosophy of history. Frelek (2025) rereads Adorno’s 1962 essay</w:t>
      </w:r>
      <w:r>
        <w:t xml:space="preserve"> </w:t>
      </w:r>
      <w:r>
        <w:t xml:space="preserve">“</w:t>
      </w:r>
      <w:r>
        <w:t xml:space="preserve">Progress</w:t>
      </w:r>
      <w:r>
        <w:t xml:space="preserve">”</w:t>
      </w:r>
      <w:r>
        <w:t xml:space="preserve"> </w:t>
      </w:r>
      <w:r>
        <w:t xml:space="preserve">in the light of the climate crisis, tracing Adorno’s debt to Benjamin and his account of the theological inheritance of progress philosophies, in order to retain a form of negative hope. See also Pensky’s (2010) Kant-Benjamin comparison. The critique turns from catastrophe to empire in McCarthy (2009), who holds that the idea of development is</w:t>
      </w:r>
      <w:r>
        <w:t xml:space="preserve"> </w:t>
      </w:r>
      <w:r>
        <w:t xml:space="preserve">“</w:t>
      </w:r>
      <w:r>
        <w:t xml:space="preserve">dangerous and necessary,</w:t>
      </w:r>
      <w:r>
        <w:t xml:space="preserve">”</w:t>
      </w:r>
      <w:r>
        <w:t xml:space="preserve"> </w:t>
      </w:r>
      <w:r>
        <w:t xml:space="preserve">since variations of it have underwritten global white supremacy, and who retains Kant’s cosmopolitanism in discourse-ethical form. Allen (2016) argues that Habermas and Honneth rely on a backward-looking, Eurocentric idea of progress as accomplished, and proposes a contextualist alternative drawn from Adorno and Foucault. Section 7 returns to McCarthy and Allen.</w:t>
      </w:r>
    </w:p>
    <w:bookmarkEnd w:id="29"/>
    <w:bookmarkStart w:id="30" w:name="X51f1d59646a5d8acf6a660e1bee2f881c5bb7ef"/>
    <w:p>
      <w:pPr>
        <w:pStyle w:val="Heading3"/>
      </w:pPr>
      <w:r>
        <w:t xml:space="preserve">3.4 Cosmopolitan constitutionalism, IR, and systematic readings</w:t>
      </w:r>
    </w:p>
    <w:p>
      <w:pPr>
        <w:pStyle w:val="FirstParagraph"/>
      </w:pPr>
      <w:r>
        <w:t xml:space="preserve">The third reappropriation rebuilds the cosmopolitan aim in legal-political form. Fine and Smith (2003) describe Habermas’s post-1989 attempt to reconstruct Kant’s theory of cosmopolitan right in response to twentieth-century catastrophes and globalisation. Habermas, following Apel, aims to</w:t>
      </w:r>
      <w:r>
        <w:t xml:space="preserve"> </w:t>
      </w:r>
      <w:r>
        <w:t xml:space="preserve">“</w:t>
      </w:r>
      <w:r>
        <w:t xml:space="preserve">think with Kant against Kant</w:t>
      </w:r>
      <w:r>
        <w:t xml:space="preserve">”</w:t>
      </w:r>
      <w:r>
        <w:t xml:space="preserve"> </w:t>
      </w:r>
      <w:r>
        <w:t xml:space="preserve">by correcting inconsistencies, radicalising Kant’s break from the nation-state order and linking peace to social justice; Fine and Smith examine the difficulties of grounding this normative commitment. See also Habermas’s own texts (1992; 2008) and Rawls’s (2000) Kant lectures. In international relations, Hurrell (1990) examines Kant’s place in the discipline and the</w:t>
      </w:r>
      <w:r>
        <w:t xml:space="preserve"> </w:t>
      </w:r>
      <w:r>
        <w:t xml:space="preserve">“</w:t>
      </w:r>
      <w:r>
        <w:t xml:space="preserve">Kantian paradigm,</w:t>
      </w:r>
      <w:r>
        <w:t xml:space="preserve">”</w:t>
      </w:r>
      <w:r>
        <w:t xml:space="preserve"> </w:t>
      </w:r>
      <w:r>
        <w:t xml:space="preserve">while Doyle (2017) traces Kant’s liberal legacies for foreign affairs, the source of the democratic-peace literature. Höffe (2007) presents the opposite emphasis, a universal cosmopolitanism that combines intercultural validity with a right to cultural difference and draws on education, philosophy of history, teleology and aesthetics.</w:t>
      </w:r>
    </w:p>
    <w:p>
      <w:pPr>
        <w:pStyle w:val="BodyText"/>
      </w:pPr>
      <w:r>
        <w:t xml:space="preserve">German and French systematic readings tie the essay back to Kant’s own system. Brandt (1996) traces the philosophy of history to Kant’s pragmatic anthropology, from the 1772-73 lectures and the 1773 turn to a</w:t>
      </w:r>
      <w:r>
        <w:t xml:space="preserve"> </w:t>
      </w:r>
      <w:r>
        <w:t xml:space="preserve">“</w:t>
      </w:r>
      <w:r>
        <w:t xml:space="preserve">pragmatic</w:t>
      </w:r>
      <w:r>
        <w:t xml:space="preserve">”</w:t>
      </w:r>
      <w:r>
        <w:t xml:space="preserve"> </w:t>
      </w:r>
      <w:r>
        <w:t xml:space="preserve">practical philosophy. Muglioni (1996) reads the teleological principle as grounded in practical finality, so that the Copernican revolution is complete only when the whole of creation is thought in terms of freedom. Pollmann (2011) argues that Kant was aware of the disheartening picture of human development, and that philosophy of history serves to console and</w:t>
      </w:r>
      <w:r>
        <w:t xml:space="preserve"> </w:t>
      </w:r>
      <w:r>
        <w:t xml:space="preserve">“</w:t>
      </w:r>
      <w:r>
        <w:t xml:space="preserve">heal</w:t>
      </w:r>
      <w:r>
        <w:t xml:space="preserve">”</w:t>
      </w:r>
      <w:r>
        <w:t xml:space="preserve"> </w:t>
      </w:r>
      <w:r>
        <w:t xml:space="preserve">the melancholy that the horrors of history produce. Höffe’s (2011) edited commentary volume is the entry point to German commentary on the essay. Yovel’s 1980 book is attested here only by reviews (Galston 1983; Williams 1981), so its argument is not characterised.</w:t>
      </w:r>
    </w:p>
    <w:p>
      <w:pPr>
        <w:pStyle w:val="BodyText"/>
      </w:pPr>
      <w:r>
        <w:t xml:space="preserve">Three directions emerge. Some readers push away from the</w:t>
      </w:r>
      <w:r>
        <w:t xml:space="preserve"> </w:t>
      </w:r>
      <w:r>
        <w:rPr>
          <w:iCs/>
          <w:i/>
        </w:rPr>
        <w:t xml:space="preserve">Leitfaden</w:t>
      </w:r>
      <w:r>
        <w:t xml:space="preserve"> </w:t>
      </w:r>
      <w:r>
        <w:t xml:space="preserve">toward judgment and spectatorship. Others hold that it is superseded (Hegel) or secularised theology (Löwith). Others rebuild it in legal-political form. A reception history focused on the essay itself remains to be written.</w:t>
      </w:r>
    </w:p>
    <w:bookmarkEnd w:id="30"/>
    <w:bookmarkEnd w:id="31"/>
    <w:bookmarkStart w:id="32" w:name="X704bdb3eea6b24570de41adf6126ba9a6619fde"/>
    <w:p>
      <w:pPr>
        <w:pStyle w:val="Heading2"/>
      </w:pPr>
      <w:r>
        <w:t xml:space="preserve">Section 4: What kind of</w:t>
      </w:r>
      <w:r>
        <w:t xml:space="preserve"> </w:t>
      </w:r>
      <w:r>
        <w:t xml:space="preserve">“</w:t>
      </w:r>
      <w:r>
        <w:t xml:space="preserve">Idea</w:t>
      </w:r>
      <w:r>
        <w:t xml:space="preserve">”</w:t>
      </w:r>
      <w:r>
        <w:t xml:space="preserve">? Regulative, biological, or more</w:t>
      </w:r>
    </w:p>
    <w:p>
      <w:pPr>
        <w:pStyle w:val="FirstParagraph"/>
      </w:pPr>
      <w:r>
        <w:t xml:space="preserve">The first dispute in current scholarship concerns the epistemic status of the essay’s central device. Kant calls his guiding thread an</w:t>
      </w:r>
      <w:r>
        <w:t xml:space="preserve"> </w:t>
      </w:r>
      <w:r>
        <w:t xml:space="preserve">“</w:t>
      </w:r>
      <w:r>
        <w:t xml:space="preserve">Idea,</w:t>
      </w:r>
      <w:r>
        <w:t xml:space="preserve">”</w:t>
      </w:r>
      <w:r>
        <w:t xml:space="preserve"> </w:t>
      </w:r>
      <w:r>
        <w:t xml:space="preserve">and commentators disagree about what kind of Idea it is, where it gets its credentials, and how much work a plan of nature can do. The positions below overlap, but they differ on where they ground the Idea: in the first</w:t>
      </w:r>
      <w:r>
        <w:t xml:space="preserve"> </w:t>
      </w:r>
      <w:r>
        <w:rPr>
          <w:iCs/>
          <w:i/>
        </w:rPr>
        <w:t xml:space="preserve">Critique</w:t>
      </w:r>
      <w:r>
        <w:t xml:space="preserve">, in the teleology of the third, in Kant’s early natural history, or in practical reason. They also return to the methodological axis of the Herder quarrel (Section 1).</w:t>
      </w:r>
    </w:p>
    <w:p>
      <w:pPr>
        <w:pStyle w:val="BodyText"/>
      </w:pPr>
      <w:r>
        <w:rPr>
          <w:bCs/>
          <w:b/>
        </w:rPr>
        <w:t xml:space="preserve">The regulative-systematic reading.</w:t>
      </w:r>
      <w:r>
        <w:t xml:space="preserve"> </w:t>
      </w:r>
      <w:r>
        <w:t xml:space="preserve">Allison (2009) ties the term</w:t>
      </w:r>
      <w:r>
        <w:t xml:space="preserve"> </w:t>
      </w:r>
      <w:r>
        <w:t xml:space="preserve">“</w:t>
      </w:r>
      <w:r>
        <w:t xml:space="preserve">Idea</w:t>
      </w:r>
      <w:r>
        <w:t xml:space="preserve">”</w:t>
      </w:r>
      <w:r>
        <w:t xml:space="preserve"> </w:t>
      </w:r>
      <w:r>
        <w:t xml:space="preserve">to the first</w:t>
      </w:r>
      <w:r>
        <w:t xml:space="preserve"> </w:t>
      </w:r>
      <w:r>
        <w:rPr>
          <w:iCs/>
          <w:i/>
        </w:rPr>
        <w:t xml:space="preserve">Critique</w:t>
      </w:r>
      <w:r>
        <w:t xml:space="preserve">. Ideas of reason, though no object corresponds to them, play an essential regulative role in guiding the understanding toward systematic unity. Tredanaro (2024) develops the link, arguing that the principle of purposiveness and the systematicity of reason in the Appendix to the Transcendental Dialectic supply the theoretical and methodological foundation for the essay’s philosophical history. Kuehn (2009) draws a corollary about the genre of the essay. He rejects the reading on which it uncovers laws of historical development in the manner of Hegel or Marx, and argues that Kant addresses historiography, a philosophical point of view for writing history that introduces a plan of nature. Kleingeld’s (2008) study of historiography and regulative ideas bears on the same question.</w:t>
      </w:r>
    </w:p>
    <w:p>
      <w:pPr>
        <w:pStyle w:val="BodyText"/>
      </w:pPr>
      <w:r>
        <w:rPr>
          <w:bCs/>
          <w:b/>
        </w:rPr>
        <w:t xml:space="preserve">The biological model.</w:t>
      </w:r>
      <w:r>
        <w:t xml:space="preserve"> </w:t>
      </w:r>
      <w:r>
        <w:t xml:space="preserve">Cohen (2008) argues that Kant’s philosophy of history is modelled on his philosophy of biology, because the development of the species shares features with the functioning of organisms. On this account the teleological view of history does not rest only on ethical considerations of moral progress. It also allows for scientific history, with a mechanical and empirical element, and teleology serves history as it serves biology, as a heuristic. This moves the question of the Idea’s status into the debate over why teleology is</w:t>
      </w:r>
      <w:r>
        <w:t xml:space="preserve"> </w:t>
      </w:r>
      <w:r>
        <w:t xml:space="preserve">“</w:t>
      </w:r>
      <w:r>
        <w:t xml:space="preserve">merely regulative</w:t>
      </w:r>
      <w:r>
        <w:t xml:space="preserve">”</w:t>
      </w:r>
      <w:r>
        <w:t xml:space="preserve"> </w:t>
      </w:r>
      <w:r>
        <w:t xml:space="preserve">in the third</w:t>
      </w:r>
      <w:r>
        <w:t xml:space="preserve"> </w:t>
      </w:r>
      <w:r>
        <w:rPr>
          <w:iCs/>
          <w:i/>
        </w:rPr>
        <w:t xml:space="preserve">Critique</w:t>
      </w:r>
      <w:r>
        <w:t xml:space="preserve">. Ginsborg (2001) reads Kant’s claim that organisms are mechanically inexplicable as the claim that biological regularities cannot be reduced to the behaviour of matter, so that purposiveness is a normative notion. Chen (2023) rejects the view that natural purposes are merely subjective heuristic maxims, since Kant treats them as indispensable for identifying organisms. He argues that teleology is non-constitutive because the concept of natural purpose is not tied to supporting laws. If Chen is right,</w:t>
      </w:r>
      <w:r>
        <w:t xml:space="preserve"> </w:t>
      </w:r>
      <w:r>
        <w:t xml:space="preserve">“</w:t>
      </w:r>
      <w:r>
        <w:t xml:space="preserve">regulative</w:t>
      </w:r>
      <w:r>
        <w:t xml:space="preserve">”</w:t>
      </w:r>
      <w:r>
        <w:t xml:space="preserve"> </w:t>
      </w:r>
      <w:r>
        <w:t xml:space="preserve">does not mean</w:t>
      </w:r>
      <w:r>
        <w:t xml:space="preserve"> </w:t>
      </w:r>
      <w:r>
        <w:t xml:space="preserve">“</w:t>
      </w:r>
      <w:r>
        <w:t xml:space="preserve">dispensable,</w:t>
      </w:r>
      <w:r>
        <w:t xml:space="preserve">”</w:t>
      </w:r>
      <w:r>
        <w:t xml:space="preserve"> </w:t>
      </w:r>
      <w:r>
        <w:t xml:space="preserve">and this changes what the regulative reading of the</w:t>
      </w:r>
      <w:r>
        <w:t xml:space="preserve"> </w:t>
      </w:r>
      <w:r>
        <w:rPr>
          <w:iCs/>
          <w:i/>
        </w:rPr>
        <w:t xml:space="preserve">Leitfaden</w:t>
      </w:r>
      <w:r>
        <w:t xml:space="preserve"> </w:t>
      </w:r>
      <w:r>
        <w:t xml:space="preserve">commits one to. Ostaric (2023) places the third</w:t>
      </w:r>
      <w:r>
        <w:t xml:space="preserve"> </w:t>
      </w:r>
      <w:r>
        <w:rPr>
          <w:iCs/>
          <w:i/>
        </w:rPr>
        <w:t xml:space="preserve">Critique</w:t>
      </w:r>
      <w:r>
        <w:t xml:space="preserve"> </w:t>
      </w:r>
      <w:r>
        <w:t xml:space="preserve">within the unity of the critical system, with teleological judgment indirectly exhibiting the Ideas of the highest good. Her book includes a chapter on Kant’s teleological philosophy of history.</w:t>
      </w:r>
    </w:p>
    <w:p>
      <w:pPr>
        <w:pStyle w:val="BodyText"/>
      </w:pPr>
      <w:r>
        <w:rPr>
          <w:bCs/>
          <w:b/>
        </w:rPr>
        <w:t xml:space="preserve">The naturalist model.</w:t>
      </w:r>
      <w:r>
        <w:t xml:space="preserve"> </w:t>
      </w:r>
      <w:r>
        <w:t xml:space="preserve">Vuillerod (2024) locates the model elsewhere. He argues that Kant’s treatment of nature and history in the</w:t>
      </w:r>
      <w:r>
        <w:t xml:space="preserve"> </w:t>
      </w:r>
      <w:r>
        <w:rPr>
          <w:iCs/>
          <w:i/>
        </w:rPr>
        <w:t xml:space="preserve">Idea</w:t>
      </w:r>
      <w:r>
        <w:t xml:space="preserve"> </w:t>
      </w:r>
      <w:r>
        <w:t xml:space="preserve">rests on his 1750s writings on nature, which supply a model for thinking human history without determining it by natural processes. The motif is said to persist across the pre-critical and critical periods, a claim that sets this reading against those that start from the critical system.</w:t>
      </w:r>
    </w:p>
    <w:p>
      <w:pPr>
        <w:pStyle w:val="BodyText"/>
      </w:pPr>
      <w:r>
        <w:rPr>
          <w:bCs/>
          <w:b/>
        </w:rPr>
        <w:t xml:space="preserve">The sceptical position.</w:t>
      </w:r>
      <w:r>
        <w:t xml:space="preserve"> </w:t>
      </w:r>
      <w:r>
        <w:t xml:space="preserve">Zammito (2008), replying to a naturalist reconstruction by Wood, raises three reservations. Kant’s biology is still an emergent science, extending</w:t>
      </w:r>
      <w:r>
        <w:t xml:space="preserve"> </w:t>
      </w:r>
      <w:r>
        <w:t xml:space="preserve">“</w:t>
      </w:r>
      <w:r>
        <w:t xml:space="preserve">natural predisposition</w:t>
      </w:r>
      <w:r>
        <w:t xml:space="preserve">”</w:t>
      </w:r>
      <w:r>
        <w:t xml:space="preserve"> </w:t>
      </w:r>
      <w:r>
        <w:t xml:space="preserve">(</w:t>
      </w:r>
      <w:r>
        <w:rPr>
          <w:iCs/>
          <w:i/>
        </w:rPr>
        <w:t xml:space="preserve">Anlage</w:t>
      </w:r>
      <w:r>
        <w:t xml:space="preserve">) to reason and freedom is questionable, and providence plays too large a role for the account to count as naturalist. He concludes that the philosophy of history is among the less persuasive parts of Kant’s system. Rauscher (2002) presses a different objection from the Hegelian side. Kant wants to separate empirical history from reason’s a priori regulative role, but his account of the sciences and of reason precludes the separation. So the regulative reading’s stability is itself at issue.</w:t>
      </w:r>
    </w:p>
    <w:p>
      <w:pPr>
        <w:pStyle w:val="BodyText"/>
      </w:pPr>
      <w:r>
        <w:rPr>
          <w:bCs/>
          <w:b/>
        </w:rPr>
        <w:t xml:space="preserve">The practical-teleological reading.</w:t>
      </w:r>
      <w:r>
        <w:t xml:space="preserve"> </w:t>
      </w:r>
      <w:r>
        <w:t xml:space="preserve">A further group asks whether the relevant teleology is theoretical at all. Kleingeld (2001) argues that Kant’s preference for</w:t>
      </w:r>
      <w:r>
        <w:t xml:space="preserve"> </w:t>
      </w:r>
      <w:r>
        <w:t xml:space="preserve">“</w:t>
      </w:r>
      <w:r>
        <w:t xml:space="preserve">providence</w:t>
      </w:r>
      <w:r>
        <w:t xml:space="preserve">”</w:t>
      </w:r>
      <w:r>
        <w:t xml:space="preserve"> </w:t>
      </w:r>
      <w:r>
        <w:t xml:space="preserve">in the essay marks the passage from the theoretical question of order in history to a moral approach grounded in the teleological principle. Sargentis (2015) distinguishes the theoretically reflecting power of judgment from reflection in accordance with concepts of practical reason. The distinction yields a</w:t>
      </w:r>
      <w:r>
        <w:t xml:space="preserve"> </w:t>
      </w:r>
      <w:r>
        <w:t xml:space="preserve">“</w:t>
      </w:r>
      <w:r>
        <w:t xml:space="preserve">double perspective</w:t>
      </w:r>
      <w:r>
        <w:t xml:space="preserve">”</w:t>
      </w:r>
      <w:r>
        <w:t xml:space="preserve"> </w:t>
      </w:r>
      <w:r>
        <w:t xml:space="preserve">on history, which explains why Nature and Providence cannot be used interchangeably. Filieri (2025), commenting on Ostaric, questions the role of nature’s alleged aim and suggests that moral development, progress, civilisation and culture mirror aims of freedom, not of nature. On the moral and biological teleology of the third</w:t>
      </w:r>
      <w:r>
        <w:t xml:space="preserve"> </w:t>
      </w:r>
      <w:r>
        <w:rPr>
          <w:iCs/>
          <w:i/>
        </w:rPr>
        <w:t xml:space="preserve">Critique</w:t>
      </w:r>
      <w:r>
        <w:t xml:space="preserve">, see also Guyer (2014) and Quarfood (2006).</w:t>
      </w:r>
    </w:p>
    <w:p>
      <w:pPr>
        <w:pStyle w:val="BodyText"/>
      </w:pPr>
      <w:r>
        <w:rPr>
          <w:bCs/>
          <w:b/>
        </w:rPr>
        <w:t xml:space="preserve">Reflexive claims.</w:t>
      </w:r>
      <w:r>
        <w:t xml:space="preserve"> </w:t>
      </w:r>
      <w:r>
        <w:t xml:space="preserve">Two Critical Guide chapters examine propositions where the essay speaks of its own method. Förster (2009) reads the Eighth Proposition’s</w:t>
      </w:r>
      <w:r>
        <w:t xml:space="preserve"> </w:t>
      </w:r>
      <w:r>
        <w:t xml:space="preserve">“</w:t>
      </w:r>
      <w:r>
        <w:t xml:space="preserve">hidden plan of nature</w:t>
      </w:r>
      <w:r>
        <w:t xml:space="preserve">”</w:t>
      </w:r>
      <w:r>
        <w:t xml:space="preserve"> </w:t>
      </w:r>
      <w:r>
        <w:t xml:space="preserve">as a turning point that links the Second Proposition (reason develops fully only in the species) to the need for stable external relations between states. Bittner (2009) takes up the Ninth Proposition’s claim that a philosophical attempt at universal history is possible and furthers nature’s aim. He asks what this help consists in and on what grounds Kant can claim it. A purely heuristic reading must say how a heuristic can also contribute to the aim it describes.</w:t>
      </w:r>
    </w:p>
    <w:p>
      <w:pPr>
        <w:pStyle w:val="BodyText"/>
      </w:pPr>
      <w:r>
        <w:t xml:space="preserve">The positions are not exclusive; Cohen’s biological reading and Allison’s systematic one are both regulative. What divides them is the source of the regulative principle. A further challenge is that the teleology may not be heuristically innocent. Marwah (2022) argues that the teleological framework of Kant’s natural history limits the capacity of non-whites for moral progress, and Section 7 takes up this objection.</w:t>
      </w:r>
    </w:p>
    <w:bookmarkEnd w:id="32"/>
    <w:bookmarkStart w:id="36" w:name="Xca28b6ce4b179b6d10ce59f7f8e254df20d5297"/>
    <w:p>
      <w:pPr>
        <w:pStyle w:val="Heading2"/>
      </w:pPr>
      <w:r>
        <w:t xml:space="preserve">Section 5: Unsocial sociability, legality and moral progress, and hope</w:t>
      </w:r>
    </w:p>
    <w:p>
      <w:pPr>
        <w:pStyle w:val="FirstParagraph"/>
      </w:pPr>
      <w:r>
        <w:t xml:space="preserve">A second dispute concerns the mechanism the essay offers for progress. The Fourth Proposition makes antagonism nature’s means, and later propositions make a legal order its result. Commentators ask what this antagonism is, whether a legal order amounts to moral progress, and what, if anything, Kant licenses us to hope for. These questions revive the ethical axis of the Herder quarrel (Section 1), where the issue was the subordination of individual happiness and agency to the progress of the species.</w:t>
      </w:r>
    </w:p>
    <w:bookmarkStart w:id="33" w:name="what-is-unsocial-sociability"/>
    <w:p>
      <w:pPr>
        <w:pStyle w:val="Heading3"/>
      </w:pPr>
      <w:r>
        <w:t xml:space="preserve">5.1 What is unsocial sociability?</w:t>
      </w:r>
    </w:p>
    <w:p>
      <w:pPr>
        <w:pStyle w:val="FirstParagraph"/>
      </w:pPr>
      <w:r>
        <w:t xml:space="preserve">Schneewind (2009) reads the Fourth Proposition against Montaigne’s remark on humans as both unsociable and sociable. On his account, Kant sees in our resistance to one another the goad that overcomes natural laziness, so that good comes out of what looks like an unfortunate combination of traits. Darwall (2014) analyses the two poles. He argues that the</w:t>
      </w:r>
      <w:r>
        <w:t xml:space="preserve"> </w:t>
      </w:r>
      <w:r>
        <w:t xml:space="preserve">“</w:t>
      </w:r>
      <w:r>
        <w:t xml:space="preserve">unsociable</w:t>
      </w:r>
      <w:r>
        <w:t xml:space="preserve">”</w:t>
      </w:r>
      <w:r>
        <w:t xml:space="preserve"> </w:t>
      </w:r>
      <w:r>
        <w:t xml:space="preserve">attitudes, such as competitive vanity, are deeply social, since as fruits of Rousseauian</w:t>
      </w:r>
      <w:r>
        <w:t xml:space="preserve"> </w:t>
      </w:r>
      <w:r>
        <w:rPr>
          <w:iCs/>
          <w:i/>
        </w:rPr>
        <w:t xml:space="preserve">amour propre</w:t>
      </w:r>
      <w:r>
        <w:t xml:space="preserve"> </w:t>
      </w:r>
      <w:r>
        <w:t xml:space="preserve">they presuppose a third-personal observer’s perspective. Sociability in the natural-law tradition of Grotius and Pufendorf is, by contrast, an irreducibly second-personal phenomenon.</w:t>
      </w:r>
    </w:p>
    <w:p>
      <w:pPr>
        <w:pStyle w:val="BodyText"/>
      </w:pPr>
      <w:r>
        <w:t xml:space="preserve">The most contested question is the relation to radical evil. Grenberg (2009) reports Wood’s view that radical evil is equivalent and reducible to unsocial sociability, so that the propensity to evil develops only in society; see Wood (1991; 2009). Grenberg disputes this and asks whether we would be evil even without social interaction. Charpenel (2019) also takes issue with Wood, proposing to correct interpretive mistakes in his reading and linking the concept to radical evil, autonomy and the heuristic teleological history. Klein (2026) goes in a different direction, arguing that unsocial sociability is a morally neutral, dynamic process of conflict, distinct from</w:t>
      </w:r>
      <w:r>
        <w:t xml:space="preserve"> </w:t>
      </w:r>
      <w:r>
        <w:t xml:space="preserve">“</w:t>
      </w:r>
      <w:r>
        <w:t xml:space="preserve">evil</w:t>
      </w:r>
      <w:r>
        <w:t xml:space="preserve">”</w:t>
      </w:r>
      <w:r>
        <w:t xml:space="preserve"> </w:t>
      </w:r>
      <w:r>
        <w:t xml:space="preserve">and</w:t>
      </w:r>
      <w:r>
        <w:t xml:space="preserve"> </w:t>
      </w:r>
      <w:r>
        <w:t xml:space="preserve">“</w:t>
      </w:r>
      <w:r>
        <w:t xml:space="preserve">war.</w:t>
      </w:r>
      <w:r>
        <w:t xml:space="preserve">”</w:t>
      </w:r>
      <w:r>
        <w:t xml:space="preserve"> </w:t>
      </w:r>
      <w:r>
        <w:t xml:space="preserve">Kim (2010) and Lerussi (2018) also address the question. Beller (2026) and Muthu (2014) give the concept a political cast. Beller ties it to perpetual peace and finds in it a</w:t>
      </w:r>
      <w:r>
        <w:t xml:space="preserve"> </w:t>
      </w:r>
      <w:r>
        <w:t xml:space="preserve">“</w:t>
      </w:r>
      <w:r>
        <w:t xml:space="preserve">germ of moral impetus.</w:t>
      </w:r>
      <w:r>
        <w:t xml:space="preserve">”</w:t>
      </w:r>
      <w:r>
        <w:t xml:space="preserve"> </w:t>
      </w:r>
      <w:r>
        <w:t xml:space="preserve">Muthu distinguishes productive resistance for equal worth from domineering resistance for greater worth, and reads Kant’s criticism of European commercial exploitation and conquest as directed at the second form.</w:t>
      </w:r>
    </w:p>
    <w:bookmarkEnd w:id="33"/>
    <w:bookmarkStart w:id="34" w:name="legality-without-morality"/>
    <w:p>
      <w:pPr>
        <w:pStyle w:val="Heading3"/>
      </w:pPr>
      <w:r>
        <w:t xml:space="preserve">5.2 Legality without morality?</w:t>
      </w:r>
    </w:p>
    <w:p>
      <w:pPr>
        <w:pStyle w:val="FirstParagraph"/>
      </w:pPr>
      <w:r>
        <w:t xml:space="preserve">If antagonism drives progress, the question is what kind of progress results. Guyer (2009) notes that civil society, the Fifth Proposition’s problem, is designed to deal with crookedness through external coercion under the universal principle of right. He asks why crooked timber should then make the problem so hard and never fully soluble. Herman (2009) finds in the essay an</w:t>
      </w:r>
      <w:r>
        <w:t xml:space="preserve"> </w:t>
      </w:r>
      <w:r>
        <w:t xml:space="preserve">“</w:t>
      </w:r>
      <w:r>
        <w:t xml:space="preserve">effacement of the individual moral agent</w:t>
      </w:r>
      <w:r>
        <w:t xml:space="preserve">”</w:t>
      </w:r>
      <w:r>
        <w:t xml:space="preserve">: persons figure as vehicles of envy and greed, and the sincerely good person</w:t>
      </w:r>
      <w:r>
        <w:t xml:space="preserve"> </w:t>
      </w:r>
      <w:r>
        <w:t xml:space="preserve">“</w:t>
      </w:r>
      <w:r>
        <w:t xml:space="preserve">might as well not bother</w:t>
      </w:r>
      <w:r>
        <w:t xml:space="preserve">”</w:t>
      </w:r>
      <w:r>
        <w:t xml:space="preserve"> </w:t>
      </w:r>
      <w:r>
        <w:t xml:space="preserve">from the standpoint of the essay’s questions. She also asks whether Kant regards peace as an aim of policy or as something to be hoped for. James (2019) presses the point further. Practical necessity arising from social and interstate antagonism helps Kant avoid an external standpoint, but the essay fails to identify a mechanism for a fundamental moral change in human motivation once the legal and political conditions are established. Requejo and Valls (2007) draw the opposite lesson from the same feature, taking it as evidence of Kant’s distrust of mere moral imperatives, which are</w:t>
      </w:r>
      <w:r>
        <w:t xml:space="preserve"> </w:t>
      </w:r>
      <w:r>
        <w:t xml:space="preserve">“</w:t>
      </w:r>
      <w:r>
        <w:t xml:space="preserve">ineffective</w:t>
      </w:r>
      <w:r>
        <w:t xml:space="preserve">”</w:t>
      </w:r>
      <w:r>
        <w:t xml:space="preserve"> </w:t>
      </w:r>
      <w:r>
        <w:t xml:space="preserve">alone for humanising humanity.</w:t>
      </w:r>
    </w:p>
    <w:p>
      <w:pPr>
        <w:pStyle w:val="BodyText"/>
      </w:pPr>
      <w:r>
        <w:t xml:space="preserve">Two developmental answers locate a repair elsewhere in Kant’s corpus. Heisenberg (2018) argues that between 1784 and 1790 Kant revised his view of the sources of progress. The essay treats progress as accomplished primarily by social antagonism, and from 1790 ethical cooperation becomes a second source. Williams (2024) finds, in the</w:t>
      </w:r>
      <w:r>
        <w:t xml:space="preserve"> </w:t>
      </w:r>
      <w:r>
        <w:rPr>
          <w:iCs/>
          <w:i/>
        </w:rPr>
        <w:t xml:space="preserve">Renewed Attempt</w:t>
      </w:r>
      <w:r>
        <w:t xml:space="preserve">, a narrowing in the other direction. Kant concedes that rightful progress toward global republicanism is the most we can be sure of, though he remains optimistic about moral progress. Honneth (2007), noted in Section 3, offers the critical-theory version: conflict can be read as a learning process. The two answers differ on whether the gap between legality and morality is closed by moral cooperation or acknowledged as a limit. Section 8 takes up the development thesis.</w:t>
      </w:r>
    </w:p>
    <w:bookmarkEnd w:id="34"/>
    <w:bookmarkStart w:id="35" w:name="Xae80be448e35ffc69e91e414fceb15ee4e34698"/>
    <w:p>
      <w:pPr>
        <w:pStyle w:val="Heading3"/>
      </w:pPr>
      <w:r>
        <w:t xml:space="preserve">5.3 Hope, the highest good and practical faith</w:t>
      </w:r>
    </w:p>
    <w:p>
      <w:pPr>
        <w:pStyle w:val="FirstParagraph"/>
      </w:pPr>
      <w:r>
        <w:t xml:space="preserve">The third strand asks what attitude the philosophy of history warrants. Woo (2023) argues that Kant de-emphasised the highest good as final end because its endless pursuit offers no prospect of moral satisfaction, and that this is one reason for his turn to social and political progress in the human species. Cureton (2018) treats the antagonism arguments, which he compares to Smith’s invisible hand, as depending on questionable empirical and teleological assumptions, and suggests that they partly describe what a good and virtuous person reasonably hopes for. Pollmann (2011) gives a therapeutic version: philosophy of history consoles the melancholy that history’s horrors produce. On the highest good as the link between morality and history, see also Yovel (1972).</w:t>
      </w:r>
    </w:p>
    <w:p>
      <w:pPr>
        <w:pStyle w:val="BodyText"/>
      </w:pPr>
      <w:r>
        <w:t xml:space="preserve">Ypi (2010) asks whether the teleology of the Guarantee can justify progress. She argues that it must be assessed in light of two problems, the coordination required to realise the highest good as a historical end and the continuity problem posed by the temporal limits of individual efforts, and she draws on Kant’s post-1790 teleology. Ypi (2024) defends purposive history on constructivist grounds, since without a critical notion of purposiveness the constructivist rejection of scepticism risks circularity. Louden (2000) and Sweet (2013) approach the issue from the unity of practical philosophy. Louden’s</w:t>
      </w:r>
      <w:r>
        <w:t xml:space="preserve"> </w:t>
      </w:r>
      <w:r>
        <w:t xml:space="preserve">“</w:t>
      </w:r>
      <w:r>
        <w:t xml:space="preserve">impure ethics</w:t>
      </w:r>
      <w:r>
        <w:t xml:space="preserve">”</w:t>
      </w:r>
      <w:r>
        <w:t xml:space="preserve"> </w:t>
      </w:r>
      <w:r>
        <w:t xml:space="preserve">gives the empirical application of ethics to human beings its due, and Sweet argues that doing our duty requires pursuing social, political and communal ends. On these views the historical thesis is part of practical philosophy, not an addendum to it. Lenczewska (2022) points the same way, linking Kant’s remarks on the origins of reason to a regulative account of its future development.</w:t>
      </w:r>
    </w:p>
    <w:p>
      <w:pPr>
        <w:pStyle w:val="BodyText"/>
      </w:pPr>
      <w:r>
        <w:t xml:space="preserve">The strands converge on one unresolved issue. The essay’s mechanism is non-moral, its reasonable result is legal, and the hope it supports is moral. Whether these can be joined without a supplement from later texts is the problem on which the developmental readings, and the critiques in Section 7, bear.</w:t>
      </w:r>
    </w:p>
    <w:bookmarkEnd w:id="35"/>
    <w:bookmarkEnd w:id="36"/>
    <w:bookmarkStart w:id="37" w:name="X78ddbc48e5e8b6b0e8fd0eaa34573dda6c59344"/>
    <w:p>
      <w:pPr>
        <w:pStyle w:val="Heading2"/>
      </w:pPr>
      <w:r>
        <w:t xml:space="preserve">Section 6: The cosmopolitan aim: federation, right and international order</w:t>
      </w:r>
    </w:p>
    <w:p>
      <w:pPr>
        <w:pStyle w:val="FirstParagraph"/>
      </w:pPr>
      <w:r>
        <w:t xml:space="preserve">The essay’s title names its aim, and the Seventh Proposition makes the aim concrete: external relations between states must be regulated before the species can fully develop its predispositions. The literature on this proposition divides over three questions. What institution does the 1784 text call for? Can the cosmopolitan condition be grounded without the plan of nature? And how far does the essay’s position survive in Kant’s later political writings?</w:t>
      </w:r>
    </w:p>
    <w:p>
      <w:pPr>
        <w:pStyle w:val="BodyText"/>
      </w:pPr>
      <w:r>
        <w:t xml:space="preserve">Kleingeld (2009) gives the developmental answer to the first and third questions. She argues that the Seventh Proposition advocates a federation of states with coercive powers to enforce its laws, and that this</w:t>
      </w:r>
      <w:r>
        <w:t xml:space="preserve"> </w:t>
      </w:r>
      <w:r>
        <w:t xml:space="preserve">“</w:t>
      </w:r>
      <w:r>
        <w:t xml:space="preserve">cosmopolitan condition</w:t>
      </w:r>
      <w:r>
        <w:t xml:space="preserve">”</w:t>
      </w:r>
      <w:r>
        <w:t xml:space="preserve"> </w:t>
      </w:r>
      <w:r>
        <w:t xml:space="preserve">secures the stability that the development of reason requires. She also argues that the later texts, namely</w:t>
      </w:r>
      <w:r>
        <w:t xml:space="preserve"> </w:t>
      </w:r>
      <w:r>
        <w:rPr>
          <w:iCs/>
          <w:i/>
        </w:rPr>
        <w:t xml:space="preserve">Theory and Practice</w:t>
      </w:r>
      <w:r>
        <w:t xml:space="preserve">,</w:t>
      </w:r>
      <w:r>
        <w:t xml:space="preserve"> </w:t>
      </w:r>
      <w:r>
        <w:rPr>
          <w:iCs/>
          <w:i/>
        </w:rPr>
        <w:t xml:space="preserve">Perpetual Peace</w:t>
      </w:r>
      <w:r>
        <w:t xml:space="preserve"> </w:t>
      </w:r>
      <w:r>
        <w:t xml:space="preserve">and the</w:t>
      </w:r>
      <w:r>
        <w:t xml:space="preserve"> </w:t>
      </w:r>
      <w:r>
        <w:rPr>
          <w:iCs/>
          <w:i/>
        </w:rPr>
        <w:t xml:space="preserve">Metaphysics of Morals</w:t>
      </w:r>
      <w:r>
        <w:t xml:space="preserve">, modify this early view in important respects, although the literature usually overlooks the changes. This framing makes the essay the starting point of a trajectory, not a statement of Kant’s settled view. It feeds the older dispute over whether the end-state is a league (</w:t>
      </w:r>
      <w:r>
        <w:rPr>
          <w:iCs/>
          <w:i/>
        </w:rPr>
        <w:t xml:space="preserve">Völkerbund</w:t>
      </w:r>
      <w:r>
        <w:t xml:space="preserve">) or a world republic (</w:t>
      </w:r>
      <w:r>
        <w:rPr>
          <w:iCs/>
          <w:i/>
        </w:rPr>
        <w:t xml:space="preserve">Weltrepublik</w:t>
      </w:r>
      <w:r>
        <w:t xml:space="preserve">). Kleingeld’s earlier article (2004) treats Kant’s defence of a league of states alongside his ideal of a world federation. On the German-language debate, see Höffe (1995) and Hirsch (2018). Hoesch (2012) asks a narrower question, whether the league is limited to republican members, and argues that this common presupposition is unwarranted. Kleingeld (2016) surveys three debates on Kant’s political cosmopolitanism, namely the nature of the federation, cosmopolitan right, and colonialism and</w:t>
      </w:r>
      <w:r>
        <w:t xml:space="preserve"> </w:t>
      </w:r>
      <w:r>
        <w:t xml:space="preserve">“</w:t>
      </w:r>
      <w:r>
        <w:t xml:space="preserve">race</w:t>
      </w:r>
      <w:r>
        <w:t xml:space="preserve">”</w:t>
      </w:r>
      <w:r>
        <w:t xml:space="preserve">, and the last of these is the subject of Section 7. She also notes that the vocabulary of world citizenship is strikingly rare in Kant’s moral theory. Kleingeld (1999) separates six varieties of cosmopolitanism in late eighteenth-century Germany, which situates the title’s</w:t>
      </w:r>
      <w:r>
        <w:t xml:space="preserve"> </w:t>
      </w:r>
      <w:r>
        <w:rPr>
          <w:iCs/>
          <w:i/>
        </w:rPr>
        <w:t xml:space="preserve">weltbürgerlich</w:t>
      </w:r>
      <w:r>
        <w:t xml:space="preserve"> </w:t>
      </w:r>
      <w:r>
        <w:t xml:space="preserve">among contemporary usages (see Section 1).</w:t>
      </w:r>
    </w:p>
    <w:p>
      <w:pPr>
        <w:pStyle w:val="BodyText"/>
      </w:pPr>
      <w:r>
        <w:t xml:space="preserve">Juridical readings propose a different route to the cosmopolitan condition. Flikschuh (2000) argues that Kant’s account of political obligation is cosmopolitan in its inception, giving priority to the global over the domestic context, and that the cosmopolitan scope of his theory of justice follows from the metaphysics of freedom as a shared idea of practical reason. Ripstein (2009) reconstructs Kant’s legal and political philosophy as a theory of equal external freedom, and Byrd and Hruschka (2009) comment on the</w:t>
      </w:r>
      <w:r>
        <w:t xml:space="preserve"> </w:t>
      </w:r>
      <w:r>
        <w:rPr>
          <w:iCs/>
          <w:i/>
        </w:rPr>
        <w:t xml:space="preserve">Doctrine of Right</w:t>
      </w:r>
      <w:r>
        <w:t xml:space="preserve"> </w:t>
      </w:r>
      <w:r>
        <w:t xml:space="preserve">as grounding lasting international peace in the idea of the</w:t>
      </w:r>
      <w:r>
        <w:t xml:space="preserve"> </w:t>
      </w:r>
      <w:r>
        <w:rPr>
          <w:iCs/>
          <w:i/>
        </w:rPr>
        <w:t xml:space="preserve">Rechtsstaat</w:t>
      </w:r>
      <w:r>
        <w:t xml:space="preserve">. These works do not rest on the plan of nature, so they are a methodological alternative to the 1784 route. Klein (2022) goes the other way, arguing that the system of right is itself teleologically situated and plays the role of a</w:t>
      </w:r>
      <w:r>
        <w:t xml:space="preserve"> </w:t>
      </w:r>
      <w:r>
        <w:t xml:space="preserve">“</w:t>
      </w:r>
      <w:r>
        <w:t xml:space="preserve">realist utopia</w:t>
      </w:r>
      <w:r>
        <w:t xml:space="preserve">”</w:t>
      </w:r>
      <w:r>
        <w:t xml:space="preserve">, which links the juridical reading back to the practical-teleological reading in Section 4.</w:t>
      </w:r>
    </w:p>
    <w:p>
      <w:pPr>
        <w:pStyle w:val="BodyText"/>
      </w:pPr>
      <w:r>
        <w:t xml:space="preserve">A further group asks what the peace project amounts to politically. Mertens (1995) finds that statist and cosmopolitan readings of Kant’s international writings both stem from an ambiguity in them, and proposes an interpretation on which they fit partly within the just-war tradition. Caranti (2006) addresses the realist critique of the project; he notes that Kant’s theory of peace helped displace realism from its leading position in international relations theory. Brown (2024) offers a source-historical account. He argues that Sieyès, often assumed to be Kant’s follower, charted a distinct course, and that</w:t>
      </w:r>
      <w:r>
        <w:t xml:space="preserve"> </w:t>
      </w:r>
      <w:r>
        <w:rPr>
          <w:iCs/>
          <w:i/>
        </w:rPr>
        <w:t xml:space="preserve">Perpetual Peace</w:t>
      </w:r>
      <w:r>
        <w:t xml:space="preserve"> </w:t>
      </w:r>
      <w:r>
        <w:t xml:space="preserve">should be read as a curtailment of Kant’s earlier cosmopolitan and pacifist idealism in response to the 1790s. This supports Kleingeld’s developmental thesis from a different angle. Molloy (2017) argues that Kant’s repeated appeals to God and Providence in his international writings, the</w:t>
      </w:r>
      <w:r>
        <w:t xml:space="preserve"> </w:t>
      </w:r>
      <w:r>
        <w:rPr>
          <w:iCs/>
          <w:i/>
        </w:rPr>
        <w:t xml:space="preserve">Idea</w:t>
      </w:r>
      <w:r>
        <w:t xml:space="preserve"> </w:t>
      </w:r>
      <w:r>
        <w:t xml:space="preserve">included, can be understood only through the role of belief in God in the critical philosophy. This recalls the Guarantee debate of Section 5.</w:t>
      </w:r>
    </w:p>
    <w:p>
      <w:pPr>
        <w:pStyle w:val="BodyText"/>
      </w:pPr>
      <w:r>
        <w:t xml:space="preserve">Contemporary uses of the federation idea are more guarded than the label</w:t>
      </w:r>
      <w:r>
        <w:t xml:space="preserve"> </w:t>
      </w:r>
      <w:r>
        <w:t xml:space="preserve">“</w:t>
      </w:r>
      <w:r>
        <w:t xml:space="preserve">Kantian</w:t>
      </w:r>
      <w:r>
        <w:t xml:space="preserve">”</w:t>
      </w:r>
      <w:r>
        <w:t xml:space="preserve"> </w:t>
      </w:r>
      <w:r>
        <w:t xml:space="preserve">suggests. Brown (2013) argues that a link between Kant and the European Union holds at best at the level of the first two Definitive Articles, and that the Union falls short of Kant’s more radical idea of cosmopolitan right. Ypi (2011) develops a</w:t>
      </w:r>
      <w:r>
        <w:t xml:space="preserve"> </w:t>
      </w:r>
      <w:r>
        <w:t xml:space="preserve">“</w:t>
      </w:r>
      <w:r>
        <w:t xml:space="preserve">statist cosmopolitanism</w:t>
      </w:r>
      <w:r>
        <w:t xml:space="preserve">”</w:t>
      </w:r>
      <w:r>
        <w:t xml:space="preserve"> </w:t>
      </w:r>
      <w:r>
        <w:t xml:space="preserve">in which the state and cosmopolitan commitments are defended together. See also Pogge (1988) and Poletti (2021) for the global-justice and postcolonial-critique literatures.</w:t>
      </w:r>
    </w:p>
    <w:p>
      <w:pPr>
        <w:pStyle w:val="BodyText"/>
      </w:pPr>
      <w:r>
        <w:t xml:space="preserve">The literature has one notable gap here. Propositions 5 to 8 are rarely studied in their own right outside the Critical Guide chapters, and most of the work above reads the essay through</w:t>
      </w:r>
      <w:r>
        <w:t xml:space="preserve"> </w:t>
      </w:r>
      <w:r>
        <w:rPr>
          <w:iCs/>
          <w:i/>
        </w:rPr>
        <w:t xml:space="preserve">Perpetual Peace</w:t>
      </w:r>
      <w:r>
        <w:t xml:space="preserve"> </w:t>
      </w:r>
      <w:r>
        <w:t xml:space="preserve">and the</w:t>
      </w:r>
      <w:r>
        <w:t xml:space="preserve"> </w:t>
      </w:r>
      <w:r>
        <w:rPr>
          <w:iCs/>
          <w:i/>
        </w:rPr>
        <w:t xml:space="preserve">Doctrine of Right</w:t>
      </w:r>
      <w:r>
        <w:t xml:space="preserve">. The question of what the 1784 federation contributes to the philosophy of history, as opposed to what it anticipates in the legal writings, remains largely unaddressed.</w:t>
      </w:r>
    </w:p>
    <w:bookmarkEnd w:id="37"/>
    <w:bookmarkStart w:id="41" w:name="Xac4397a8374d0e039dfa4791ac2295c5bea3463"/>
    <w:p>
      <w:pPr>
        <w:pStyle w:val="Heading2"/>
      </w:pPr>
      <w:r>
        <w:t xml:space="preserve">Section 7: Race, Eurocentrism and the critique of progress</w:t>
      </w:r>
    </w:p>
    <w:p>
      <w:pPr>
        <w:pStyle w:val="FirstParagraph"/>
      </w:pPr>
      <w:r>
        <w:t xml:space="preserve">The Ninth Proposition’s course from Greece through Rome to Europe, and the Eighth Proposition’s expectation that Europe will eventually legislate for the rest of the world, make the essay the point at which the debate about Kant and race meets the philosophy of history. The Herder quarrel’s political axis (Section 1) returns here in a different form. The literature divides over whether the racial hierarchy of Kant’s 1780s writings was later abandoned, whether it is built into the teleology, and whether progress can be reconstructed or must be given up.</w:t>
      </w:r>
    </w:p>
    <w:bookmarkStart w:id="38" w:name="change-of-mind-versus-continuity"/>
    <w:p>
      <w:pPr>
        <w:pStyle w:val="Heading3"/>
      </w:pPr>
      <w:r>
        <w:t xml:space="preserve">7.1 Change of mind versus continuity</w:t>
      </w:r>
    </w:p>
    <w:p>
      <w:pPr>
        <w:pStyle w:val="FirstParagraph"/>
      </w:pPr>
      <w:r>
        <w:t xml:space="preserve">Flikschuh and Ypi (2014) anchor the debate in the text. The introduction to their volume notes that in the 1784 essay Kant states,</w:t>
      </w:r>
      <w:r>
        <w:t xml:space="preserve"> </w:t>
      </w:r>
      <w:r>
        <w:t xml:space="preserve">“</w:t>
      </w:r>
      <w:r>
        <w:t xml:space="preserve">without any critical distancing,</w:t>
      </w:r>
      <w:r>
        <w:t xml:space="preserve">”</w:t>
      </w:r>
      <w:r>
        <w:t xml:space="preserve"> </w:t>
      </w:r>
      <w:r>
        <w:t xml:space="preserve">that</w:t>
      </w:r>
      <w:r>
        <w:t xml:space="preserve"> </w:t>
      </w:r>
      <w:r>
        <w:t xml:space="preserve">“</w:t>
      </w:r>
      <w:r>
        <w:t xml:space="preserve">our</w:t>
      </w:r>
      <w:r>
        <w:t xml:space="preserve">”</w:t>
      </w:r>
      <w:r>
        <w:t xml:space="preserve"> </w:t>
      </w:r>
      <w:r>
        <w:t xml:space="preserve">part of the world will probably eventually give laws to all others. It reads such passages together with Kant’s hierarchical account of the races, on which only the white race contains all incentives and talents. Kleingeld (2007) gives the repair position its standard form. Commentators, she says, usually assume that Kant’s position stayed stable through the 1780s and 1790s, whether they find an inconsistent universalist or a consistent inegalitarian. She argues instead that he restricted the role of race in the 1790s and dropped the hierarchy for a more egalitarian, cosmopolitan view. Kleingeld (2014) extends the thesis to colonialism. On her account Kant endorsed and justified European colonialism until the early 1790s, his endorsement was tied to the racial hierarchy, and he gave up both in the mid-1790s. This matters for the essay because it implies that the 1784 text predates Kant’s own corrections. Bernasconi (2007), Mills (2005), Allais (2016), Hill and Boxill (2000) and Storey (2015) are the main interlocutors on either side.</w:t>
      </w:r>
    </w:p>
    <w:p>
      <w:pPr>
        <w:pStyle w:val="BodyText"/>
      </w:pPr>
      <w:r>
        <w:t xml:space="preserve">Two intermediate positions accept part of this picture. Eberl (2019) argues that Kant’s rejection of the traditional discourse of</w:t>
      </w:r>
      <w:r>
        <w:t xml:space="preserve"> </w:t>
      </w:r>
      <w:r>
        <w:t xml:space="preserve">“</w:t>
      </w:r>
      <w:r>
        <w:t xml:space="preserve">barbarism</w:t>
      </w:r>
      <w:r>
        <w:t xml:space="preserve">”</w:t>
      </w:r>
      <w:r>
        <w:t xml:space="preserve"> </w:t>
      </w:r>
      <w:r>
        <w:t xml:space="preserve">shows a critical stance towards colonial judgements of native peoples before his legal theory, and that his race theory was meant to defend the unity of mankind, not to ground a hierarchy. Mballo (2024) does not deny Kant’s racism between 1764 and 1790 and also holds that his aim in the race writings was the unity in diversity of the species, but he agrees that Kant’s views changed from 1795. Govedarica and Smajević Roljić (2024) take a deflationary line. They criticise both Kleingeld and Bernasconi, hold that Kant’s views evolved but did not change radically, and reject Bernasconi’s claim that the third</w:t>
      </w:r>
      <w:r>
        <w:t xml:space="preserve"> </w:t>
      </w:r>
      <w:r>
        <w:rPr>
          <w:iCs/>
          <w:i/>
        </w:rPr>
        <w:t xml:space="preserve">Critique</w:t>
      </w:r>
      <w:r>
        <w:t xml:space="preserve"> </w:t>
      </w:r>
      <w:r>
        <w:t xml:space="preserve">and the writings on history present racist views.</w:t>
      </w:r>
    </w:p>
    <w:p>
      <w:pPr>
        <w:pStyle w:val="BodyText"/>
      </w:pPr>
      <w:r>
        <w:t xml:space="preserve">The continuity side rejects the premise that racism can be detached from the system. Lu-Adler (2022) argues that Kant’s concept of savagery, partly defined by laziness, serves a programme of human progress and is racialised. Native Americans are credited with the same</w:t>
      </w:r>
      <w:r>
        <w:t xml:space="preserve"> </w:t>
      </w:r>
      <w:r>
        <w:t xml:space="preserve">“</w:t>
      </w:r>
      <w:r>
        <w:t xml:space="preserve">germs</w:t>
      </w:r>
      <w:r>
        <w:t xml:space="preserve">”</w:t>
      </w:r>
      <w:r>
        <w:t xml:space="preserve"> </w:t>
      </w:r>
      <w:r>
        <w:t xml:space="preserve">as Europeans but denied the industry through which perfection is reached. Lu-Adler (2023) argues in book form that Kant’s raciology is integral to his system, and she replaces the individualistic question about his beliefs with one about his position as scholar and educator in the formation of racist ideology. Huseyinzadegan (2025) supports this approach. Mosayebi (2025) argues that it makes unnecessary sacrifices and proposes combining it with Kleingeld’s individualistic approach.</w:t>
      </w:r>
    </w:p>
    <w:bookmarkEnd w:id="38"/>
    <w:bookmarkStart w:id="39" w:name="is-the-teleology-itself-racialised"/>
    <w:p>
      <w:pPr>
        <w:pStyle w:val="Heading3"/>
      </w:pPr>
      <w:r>
        <w:t xml:space="preserve">7.2 Is the teleology itself racialised?</w:t>
      </w:r>
    </w:p>
    <w:p>
      <w:pPr>
        <w:pStyle w:val="FirstParagraph"/>
      </w:pPr>
      <w:r>
        <w:t xml:space="preserve">The sharper question is whether the teleology of Section 4 carries racial content. Marwah (2022) argues that the teleological framework of Kant’s natural history makes race intelligible only in relation to a teleology that limits non-whites’ capacity for moral progress. If so, the regulative reading cannot treat the plan of nature as heuristically innocent. McNulty (2025) places Kant’s remarks that Indigenous Americans have</w:t>
      </w:r>
      <w:r>
        <w:t xml:space="preserve"> </w:t>
      </w:r>
      <w:r>
        <w:t xml:space="preserve">“</w:t>
      </w:r>
      <w:r>
        <w:t xml:space="preserve">no culture</w:t>
      </w:r>
      <w:r>
        <w:t xml:space="preserve">”</w:t>
      </w:r>
      <w:r>
        <w:t xml:space="preserve"> </w:t>
      </w:r>
      <w:r>
        <w:t xml:space="preserve">and Black people only a</w:t>
      </w:r>
      <w:r>
        <w:t xml:space="preserve"> </w:t>
      </w:r>
      <w:r>
        <w:t xml:space="preserve">“</w:t>
      </w:r>
      <w:r>
        <w:t xml:space="preserve">culture of slaves</w:t>
      </w:r>
      <w:r>
        <w:t xml:space="preserve">”</w:t>
      </w:r>
      <w:r>
        <w:t xml:space="preserve"> </w:t>
      </w:r>
      <w:r>
        <w:t xml:space="preserve">within his teleological account of history, where culture is the development of capacities to set and achieve ends. He concludes that these remarks commit Kant to the view that such persons are permanently unable to set their own ends, which supports Mills’s Untermensch reading. Larrimore (2008) reads race as serving a practical-reason-informed understanding of human destiny and as a model for the pragmatic anthropology without which Kant thought progress impossible. Basevich (2020) describes a racist pragmatic anthropology and a teleological natural history that assumes some groups failed to develop legislative reason. Papish (2024) reads radical evil together with the natural-history writings on race.</w:t>
      </w:r>
    </w:p>
    <w:p>
      <w:pPr>
        <w:pStyle w:val="BodyText"/>
      </w:pPr>
      <w:r>
        <w:t xml:space="preserve">Two further positions do not depend on a racialised teleology. Ramsauer (2023) rejects both the</w:t>
      </w:r>
      <w:r>
        <w:t xml:space="preserve"> </w:t>
      </w:r>
      <w:r>
        <w:t xml:space="preserve">“</w:t>
      </w:r>
      <w:r>
        <w:t xml:space="preserve">inconsistent egalitarian</w:t>
      </w:r>
      <w:r>
        <w:t xml:space="preserve">”</w:t>
      </w:r>
      <w:r>
        <w:t xml:space="preserve"> </w:t>
      </w:r>
      <w:r>
        <w:t xml:space="preserve">and</w:t>
      </w:r>
      <w:r>
        <w:t xml:space="preserve"> </w:t>
      </w:r>
      <w:r>
        <w:t xml:space="preserve">“</w:t>
      </w:r>
      <w:r>
        <w:t xml:space="preserve">consistent inegalitarian</w:t>
      </w:r>
      <w:r>
        <w:t xml:space="preserve">”</w:t>
      </w:r>
      <w:r>
        <w:t xml:space="preserve"> </w:t>
      </w:r>
      <w:r>
        <w:t xml:space="preserve">readings as textually problematic and argues that Kant’s moral egalitarianism is too thin to counter racism. Hahmann (2024) argues that the universalist framework itself can generate pejorative judgements of non-European cultures.</w:t>
      </w:r>
    </w:p>
    <w:bookmarkEnd w:id="39"/>
    <w:bookmarkStart w:id="40" w:name="Xf95084c3c3c1add0ac29bdeb5c2a161f5fcdeb3"/>
    <w:p>
      <w:pPr>
        <w:pStyle w:val="Heading3"/>
      </w:pPr>
      <w:r>
        <w:t xml:space="preserve">7.3 Reconstruction or abandonment of progress?</w:t>
      </w:r>
    </w:p>
    <w:p>
      <w:pPr>
        <w:pStyle w:val="FirstParagraph"/>
      </w:pPr>
      <w:r>
        <w:t xml:space="preserve">The remedies differ in how much of the progress narrative they keep. Huseyinzadegan (2019) reads Kant’s politics as including a nonideal part, built on history, anthropology and geography, whose purposive and regulative reasoning she distinguishes from the deductive ideal theory of right. Huseyinzadegan (2022) reads Mills’s</w:t>
      </w:r>
      <w:r>
        <w:t xml:space="preserve"> </w:t>
      </w:r>
      <w:r>
        <w:t xml:space="preserve">“</w:t>
      </w:r>
      <w:r>
        <w:t xml:space="preserve">Black Radical Kantianism</w:t>
      </w:r>
      <w:r>
        <w:t xml:space="preserve">”</w:t>
      </w:r>
      <w:r>
        <w:t xml:space="preserve"> </w:t>
      </w:r>
      <w:r>
        <w:t xml:space="preserve">as requiring that the real Kant and establishment Kantianism be admitted to have been racist, sexist and Eurocentric. Basevich (2022) rejects</w:t>
      </w:r>
      <w:r>
        <w:t xml:space="preserve"> </w:t>
      </w:r>
      <w:r>
        <w:t xml:space="preserve">“</w:t>
      </w:r>
      <w:r>
        <w:t xml:space="preserve">colorblind cosmopolitanism</w:t>
      </w:r>
      <w:r>
        <w:t xml:space="preserve">”</w:t>
      </w:r>
      <w:r>
        <w:t xml:space="preserve"> </w:t>
      </w:r>
      <w:r>
        <w:t xml:space="preserve">and, following Du Bois, assigns race a pragmatic role in history as an instrument of progress. McCarthy (2009) holds the idea of development to be inescapable and so retains it in a</w:t>
      </w:r>
      <w:r>
        <w:t xml:space="preserve"> </w:t>
      </w:r>
      <w:r>
        <w:t xml:space="preserve">“</w:t>
      </w:r>
      <w:r>
        <w:t xml:space="preserve">chastened and decentered</w:t>
      </w:r>
      <w:r>
        <w:t xml:space="preserve">”</w:t>
      </w:r>
      <w:r>
        <w:t xml:space="preserve"> </w:t>
      </w:r>
      <w:r>
        <w:t xml:space="preserve">form, while Allen (2016) argues that such backward-looking progress cannot ground normativity and recommends a contextualist alternative (see Section 3.3). Valdez (2019) finds limits in Kant’s cosmopolitanism that persist in neo-Kantian scholarship and builds a transnational alternative from Du Bois. Gani (2017) uses the concept of coloniality to argue that the universalism of Kantian hospitality obscures its racist context. Pascoe (2024) traces a juridical racism through Kant’s account of women’s dependency. Inglis (2025) asks whether Kant-derived cosmopolitan theory survives post-colonial critique and argues for its continued timeliness. For the postcolonial critique of historicism, see Chakrabarty (2000) and Mignolo (2011).</w:t>
      </w:r>
    </w:p>
    <w:p>
      <w:pPr>
        <w:pStyle w:val="BodyText"/>
      </w:pPr>
      <w:r>
        <w:t xml:space="preserve">These responses divide over a single question, whether the problem lies in Kant’s application of the progress narrative or in the narrative’s structure. The repair view favours the first, and the continuity and decolonial views favour the second. There are few studies that trace this dispute through the text of Propositions 5 to 9.</w:t>
      </w:r>
    </w:p>
    <w:bookmarkEnd w:id="40"/>
    <w:bookmarkEnd w:id="41"/>
    <w:bookmarkStart w:id="42" w:name="Xda6b4fb7cc7683acc57f7357fe907ce0d659104"/>
    <w:p>
      <w:pPr>
        <w:pStyle w:val="Heading2"/>
      </w:pPr>
      <w:r>
        <w:t xml:space="preserve">Section 8: The essay among Kant’s historical writings</w:t>
      </w:r>
    </w:p>
    <w:p>
      <w:pPr>
        <w:pStyle w:val="FirstParagraph"/>
      </w:pPr>
      <w:r>
        <w:t xml:space="preserve">A last dispute concerns where the 1784 essay sits in Kant’s work on history. The literature divides between readers who find development, with later texts revising the essay, and readers who find unity, with companion texts completing it.</w:t>
      </w:r>
    </w:p>
    <w:p>
      <w:pPr>
        <w:pStyle w:val="BodyText"/>
      </w:pPr>
      <w:r>
        <w:rPr>
          <w:bCs/>
          <w:b/>
        </w:rPr>
        <w:t xml:space="preserve">Development.</w:t>
      </w:r>
      <w:r>
        <w:t xml:space="preserve"> </w:t>
      </w:r>
      <w:r>
        <w:t xml:space="preserve">Heisenberg (2018) argues that Kant’s philosophy of history changed between the 1784</w:t>
      </w:r>
      <w:r>
        <w:t xml:space="preserve"> </w:t>
      </w:r>
      <w:r>
        <w:rPr>
          <w:iCs/>
          <w:i/>
        </w:rPr>
        <w:t xml:space="preserve">Idea</w:t>
      </w:r>
      <w:r>
        <w:t xml:space="preserve"> </w:t>
      </w:r>
      <w:r>
        <w:t xml:space="preserve">and the 1790 third</w:t>
      </w:r>
      <w:r>
        <w:t xml:space="preserve"> </w:t>
      </w:r>
      <w:r>
        <w:rPr>
          <w:iCs/>
          <w:i/>
        </w:rPr>
        <w:t xml:space="preserve">Critique</w:t>
      </w:r>
      <w:r>
        <w:t xml:space="preserve">. In 1784 progress comes mainly through social antagonism, and from 1790 Kant adds ethical cooperation among moral agents as a second source. This bears on the mechanism of Section 5.2 and on the objection that the essay leaves no place for moral agency. A second revision is placed in the 1790s. Williams (2024) reads the</w:t>
      </w:r>
      <w:r>
        <w:t xml:space="preserve"> </w:t>
      </w:r>
      <w:r>
        <w:rPr>
          <w:iCs/>
          <w:i/>
        </w:rPr>
        <w:t xml:space="preserve">Renewed Attempt</w:t>
      </w:r>
      <w:r>
        <w:t xml:space="preserve"> </w:t>
      </w:r>
      <w:r>
        <w:t xml:space="preserve">as complicating the earlier philosophy of history and conceding that rightful progress toward global republicanism is the most we can be sure of. Fenves (2014) takes his title from the</w:t>
      </w:r>
      <w:r>
        <w:t xml:space="preserve"> </w:t>
      </w:r>
      <w:r>
        <w:rPr>
          <w:iCs/>
          <w:i/>
        </w:rPr>
        <w:t xml:space="preserve">Conflict of the Faculties</w:t>
      </w:r>
      <w:r>
        <w:t xml:space="preserve"> </w:t>
      </w:r>
      <w:r>
        <w:t xml:space="preserve">chapter on whether the human race is constantly progressing. He argues that continual progress would require a discontinuous, revolutionary advance of positive law toward a natural right determined by reason alone.</w:t>
      </w:r>
    </w:p>
    <w:p>
      <w:pPr>
        <w:pStyle w:val="BodyText"/>
      </w:pPr>
      <w:r>
        <w:rPr>
          <w:bCs/>
          <w:b/>
        </w:rPr>
        <w:t xml:space="preserve">Unity.</w:t>
      </w:r>
      <w:r>
        <w:t xml:space="preserve"> </w:t>
      </w:r>
      <w:r>
        <w:t xml:space="preserve">Other readers treat the companion texts as completing the essay. Kant’s</w:t>
      </w:r>
      <w:r>
        <w:t xml:space="preserve"> </w:t>
      </w:r>
      <w:r>
        <w:rPr>
          <w:iCs/>
          <w:i/>
        </w:rPr>
        <w:t xml:space="preserve">Conjectural Beginning</w:t>
      </w:r>
      <w:r>
        <w:t xml:space="preserve"> </w:t>
      </w:r>
      <w:r>
        <w:t xml:space="preserve">(Kant [1786] 2007) supplies the origin narrative that the 1784 text lacks. Lenczewska (2022) reconstructs from it an account of the emergence of reason and the collective development of practical reason, against the view that the beginning of history is philosophically negligible. Lenczewska (2025) connects the speculative account of the beginning to Kant’s theory of progress and to his account of what may be hoped for. Oh (2022) argues, in a Korean-language article, that Kant’s anthropology rests on a twofold teleology, in which natural teleology extends into historical teleology and the hope for humanity’s moral perfection is in turn built on natural teleology. Reichl (2019) offers a methodological parallel. Kant long held that the historiography of philosophy has little value, and Maimon’s response to a Royal Academy prize question led him to see the history of philosophy as philosophically significant. The case differs from the 1784 programme, but it resembles it in preferring a philosophical history to an empirical one.</w:t>
      </w:r>
    </w:p>
    <w:p>
      <w:pPr>
        <w:pStyle w:val="BodyText"/>
      </w:pPr>
      <w:r>
        <w:rPr>
          <w:bCs/>
          <w:b/>
        </w:rPr>
        <w:t xml:space="preserve">Anthropology and Enlightenment.</w:t>
      </w:r>
      <w:r>
        <w:t xml:space="preserve"> </w:t>
      </w:r>
      <w:r>
        <w:t xml:space="preserve">The essay’s claims about the species draw on anthropology. Brandt (1996) traces the philosophy of history to the pragmatic anthropology that Kant developed from the early 1770s, and offers an alternative to reading the essay from the critical system. The sources lie in Kant’s lectures (Cohen 2014), and the published</w:t>
      </w:r>
      <w:r>
        <w:t xml:space="preserve"> </w:t>
      </w:r>
      <w:r>
        <w:rPr>
          <w:iCs/>
          <w:i/>
        </w:rPr>
        <w:t xml:space="preserve">Anthropology</w:t>
      </w:r>
      <w:r>
        <w:t xml:space="preserve"> </w:t>
      </w:r>
      <w:r>
        <w:t xml:space="preserve">(Kant [1798] 2007) ends with the character of the species. Louden (2011) reads this material as integral to practical philosophy. Deligiorgi (2005), finally, studies Kant’s conception of enlightenment and its culture of public reason, which bears on the relation of the</w:t>
      </w:r>
      <w:r>
        <w:t xml:space="preserve"> </w:t>
      </w:r>
      <w:r>
        <w:rPr>
          <w:iCs/>
          <w:i/>
        </w:rPr>
        <w:t xml:space="preserve">Idea</w:t>
      </w:r>
      <w:r>
        <w:t xml:space="preserve"> </w:t>
      </w:r>
      <w:r>
        <w:t xml:space="preserve">to</w:t>
      </w:r>
      <w:r>
        <w:t xml:space="preserve"> </w:t>
      </w:r>
      <w:r>
        <w:rPr>
          <w:iCs/>
          <w:i/>
        </w:rPr>
        <w:t xml:space="preserve">What is Enlightenment?</w:t>
      </w:r>
      <w:r>
        <w:t xml:space="preserve"> </w:t>
      </w:r>
      <w:r>
        <w:t xml:space="preserve">of the same year.</w:t>
      </w:r>
    </w:p>
    <w:p>
      <w:pPr>
        <w:pStyle w:val="BodyText"/>
      </w:pPr>
      <w:r>
        <w:t xml:space="preserve">The two readings make different claims about what the essay is. On the first it is an early stage that Kant later qualified. On the second it is one part of a programme that spans the pre-critical, critical and late periods. No study sets out the essay’s relations to these texts proposition by proposition, and this is one of the gaps noted in the Conclusion.</w:t>
      </w:r>
    </w:p>
    <w:bookmarkEnd w:id="42"/>
    <w:bookmarkStart w:id="43" w:name="conclusion"/>
    <w:p>
      <w:pPr>
        <w:pStyle w:val="Heading2"/>
      </w:pPr>
      <w:r>
        <w:t xml:space="preserve">Conclusion</w:t>
      </w:r>
    </w:p>
    <w:p>
      <w:pPr>
        <w:pStyle w:val="FirstParagraph"/>
      </w:pPr>
      <w:r>
        <w:t xml:space="preserve">The review began with two questions: how the 1784 essay has been read, and which disputes structure current scholarship. The answers are connected. The three axes of the Herder quarrel (method, happiness, politics) reappear, in altered form, as the three main Part II debates. Kant’s charge that Herder substituted analogy for rigour returns as the dispute over the status of the Idea. Herder’s defence of plural happiness returns as the question whether the essay subordinates moral agency to the progress of the species. His political critique of empire returns as the charge of Eurocentrism (Sikka 2007; Piirimäe 2023; Marwah 2022). Rorty and Schmidt (2009a) record that interest in progress, international justice and globalisation motivates the present revival, and the contemporary debates continue the earliest ones.</w:t>
      </w:r>
    </w:p>
    <w:p>
      <w:pPr>
        <w:pStyle w:val="BodyText"/>
      </w:pPr>
      <w:r>
        <w:t xml:space="preserve">On the first question, the regulative reading that ties the Idea to the first</w:t>
      </w:r>
      <w:r>
        <w:t xml:space="preserve"> </w:t>
      </w:r>
      <w:r>
        <w:rPr>
          <w:iCs/>
          <w:i/>
        </w:rPr>
        <w:t xml:space="preserve">Critique</w:t>
      </w:r>
      <w:r>
        <w:t xml:space="preserve"> </w:t>
      </w:r>
      <w:r>
        <w:t xml:space="preserve">is a common starting point (Allison 2009; Kuehn 2009). It is contested from several sides. Rauscher (2002) argues that the separation of empirical history from reason’s regulative role cannot be maintained, which makes the Hegelian continuation more consistent. Zammito (2008) doubts that the teleology can be naturalised. Marwah (2022) and McNulty (2025) hold that the teleology is not heuristically innocent. Chen (2023) shows that</w:t>
      </w:r>
      <w:r>
        <w:t xml:space="preserve"> </w:t>
      </w:r>
      <w:r>
        <w:t xml:space="preserve">“</w:t>
      </w:r>
      <w:r>
        <w:t xml:space="preserve">regulative</w:t>
      </w:r>
      <w:r>
        <w:t xml:space="preserve">”</w:t>
      </w:r>
      <w:r>
        <w:t xml:space="preserve"> </w:t>
      </w:r>
      <w:r>
        <w:t xml:space="preserve">need not mean</w:t>
      </w:r>
      <w:r>
        <w:t xml:space="preserve"> </w:t>
      </w:r>
      <w:r>
        <w:t xml:space="preserve">“</w:t>
      </w:r>
      <w:r>
        <w:t xml:space="preserve">dispensable</w:t>
      </w:r>
      <w:r>
        <w:t xml:space="preserve">”</w:t>
      </w:r>
      <w:r>
        <w:t xml:space="preserve">, so the label itself leaves the question open.</w:t>
      </w:r>
    </w:p>
    <w:p>
      <w:pPr>
        <w:pStyle w:val="BodyText"/>
      </w:pPr>
      <w:r>
        <w:t xml:space="preserve">Three tensions remain unresolved. The first is whether the teleology can be separated from the racial natural history. Kleingeld (2007) argues that Kant revised his racial views in the 1790s, and Lu-Adler (2023) argues that raciology is integral to the system. The two positions differ on whether the fault lies in application or in structure. The second is whether legal progress can carry moral progress. Guyer (2009), Herman (2009) and James (2019) find no moral mechanism in the essay, while Honneth (2007) reads conflict as a learning process and Heisenberg (2018) finds a second source of progress after 1790. The third is whether the 1784 federation is Kant’s early or considered view. Kleingeld (2009) holds that the later texts modify it, and Brown (2024) supports this from the history of the 1790s.</w:t>
      </w:r>
    </w:p>
    <w:p>
      <w:pPr>
        <w:pStyle w:val="BodyText"/>
      </w:pPr>
      <w:r>
        <w:t xml:space="preserve">The literature leaves several gaps. A reception history of the essay itself has not been written. The material surveyed addresses Kant’s philosophy of history, Perpetual Peace or the third</w:t>
      </w:r>
      <w:r>
        <w:t xml:space="preserve"> </w:t>
      </w:r>
      <w:r>
        <w:rPr>
          <w:iCs/>
          <w:i/>
        </w:rPr>
        <w:t xml:space="preserve">Critique</w:t>
      </w:r>
      <w:r>
        <w:t xml:space="preserve">, and the essay appears mostly as one source among others. Within Part I the gaps are specific: Hegel’s</w:t>
      </w:r>
      <w:r>
        <w:t xml:space="preserve"> </w:t>
      </w:r>
      <w:r>
        <w:rPr>
          <w:iCs/>
          <w:i/>
        </w:rPr>
        <w:t xml:space="preserve">Lectures</w:t>
      </w:r>
      <w:r>
        <w:t xml:space="preserve"> </w:t>
      </w:r>
      <w:r>
        <w:t xml:space="preserve">and Marx; Windelband, Rickert and Southwest neo-Kantianism; Cassirer’s own texts; Arendt’s, Yovel’s and Zammito’s books, known here through secondary discussions and reviews; and Enlightenment historiography in the Göttingen school. The nineteenth-century and French receptions are barely represented. In Part II, Propositions 5 to 9 are seldom studied in their own right outside the Critical Guide, and the studies that trace the race debate through them are few. Last, German- and English-language scholarship are rarely integrated, and the commentary tradition around Höffe (2011) and Brandt (1996) has little contact with the Anglophone debates over teleology and Eurocentrism. Together these gaps indicate where further work on the reception of the essay would be most useful.</w:t>
      </w:r>
    </w:p>
    <w:bookmarkEnd w:id="43"/>
    <w:bookmarkStart w:id="44" w:name="references"/>
    <w:p>
      <w:pPr>
        <w:pStyle w:val="Heading2"/>
      </w:pPr>
      <w:r>
        <w:t xml:space="preserve">References</w:t>
      </w:r>
    </w:p>
    <w:p>
      <w:pPr>
        <w:pStyle w:val="FirstParagraph"/>
      </w:pPr>
      <w:r>
        <w:t xml:space="preserve">Allais, Lucy. 2016.</w:t>
      </w:r>
      <w:r>
        <w:t xml:space="preserve"> </w:t>
      </w:r>
      <w:r>
        <w:t xml:space="preserve">“</w:t>
      </w:r>
      <w:r>
        <w:t xml:space="preserve">Kant’s Racism.</w:t>
      </w:r>
      <w:r>
        <w:t xml:space="preserve">”</w:t>
      </w:r>
    </w:p>
    <w:p>
      <w:pPr>
        <w:pStyle w:val="BodyText"/>
      </w:pPr>
      <w:r>
        <w:t xml:space="preserve">Allen, Amy. 2016.</w:t>
      </w:r>
      <w:r>
        <w:t xml:space="preserve"> </w:t>
      </w:r>
      <w:r>
        <w:t xml:space="preserve">“</w:t>
      </w:r>
      <w:r>
        <w:t xml:space="preserve">The End of Progress.</w:t>
      </w:r>
      <w:r>
        <w:t xml:space="preserve">”</w:t>
      </w:r>
    </w:p>
    <w:p>
      <w:pPr>
        <w:pStyle w:val="BodyText"/>
      </w:pPr>
      <w:r>
        <w:t xml:space="preserve">Allison, Henry E. 2009.</w:t>
      </w:r>
      <w:r>
        <w:t xml:space="preserve"> </w:t>
      </w:r>
      <w:r>
        <w:t xml:space="preserve">“</w:t>
      </w:r>
      <w:r>
        <w:t xml:space="preserve">Teleology and history in Kant: the critical foundations of Kant’s philosophy of history.</w:t>
      </w:r>
      <w:r>
        <w:t xml:space="preserve">”</w:t>
      </w:r>
      <w:r>
        <w:t xml:space="preserve"> </w:t>
      </w:r>
      <w:r>
        <w:t xml:space="preserve">In</w:t>
      </w:r>
      <w:r>
        <w:t xml:space="preserve"> </w:t>
      </w:r>
      <w:r>
        <w:rPr>
          <w:iCs/>
          <w:i/>
        </w:rPr>
        <w:t xml:space="preserve">Essays on Kant</w:t>
      </w:r>
      <w:r>
        <w:t xml:space="preserve">, 236–253. Oxford University PressOxford. https://doi.org/10.1093/acprof:oso/9780199647033.003.0018</w:t>
      </w:r>
    </w:p>
    <w:p>
      <w:pPr>
        <w:pStyle w:val="BodyText"/>
      </w:pPr>
      <w:r>
        <w:t xml:space="preserve">Ameriks, Karl. 2009.</w:t>
      </w:r>
      <w:r>
        <w:t xml:space="preserve"> </w:t>
      </w:r>
      <w:r>
        <w:t xml:space="preserve">“</w:t>
      </w:r>
      <w:r>
        <w:t xml:space="preserve">The purposive development of human capacities.</w:t>
      </w:r>
      <w:r>
        <w:t xml:space="preserve">”</w:t>
      </w:r>
      <w:r>
        <w:t xml:space="preserve"> </w:t>
      </w:r>
      <w:r>
        <w:t xml:space="preserve">In</w:t>
      </w:r>
      <w:r>
        <w:t xml:space="preserve"> </w:t>
      </w:r>
      <w:r>
        <w:rPr>
          <w:iCs/>
          <w:i/>
        </w:rPr>
        <w:t xml:space="preserve">Kant’s Idea for a Universal History with a Cosmopolitan Aim</w:t>
      </w:r>
      <w:r>
        <w:t xml:space="preserve">, edited by Rorty, Amélie Oksenberg, and James Schmidt, 46–67. Cambridge: Cambridge University Press. https://doi.org/10.1017/cbo9780511581434.004</w:t>
      </w:r>
    </w:p>
    <w:p>
      <w:pPr>
        <w:pStyle w:val="BodyText"/>
      </w:pPr>
      <w:r>
        <w:t xml:space="preserve">Ameriks, Karl. 2012.</w:t>
      </w:r>
      <w:r>
        <w:t xml:space="preserve"> </w:t>
      </w:r>
      <w:r>
        <w:t xml:space="preserve">“</w:t>
      </w:r>
      <w:r>
        <w:t xml:space="preserve">Kant’s Fateful Reviews of Herder’s Ideas.</w:t>
      </w:r>
      <w:r>
        <w:t xml:space="preserve">”</w:t>
      </w:r>
      <w:r>
        <w:t xml:space="preserve"> </w:t>
      </w:r>
      <w:r>
        <w:t xml:space="preserve">In</w:t>
      </w:r>
      <w:r>
        <w:t xml:space="preserve"> </w:t>
      </w:r>
      <w:r>
        <w:rPr>
          <w:iCs/>
          <w:i/>
        </w:rPr>
        <w:t xml:space="preserve">Kant’s Elliptical Path</w:t>
      </w:r>
      <w:r>
        <w:t xml:space="preserve">, 221–237. Oxford University Press. https://doi.org/10.1093/acprof:oso/9780199693689.003.0011</w:t>
      </w:r>
    </w:p>
    <w:p>
      <w:pPr>
        <w:pStyle w:val="BodyText"/>
      </w:pPr>
      <w:r>
        <w:t xml:space="preserve">Aramayo, R. R. 2019.</w:t>
      </w:r>
      <w:r>
        <w:t xml:space="preserve"> </w:t>
      </w:r>
      <w:r>
        <w:t xml:space="preserve">“</w:t>
      </w:r>
      <w:r>
        <w:t xml:space="preserve">The Kantian Background to Cassirer’s Political Commitment and Its Parallelisms with Kant’s Republicanism and Support of the French Revolution.</w:t>
      </w:r>
      <w:r>
        <w:t xml:space="preserve">”</w:t>
      </w:r>
    </w:p>
    <w:p>
      <w:pPr>
        <w:pStyle w:val="BodyText"/>
      </w:pPr>
      <w:r>
        <w:t xml:space="preserve">Basevich, Elvira. 2020.</w:t>
      </w:r>
      <w:r>
        <w:t xml:space="preserve"> </w:t>
      </w:r>
      <w:r>
        <w:t xml:space="preserve">“</w:t>
      </w:r>
      <w:r>
        <w:t xml:space="preserve">Reckoning With Kant on Race.</w:t>
      </w:r>
      <w:r>
        <w:t xml:space="preserve">”</w:t>
      </w:r>
      <w:r>
        <w:t xml:space="preserve"> </w:t>
      </w:r>
      <w:r>
        <w:rPr>
          <w:iCs/>
          <w:i/>
        </w:rPr>
        <w:t xml:space="preserve">The Philosophical Forum</w:t>
      </w:r>
      <w:r>
        <w:t xml:space="preserve"> </w:t>
      </w:r>
      <w:r>
        <w:t xml:space="preserve">51 (3): 221–245. https://doi.org/10.1111/phil.12263</w:t>
      </w:r>
    </w:p>
    <w:p>
      <w:pPr>
        <w:pStyle w:val="BodyText"/>
      </w:pPr>
      <w:r>
        <w:t xml:space="preserve">Basevich, Elvira. 2022.</w:t>
      </w:r>
      <w:r>
        <w:t xml:space="preserve"> </w:t>
      </w:r>
      <w:r>
        <w:t xml:space="preserve">“</w:t>
      </w:r>
      <w:r>
        <w:t xml:space="preserve">What is an Anti-Racist Philosophy of Race and History?</w:t>
      </w:r>
      <w:r>
        <w:t xml:space="preserve">”</w:t>
      </w:r>
      <w:r>
        <w:t xml:space="preserve"> </w:t>
      </w:r>
      <w:r>
        <w:rPr>
          <w:iCs/>
          <w:i/>
        </w:rPr>
        <w:t xml:space="preserve">Critical Philosophy of Race</w:t>
      </w:r>
      <w:r>
        <w:t xml:space="preserve"> </w:t>
      </w:r>
      <w:r>
        <w:t xml:space="preserve">10 (1): 71–89. https://doi.org/10.5325/critphilrace.10.1.0071</w:t>
      </w:r>
    </w:p>
    <w:p>
      <w:pPr>
        <w:pStyle w:val="BodyText"/>
      </w:pPr>
      <w:r>
        <w:t xml:space="preserve">Basevich, Elvira. 2022.</w:t>
      </w:r>
      <w:r>
        <w:t xml:space="preserve"> </w:t>
      </w:r>
      <w:r>
        <w:t xml:space="preserve">“</w:t>
      </w:r>
      <w:r>
        <w:t xml:space="preserve">The Promise and Limit of Kant’s Theory of Justice: On Race, Gender and the Structural Domination of Labourers.</w:t>
      </w:r>
      <w:r>
        <w:t xml:space="preserve">”</w:t>
      </w:r>
      <w:r>
        <w:t xml:space="preserve"> </w:t>
      </w:r>
      <w:r>
        <w:rPr>
          <w:iCs/>
          <w:i/>
        </w:rPr>
        <w:t xml:space="preserve">Kantian Review</w:t>
      </w:r>
      <w:r>
        <w:t xml:space="preserve"> </w:t>
      </w:r>
      <w:r>
        <w:t xml:space="preserve">27 (4): 541–555. https://doi.org/10.1017/s1369415422000292</w:t>
      </w:r>
    </w:p>
    <w:p>
      <w:pPr>
        <w:pStyle w:val="BodyText"/>
      </w:pPr>
      <w:r>
        <w:t xml:space="preserve">Beiner, Ronald S. 1997.</w:t>
      </w:r>
      <w:r>
        <w:t xml:space="preserve"> </w:t>
      </w:r>
      <w:r>
        <w:t xml:space="preserve">“</w:t>
      </w:r>
      <w:r>
        <w:t xml:space="preserve">Rereading Hannah Arendt’s Kant Lectures.</w:t>
      </w:r>
      <w:r>
        <w:t xml:space="preserve">”</w:t>
      </w:r>
      <w:r>
        <w:t xml:space="preserve"> </w:t>
      </w:r>
      <w:r>
        <w:rPr>
          <w:iCs/>
          <w:i/>
        </w:rPr>
        <w:t xml:space="preserve">Philosophy &amp; Social Criticism</w:t>
      </w:r>
      <w:r>
        <w:t xml:space="preserve"> </w:t>
      </w:r>
      <w:r>
        <w:t xml:space="preserve">23 (1): 21–32. https://doi.org/10.1177/019145379702300102</w:t>
      </w:r>
    </w:p>
    <w:p>
      <w:pPr>
        <w:pStyle w:val="BodyText"/>
      </w:pPr>
      <w:r>
        <w:t xml:space="preserve">Beiser, Frederick C. 2011.</w:t>
      </w:r>
      <w:r>
        <w:t xml:space="preserve"> </w:t>
      </w:r>
      <w:r>
        <w:rPr>
          <w:iCs/>
          <w:i/>
        </w:rPr>
        <w:t xml:space="preserve">The German Historicist Tradition</w:t>
      </w:r>
      <w:r>
        <w:t xml:space="preserve">. Oxford: Oxford University Press. https://doi.org/10.1093/acprof:oso/9780199691555.001.0001</w:t>
      </w:r>
    </w:p>
    <w:p>
      <w:pPr>
        <w:pStyle w:val="BodyText"/>
      </w:pPr>
      <w:r>
        <w:t xml:space="preserve">Beller, Luke. 2026.</w:t>
      </w:r>
      <w:r>
        <w:t xml:space="preserve"> </w:t>
      </w:r>
      <w:r>
        <w:t xml:space="preserve">“</w:t>
      </w:r>
      <w:r>
        <w:t xml:space="preserve">The Seeds of Peace in Kant’s Unsociable Sociability.</w:t>
      </w:r>
      <w:r>
        <w:t xml:space="preserve">”</w:t>
      </w:r>
      <w:r>
        <w:t xml:space="preserve"> </w:t>
      </w:r>
      <w:r>
        <w:rPr>
          <w:iCs/>
          <w:i/>
        </w:rPr>
        <w:t xml:space="preserve">boundary 2</w:t>
      </w:r>
      <w:r>
        <w:t xml:space="preserve"> </w:t>
      </w:r>
      <w:r>
        <w:t xml:space="preserve">53 (3): 123–139. https://doi.org/10.1215/01903659-12437301</w:t>
      </w:r>
    </w:p>
    <w:p>
      <w:pPr>
        <w:pStyle w:val="BodyText"/>
      </w:pPr>
      <w:r>
        <w:t xml:space="preserve">Bernasconi, Robert. 2007.</w:t>
      </w:r>
      <w:r>
        <w:t xml:space="preserve"> </w:t>
      </w:r>
      <w:r>
        <w:t xml:space="preserve">“</w:t>
      </w:r>
      <w:r>
        <w:t xml:space="preserve">Kant as an Unfamiliar Source of Racism.</w:t>
      </w:r>
      <w:r>
        <w:t xml:space="preserve">”</w:t>
      </w:r>
    </w:p>
    <w:p>
      <w:pPr>
        <w:pStyle w:val="BodyText"/>
      </w:pPr>
      <w:r>
        <w:t xml:space="preserve">Bittner, Rüdiger. 2009.</w:t>
      </w:r>
      <w:r>
        <w:t xml:space="preserve"> </w:t>
      </w:r>
      <w:r>
        <w:t xml:space="preserve">“</w:t>
      </w:r>
      <w:r>
        <w:t xml:space="preserve">Philosophy helps history.</w:t>
      </w:r>
      <w:r>
        <w:t xml:space="preserve">”</w:t>
      </w:r>
      <w:r>
        <w:t xml:space="preserve"> </w:t>
      </w:r>
      <w:r>
        <w:t xml:space="preserve">In</w:t>
      </w:r>
      <w:r>
        <w:t xml:space="preserve"> </w:t>
      </w:r>
      <w:r>
        <w:rPr>
          <w:iCs/>
          <w:i/>
        </w:rPr>
        <w:t xml:space="preserve">Kant’s Idea for a Universal History with a Cosmopolitan Aim</w:t>
      </w:r>
      <w:r>
        <w:t xml:space="preserve">, 231–249. Cambridge University Press. https://doi.org/10.1017/cbo9780511581434.014</w:t>
      </w:r>
    </w:p>
    <w:p>
      <w:pPr>
        <w:pStyle w:val="BodyText"/>
      </w:pPr>
      <w:r>
        <w:t xml:space="preserve">Blumenthal-Barby, Martin. 2021.</w:t>
      </w:r>
      <w:r>
        <w:t xml:space="preserve"> </w:t>
      </w:r>
      <w:r>
        <w:t xml:space="preserve">“</w:t>
      </w:r>
      <w:r>
        <w:t xml:space="preserve">“Judgment without standards</w:t>
      </w:r>
      <w:r>
        <w:t xml:space="preserve">”</w:t>
      </w:r>
      <w:r>
        <w:t xml:space="preserve">: Arendt’s Lectures on Kant’s Political Philosophy.”</w:t>
      </w:r>
    </w:p>
    <w:p>
      <w:pPr>
        <w:pStyle w:val="BodyText"/>
      </w:pPr>
      <w:r>
        <w:t xml:space="preserve">Brandt, Reinhard. 1996.</w:t>
      </w:r>
      <w:r>
        <w:t xml:space="preserve"> </w:t>
      </w:r>
      <w:r>
        <w:t xml:space="preserve">“</w:t>
      </w:r>
      <w:r>
        <w:t xml:space="preserve">Aux origines de la philosophie kantienne de l’histoire : l’anthropologie pragmatique.</w:t>
      </w:r>
      <w:r>
        <w:t xml:space="preserve">”</w:t>
      </w:r>
      <w:r>
        <w:t xml:space="preserve"> </w:t>
      </w:r>
      <w:r>
        <w:rPr>
          <w:iCs/>
          <w:i/>
        </w:rPr>
        <w:t xml:space="preserve">Revue germanique internationale</w:t>
      </w:r>
      <w:r>
        <w:t xml:space="preserve"> </w:t>
      </w:r>
      <w:r>
        <w:t xml:space="preserve">6: 19–34. https://doi.org/10.4000/rgi.575</w:t>
      </w:r>
    </w:p>
    <w:p>
      <w:pPr>
        <w:pStyle w:val="BodyText"/>
      </w:pPr>
      <w:r>
        <w:t xml:space="preserve">Brown, Garrett Wallace. 2013.</w:t>
      </w:r>
      <w:r>
        <w:t xml:space="preserve"> </w:t>
      </w:r>
      <w:r>
        <w:t xml:space="preserve">“</w:t>
      </w:r>
      <w:r>
        <w:t xml:space="preserve">The European Union and Kant’s idea of cosmopolitan right: Why the EU is not cosmopolitan.</w:t>
      </w:r>
      <w:r>
        <w:t xml:space="preserve">”</w:t>
      </w:r>
      <w:r>
        <w:t xml:space="preserve"> </w:t>
      </w:r>
      <w:r>
        <w:rPr>
          <w:iCs/>
          <w:i/>
        </w:rPr>
        <w:t xml:space="preserve">European Journal of International Relations</w:t>
      </w:r>
      <w:r>
        <w:t xml:space="preserve"> </w:t>
      </w:r>
      <w:r>
        <w:t xml:space="preserve">20 (3): 671–693. https://doi.org/10.1177/1354066113482991</w:t>
      </w:r>
    </w:p>
    <w:p>
      <w:pPr>
        <w:pStyle w:val="BodyText"/>
      </w:pPr>
      <w:r>
        <w:t xml:space="preserve">Brown, Angus Harwood. 2024.</w:t>
      </w:r>
      <w:r>
        <w:t xml:space="preserve"> </w:t>
      </w:r>
      <w:r>
        <w:t xml:space="preserve">“</w:t>
      </w:r>
      <w:r>
        <w:t xml:space="preserve">Republican hegemony as perpetual peace? Sieyes’s theory of international politics and the intellectual origins of Kant’s</w:t>
      </w:r>
      <w:r>
        <w:t xml:space="preserve">”</w:t>
      </w:r>
      <w:r>
        <w:t xml:space="preserve">federation of peoples”.”</w:t>
      </w:r>
      <w:r>
        <w:t xml:space="preserve"> </w:t>
      </w:r>
      <w:r>
        <w:rPr>
          <w:iCs/>
          <w:i/>
        </w:rPr>
        <w:t xml:space="preserve">Intellectual History Review</w:t>
      </w:r>
      <w:r>
        <w:t xml:space="preserve"> </w:t>
      </w:r>
      <w:r>
        <w:t xml:space="preserve">35: 165–183. https://doi.org/10.1080/17496977.2024.2434369</w:t>
      </w:r>
    </w:p>
    <w:p>
      <w:pPr>
        <w:pStyle w:val="BodyText"/>
      </w:pPr>
      <w:r>
        <w:t xml:space="preserve">Byrd, B. Sharon, and Joachim Hruschka. 2009.</w:t>
      </w:r>
      <w:r>
        <w:t xml:space="preserve"> </w:t>
      </w:r>
      <w:r>
        <w:rPr>
          <w:iCs/>
          <w:i/>
        </w:rPr>
        <w:t xml:space="preserve">Kant’s Doctrine of Right: A Commentary</w:t>
      </w:r>
      <w:r>
        <w:t xml:space="preserve">. Cambridge: Cambridge University Press. https://doi.org/10.1017/cbo9780511712050</w:t>
      </w:r>
    </w:p>
    <w:p>
      <w:pPr>
        <w:pStyle w:val="BodyText"/>
      </w:pPr>
      <w:r>
        <w:t xml:space="preserve">Calcagno, Antonio. 1995.</w:t>
      </w:r>
      <w:r>
        <w:t xml:space="preserve"> </w:t>
      </w:r>
      <w:r>
        <w:t xml:space="preserve">“</w:t>
      </w:r>
      <w:r>
        <w:t xml:space="preserve">Interface: Modernity and Post-Modernity.</w:t>
      </w:r>
      <w:r>
        <w:t xml:space="preserve">”</w:t>
      </w:r>
      <w:r>
        <w:t xml:space="preserve"> </w:t>
      </w:r>
      <w:r>
        <w:rPr>
          <w:iCs/>
          <w:i/>
        </w:rPr>
        <w:t xml:space="preserve">Philosophy Today</w:t>
      </w:r>
      <w:r>
        <w:t xml:space="preserve"> </w:t>
      </w:r>
      <w:r>
        <w:t xml:space="preserve">39 (4): 358–370. https://doi.org/10.5840/philtoday19953943</w:t>
      </w:r>
    </w:p>
    <w:p>
      <w:pPr>
        <w:pStyle w:val="BodyText"/>
      </w:pPr>
      <w:r>
        <w:t xml:space="preserve">Caranti, Luigi. 2006.</w:t>
      </w:r>
      <w:r>
        <w:t xml:space="preserve"> </w:t>
      </w:r>
      <w:r>
        <w:t xml:space="preserve">“</w:t>
      </w:r>
      <w:r>
        <w:t xml:space="preserve">Perpetual War for Perpetual Peace? Reflections on the Realist Critique of Kant’s Project.</w:t>
      </w:r>
      <w:r>
        <w:t xml:space="preserve">”</w:t>
      </w:r>
    </w:p>
    <w:p>
      <w:pPr>
        <w:pStyle w:val="BodyText"/>
      </w:pPr>
      <w:r>
        <w:t xml:space="preserve">Chakrabarty, Dipesh. 2000.</w:t>
      </w:r>
      <w:r>
        <w:t xml:space="preserve"> </w:t>
      </w:r>
      <w:r>
        <w:t xml:space="preserve">“</w:t>
      </w:r>
      <w:r>
        <w:t xml:space="preserve">Provincializing Europe: Postcolonial Thought and Historical Difference.</w:t>
      </w:r>
      <w:r>
        <w:t xml:space="preserve">”</w:t>
      </w:r>
    </w:p>
    <w:p>
      <w:pPr>
        <w:pStyle w:val="BodyText"/>
      </w:pPr>
      <w:r>
        <w:t xml:space="preserve">Charpenel, Eduardo. 2019.</w:t>
      </w:r>
      <w:r>
        <w:t xml:space="preserve"> </w:t>
      </w:r>
      <w:r>
        <w:t xml:space="preserve">“</w:t>
      </w:r>
      <w:r>
        <w:t xml:space="preserve">La insociable sociabilidad y la trama de la filosofía kantiana de la historia.</w:t>
      </w:r>
      <w:r>
        <w:t xml:space="preserve">”</w:t>
      </w:r>
      <w:r>
        <w:t xml:space="preserve"> </w:t>
      </w:r>
      <w:r>
        <w:rPr>
          <w:iCs/>
          <w:i/>
        </w:rPr>
        <w:t xml:space="preserve">Límite (Arica)</w:t>
      </w:r>
      <w:r>
        <w:t xml:space="preserve"> </w:t>
      </w:r>
      <w:r>
        <w:t xml:space="preserve">14. https://doi.org/10.4067/s0718-50652019000100207</w:t>
      </w:r>
    </w:p>
    <w:p>
      <w:pPr>
        <w:pStyle w:val="BodyText"/>
      </w:pPr>
      <w:r>
        <w:t xml:space="preserve">Chen, Bohang. 2023.</w:t>
      </w:r>
      <w:r>
        <w:t xml:space="preserve"> </w:t>
      </w:r>
      <w:r>
        <w:t xml:space="preserve">“</w:t>
      </w:r>
      <w:r>
        <w:t xml:space="preserve">Why Is Biological Teleology Non-constitutive (Merely Regulative) for Kant?</w:t>
      </w:r>
      <w:r>
        <w:t xml:space="preserve">”</w:t>
      </w:r>
      <w:r>
        <w:t xml:space="preserve"> </w:t>
      </w:r>
      <w:r>
        <w:rPr>
          <w:iCs/>
          <w:i/>
        </w:rPr>
        <w:t xml:space="preserve">Transversal: International Journal for the Historiography of Science</w:t>
      </w:r>
      <w:r>
        <w:t xml:space="preserve"> </w:t>
      </w:r>
      <w:r>
        <w:t xml:space="preserve">(15). https://doi.org/10.24117/2526-2270.2023.i15.09</w:t>
      </w:r>
    </w:p>
    <w:p>
      <w:pPr>
        <w:pStyle w:val="BodyText"/>
      </w:pPr>
      <w:r>
        <w:t xml:space="preserve">Chorell, Torbjörn Gustafsson. 2021.</w:t>
      </w:r>
      <w:r>
        <w:t xml:space="preserve"> </w:t>
      </w:r>
      <w:r>
        <w:t xml:space="preserve">“</w:t>
      </w:r>
      <w:r>
        <w:t xml:space="preserve">Unsecularizing history and politics: Jayne Svenungsson and Karl Löwith on meaning in history.</w:t>
      </w:r>
      <w:r>
        <w:t xml:space="preserve">”</w:t>
      </w:r>
      <w:r>
        <w:t xml:space="preserve"> </w:t>
      </w:r>
      <w:r>
        <w:rPr>
          <w:iCs/>
          <w:i/>
        </w:rPr>
        <w:t xml:space="preserve">International Journal of Philosophy and Theology</w:t>
      </w:r>
      <w:r>
        <w:t xml:space="preserve"> </w:t>
      </w:r>
      <w:r>
        <w:t xml:space="preserve">82 (2): 176–192. https://doi.org/10.1080/21692327.2021.1923558</w:t>
      </w:r>
    </w:p>
    <w:p>
      <w:pPr>
        <w:pStyle w:val="BodyText"/>
      </w:pPr>
      <w:r>
        <w:t xml:space="preserve">Clewis, Robert R. 2009.</w:t>
      </w:r>
      <w:r>
        <w:t xml:space="preserve"> </w:t>
      </w:r>
      <w:r>
        <w:rPr>
          <w:iCs/>
          <w:i/>
        </w:rPr>
        <w:t xml:space="preserve">The Kantian Sublime and the Revelation of Freedom</w:t>
      </w:r>
      <w:r>
        <w:t xml:space="preserve">. Cambridge University Press. https://doi.org/10.1017/cbo9780511576492</w:t>
      </w:r>
    </w:p>
    <w:p>
      <w:pPr>
        <w:pStyle w:val="BodyText"/>
      </w:pPr>
      <w:r>
        <w:t xml:space="preserve">Clewis, Robert R. 2009.</w:t>
      </w:r>
      <w:r>
        <w:t xml:space="preserve"> </w:t>
      </w:r>
      <w:r>
        <w:t xml:space="preserve">“</w:t>
      </w:r>
      <w:r>
        <w:t xml:space="preserve">Enthusiasm for the idea of a republic.</w:t>
      </w:r>
      <w:r>
        <w:t xml:space="preserve">”</w:t>
      </w:r>
      <w:r>
        <w:t xml:space="preserve"> </w:t>
      </w:r>
      <w:r>
        <w:t xml:space="preserve">In</w:t>
      </w:r>
      <w:r>
        <w:t xml:space="preserve"> </w:t>
      </w:r>
      <w:r>
        <w:rPr>
          <w:iCs/>
          <w:i/>
        </w:rPr>
        <w:t xml:space="preserve">The Kantian Sublime and the Revelation of Freedom</w:t>
      </w:r>
      <w:r>
        <w:t xml:space="preserve">, 200–214. Cambridge: Cambridge University Press. https://doi.org/10.1017/cbo9780511576492.008</w:t>
      </w:r>
    </w:p>
    <w:p>
      <w:pPr>
        <w:pStyle w:val="BodyText"/>
      </w:pPr>
      <w:r>
        <w:t xml:space="preserve">Cohen, Alix. 2008.</w:t>
      </w:r>
      <w:r>
        <w:t xml:space="preserve"> </w:t>
      </w:r>
      <w:r>
        <w:t xml:space="preserve">“</w:t>
      </w:r>
      <w:r>
        <w:t xml:space="preserve">Kant’s Biological Conception of History.</w:t>
      </w:r>
      <w:r>
        <w:t xml:space="preserve">”</w:t>
      </w:r>
      <w:r>
        <w:t xml:space="preserve"> </w:t>
      </w:r>
      <w:r>
        <w:rPr>
          <w:iCs/>
          <w:i/>
        </w:rPr>
        <w:t xml:space="preserve">Journal of the Philosophy of History</w:t>
      </w:r>
      <w:r>
        <w:t xml:space="preserve"> </w:t>
      </w:r>
      <w:r>
        <w:t xml:space="preserve">2 (1): 1–28. https://doi.org/10.1163/187226308x268845</w:t>
      </w:r>
    </w:p>
    <w:p>
      <w:pPr>
        <w:pStyle w:val="BodyText"/>
      </w:pPr>
      <w:r>
        <w:t xml:space="preserve">Cohen, Alix. 2009.</w:t>
      </w:r>
      <w:r>
        <w:t xml:space="preserve"> </w:t>
      </w:r>
      <w:r>
        <w:t xml:space="preserve">“</w:t>
      </w:r>
      <w:r>
        <w:t xml:space="preserve">Pragmatic Anthropology.</w:t>
      </w:r>
      <w:r>
        <w:t xml:space="preserve">”</w:t>
      </w:r>
    </w:p>
    <w:p>
      <w:pPr>
        <w:pStyle w:val="BodyText"/>
      </w:pPr>
      <w:r>
        <w:t xml:space="preserve">Cohen, Alix, ed. 2014.</w:t>
      </w:r>
      <w:r>
        <w:t xml:space="preserve"> </w:t>
      </w:r>
      <w:r>
        <w:rPr>
          <w:iCs/>
          <w:i/>
        </w:rPr>
        <w:t xml:space="preserve">Kant’s Lectures on Anthropology</w:t>
      </w:r>
      <w:r>
        <w:t xml:space="preserve">. Cambridge: Cambridge University Press. https://doi.org/10.1017/cbo9781139176170</w:t>
      </w:r>
    </w:p>
    <w:p>
      <w:pPr>
        <w:pStyle w:val="BodyText"/>
      </w:pPr>
      <w:r>
        <w:t xml:space="preserve">Cureton, Adam. 2018.</w:t>
      </w:r>
      <w:r>
        <w:t xml:space="preserve"> </w:t>
      </w:r>
      <w:r>
        <w:t xml:space="preserve">“</w:t>
      </w:r>
      <w:r>
        <w:t xml:space="preserve">Reasonable Hope in Kant’s Ethics.</w:t>
      </w:r>
      <w:r>
        <w:t xml:space="preserve">”</w:t>
      </w:r>
      <w:r>
        <w:t xml:space="preserve"> </w:t>
      </w:r>
      <w:r>
        <w:rPr>
          <w:iCs/>
          <w:i/>
        </w:rPr>
        <w:t xml:space="preserve">Kantian Review</w:t>
      </w:r>
      <w:r>
        <w:t xml:space="preserve"> </w:t>
      </w:r>
      <w:r>
        <w:t xml:space="preserve">23 (2): 181–203. https://doi.org/10.1017/s136941541800002x</w:t>
      </w:r>
    </w:p>
    <w:p>
      <w:pPr>
        <w:pStyle w:val="BodyText"/>
      </w:pPr>
      <w:r>
        <w:t xml:space="preserve">d’Entrèves, Maurizio Passerin. 2000.</w:t>
      </w:r>
      <w:r>
        <w:t xml:space="preserve"> </w:t>
      </w:r>
      <w:r>
        <w:t xml:space="preserve">“</w:t>
      </w:r>
      <w:r>
        <w:t xml:space="preserve">Critique and Enlightenment: Michel Foucault on `Was ist Aufklärung?’.</w:t>
      </w:r>
      <w:r>
        <w:t xml:space="preserve">”</w:t>
      </w:r>
      <w:r>
        <w:t xml:space="preserve"> </w:t>
      </w:r>
      <w:r>
        <w:t xml:space="preserve">In</w:t>
      </w:r>
      <w:r>
        <w:t xml:space="preserve"> </w:t>
      </w:r>
      <w:r>
        <w:rPr>
          <w:iCs/>
          <w:i/>
        </w:rPr>
        <w:t xml:space="preserve">The Enlightenment and Modernity</w:t>
      </w:r>
      <w:r>
        <w:t xml:space="preserve">, 184–203. Palgrave Macmillan UK. https://doi.org/10.1057/9780333983300_10</w:t>
      </w:r>
    </w:p>
    <w:p>
      <w:pPr>
        <w:pStyle w:val="BodyText"/>
      </w:pPr>
      <w:r>
        <w:t xml:space="preserve">Darwall, Stephen. 2014.</w:t>
      </w:r>
      <w:r>
        <w:t xml:space="preserve"> </w:t>
      </w:r>
      <w:r>
        <w:t xml:space="preserve">“</w:t>
      </w:r>
      <w:r>
        <w:t xml:space="preserve">The Social and the Sociable.</w:t>
      </w:r>
      <w:r>
        <w:t xml:space="preserve">”</w:t>
      </w:r>
      <w:r>
        <w:t xml:space="preserve"> </w:t>
      </w:r>
      <w:r>
        <w:rPr>
          <w:iCs/>
          <w:i/>
        </w:rPr>
        <w:t xml:space="preserve">Philosophical Topics</w:t>
      </w:r>
      <w:r>
        <w:t xml:space="preserve"> </w:t>
      </w:r>
      <w:r>
        <w:t xml:space="preserve">42 (1): 201–217. https://doi.org/10.5840/philtopics20144219</w:t>
      </w:r>
    </w:p>
    <w:p>
      <w:pPr>
        <w:pStyle w:val="BodyText"/>
      </w:pPr>
      <w:r>
        <w:t xml:space="preserve">Degryse, Annelies. 2011.</w:t>
      </w:r>
      <w:r>
        <w:t xml:space="preserve"> </w:t>
      </w:r>
      <w:r>
        <w:t xml:space="preserve">“</w:t>
      </w:r>
      <w:r>
        <w:t xml:space="preserve">Sensus communis as a foundation for men as political beings: Arendt’s reading of Kant’s Critique of Judgment.</w:t>
      </w:r>
      <w:r>
        <w:t xml:space="preserve">”</w:t>
      </w:r>
    </w:p>
    <w:p>
      <w:pPr>
        <w:pStyle w:val="BodyText"/>
      </w:pPr>
      <w:r>
        <w:t xml:space="preserve">Deligiorgi, Katerina. 2005.</w:t>
      </w:r>
      <w:r>
        <w:t xml:space="preserve"> </w:t>
      </w:r>
      <w:r>
        <w:rPr>
          <w:iCs/>
          <w:i/>
        </w:rPr>
        <w:t xml:space="preserve">Kant and the Culture of Enlightenment</w:t>
      </w:r>
      <w:r>
        <w:t xml:space="preserve">. Albany: State University of New York Press. https://doi.org/10.1353/book4955</w:t>
      </w:r>
    </w:p>
    <w:p>
      <w:pPr>
        <w:pStyle w:val="BodyText"/>
      </w:pPr>
      <w:r>
        <w:t xml:space="preserve">Doyle, Michael W. 2017.</w:t>
      </w:r>
      <w:r>
        <w:t xml:space="preserve"> </w:t>
      </w:r>
      <w:r>
        <w:t xml:space="preserve">“</w:t>
      </w:r>
      <w:r>
        <w:t xml:space="preserve">Kant, Liberal Legacies, and Foreign Affairs.</w:t>
      </w:r>
      <w:r>
        <w:t xml:space="preserve">”</w:t>
      </w:r>
      <w:r>
        <w:t xml:space="preserve"> </w:t>
      </w:r>
      <w:r>
        <w:t xml:space="preserve">In</w:t>
      </w:r>
      <w:r>
        <w:t xml:space="preserve"> </w:t>
      </w:r>
      <w:r>
        <w:rPr>
          <w:iCs/>
          <w:i/>
        </w:rPr>
        <w:t xml:space="preserve">Immanuel Kant</w:t>
      </w:r>
      <w:r>
        <w:t xml:space="preserve">, 503–533. Routledge. https://doi.org/10.4324/9781315252629-22</w:t>
      </w:r>
    </w:p>
    <w:p>
      <w:pPr>
        <w:pStyle w:val="BodyText"/>
      </w:pPr>
      <w:r>
        <w:t xml:space="preserve">Eberl, Oliver. 2019.</w:t>
      </w:r>
      <w:r>
        <w:t xml:space="preserve"> </w:t>
      </w:r>
      <w:r>
        <w:t xml:space="preserve">“</w:t>
      </w:r>
      <w:r>
        <w:t xml:space="preserve">Kant on Race and Barbarism: Towards a More Complex View on Racism and Anti-Colonialism in Kant.</w:t>
      </w:r>
      <w:r>
        <w:t xml:space="preserve">”</w:t>
      </w:r>
      <w:r>
        <w:t xml:space="preserve"> </w:t>
      </w:r>
      <w:r>
        <w:rPr>
          <w:iCs/>
          <w:i/>
        </w:rPr>
        <w:t xml:space="preserve">Kantian Review</w:t>
      </w:r>
      <w:r>
        <w:t xml:space="preserve"> </w:t>
      </w:r>
      <w:r>
        <w:t xml:space="preserve">24 (3): 385–413. https://doi.org/10.1017/s1369415419000189</w:t>
      </w:r>
    </w:p>
    <w:p>
      <w:pPr>
        <w:pStyle w:val="BodyText"/>
      </w:pPr>
      <w:r>
        <w:t xml:space="preserve">Fenves, Peter. 2014.</w:t>
      </w:r>
      <w:r>
        <w:t xml:space="preserve"> </w:t>
      </w:r>
      <w:r>
        <w:t xml:space="preserve">“</w:t>
      </w:r>
      <w:r>
        <w:t xml:space="preserve">Renewed Question: Whether a Philosophy of History is Possible.</w:t>
      </w:r>
      <w:r>
        <w:t xml:space="preserve">”</w:t>
      </w:r>
      <w:r>
        <w:t xml:space="preserve"> </w:t>
      </w:r>
      <w:r>
        <w:rPr>
          <w:iCs/>
          <w:i/>
        </w:rPr>
        <w:t xml:space="preserve">MLN</w:t>
      </w:r>
      <w:r>
        <w:t xml:space="preserve"> </w:t>
      </w:r>
      <w:r>
        <w:t xml:space="preserve">129 (3): 514–524. https://doi.org/10.1353/mln.2014.0061</w:t>
      </w:r>
    </w:p>
    <w:p>
      <w:pPr>
        <w:pStyle w:val="BodyText"/>
      </w:pPr>
      <w:r>
        <w:t xml:space="preserve">Ferrari, Massimo. 2023.</w:t>
      </w:r>
      <w:r>
        <w:t xml:space="preserve"> </w:t>
      </w:r>
      <w:r>
        <w:t xml:space="preserve">“</w:t>
      </w:r>
      <w:r>
        <w:t xml:space="preserve">On the eve of the “Philosophy of Symbolic Forms</w:t>
      </w:r>
      <w:r>
        <w:t xml:space="preserve">”</w:t>
      </w:r>
      <w:r>
        <w:t xml:space="preserve">: Cassirer and Hegel.”</w:t>
      </w:r>
      <w:r>
        <w:t xml:space="preserve"> </w:t>
      </w:r>
      <w:r>
        <w:rPr>
          <w:iCs/>
          <w:i/>
        </w:rPr>
        <w:t xml:space="preserve">European Journal of Philosophy</w:t>
      </w:r>
      <w:r>
        <w:t xml:space="preserve"> </w:t>
      </w:r>
      <w:r>
        <w:t xml:space="preserve">31 (4): 1125–1134. https://doi.org/10.1111/ejop.12915</w:t>
      </w:r>
    </w:p>
    <w:p>
      <w:pPr>
        <w:pStyle w:val="BodyText"/>
      </w:pPr>
      <w:r>
        <w:t xml:space="preserve">Filieri, Luigi. 2025.</w:t>
      </w:r>
      <w:r>
        <w:t xml:space="preserve"> </w:t>
      </w:r>
      <w:r>
        <w:t xml:space="preserve">“</w:t>
      </w:r>
      <w:r>
        <w:t xml:space="preserve">Aim of Nature, Aims of Freedom.</w:t>
      </w:r>
      <w:r>
        <w:t xml:space="preserve">”</w:t>
      </w:r>
      <w:r>
        <w:t xml:space="preserve"> </w:t>
      </w:r>
      <w:r>
        <w:rPr>
          <w:iCs/>
          <w:i/>
        </w:rPr>
        <w:t xml:space="preserve">Croatian journal of philosophy</w:t>
      </w:r>
      <w:r>
        <w:t xml:space="preserve"> </w:t>
      </w:r>
      <w:r>
        <w:t xml:space="preserve">25 (74): 123–132. https://doi.org/10.52685/cjp.25.74.1</w:t>
      </w:r>
    </w:p>
    <w:p>
      <w:pPr>
        <w:pStyle w:val="BodyText"/>
      </w:pPr>
      <w:r>
        <w:t xml:space="preserve">Fine, Robert, and Will Smith. 2003.</w:t>
      </w:r>
      <w:r>
        <w:t xml:space="preserve"> </w:t>
      </w:r>
      <w:r>
        <w:t xml:space="preserve">“</w:t>
      </w:r>
      <w:r>
        <w:t xml:space="preserve">Jürgen Habermas’s Theory of Cosmopolitanism.</w:t>
      </w:r>
      <w:r>
        <w:t xml:space="preserve">”</w:t>
      </w:r>
    </w:p>
    <w:p>
      <w:pPr>
        <w:pStyle w:val="BodyText"/>
      </w:pPr>
      <w:r>
        <w:t xml:space="preserve">Flikschuh, Katrin. 2000.</w:t>
      </w:r>
      <w:r>
        <w:t xml:space="preserve"> </w:t>
      </w:r>
      <w:r>
        <w:rPr>
          <w:iCs/>
          <w:i/>
        </w:rPr>
        <w:t xml:space="preserve">Kant and Modern Political Philosophy</w:t>
      </w:r>
      <w:r>
        <w:t xml:space="preserve">. Cambridge University Press. https://doi.org/10.1017/cbo9780511487187</w:t>
      </w:r>
    </w:p>
    <w:p>
      <w:pPr>
        <w:pStyle w:val="BodyText"/>
      </w:pPr>
      <w:r>
        <w:t xml:space="preserve">Flikschuh, Katrin, and Lea Ypi, eds. 2014.</w:t>
      </w:r>
      <w:r>
        <w:t xml:space="preserve"> </w:t>
      </w:r>
      <w:r>
        <w:rPr>
          <w:iCs/>
          <w:i/>
        </w:rPr>
        <w:t xml:space="preserve">Kant and Colonialism: Historical and Critical Perspectives</w:t>
      </w:r>
      <w:r>
        <w:t xml:space="preserve">. Oxford: Oxford University Press. https://doi.org/10.1093/acprof:oso/9780199669622.001.0001</w:t>
      </w:r>
    </w:p>
    <w:p>
      <w:pPr>
        <w:pStyle w:val="BodyText"/>
      </w:pPr>
      <w:r>
        <w:t xml:space="preserve">Foucault, Michel. 1984.</w:t>
      </w:r>
      <w:r>
        <w:t xml:space="preserve"> </w:t>
      </w:r>
      <w:r>
        <w:t xml:space="preserve">“</w:t>
      </w:r>
      <w:r>
        <w:t xml:space="preserve">Qu’est-ce que les Lumières ?</w:t>
      </w:r>
      <w:r>
        <w:t xml:space="preserve">”</w:t>
      </w:r>
    </w:p>
    <w:p>
      <w:pPr>
        <w:pStyle w:val="BodyText"/>
      </w:pPr>
      <w:r>
        <w:t xml:space="preserve">Frelek, Andrzej. 2025.</w:t>
      </w:r>
      <w:r>
        <w:t xml:space="preserve"> </w:t>
      </w:r>
      <w:r>
        <w:t xml:space="preserve">“</w:t>
      </w:r>
      <w:r>
        <w:t xml:space="preserve">Hope in a Warming World: Rereading Adorno on Progress.</w:t>
      </w:r>
      <w:r>
        <w:t xml:space="preserve">”</w:t>
      </w:r>
      <w:r>
        <w:t xml:space="preserve"> </w:t>
      </w:r>
      <w:r>
        <w:rPr>
          <w:iCs/>
          <w:i/>
        </w:rPr>
        <w:t xml:space="preserve">New German Critique</w:t>
      </w:r>
      <w:r>
        <w:t xml:space="preserve"> </w:t>
      </w:r>
      <w:r>
        <w:t xml:space="preserve">52 (1): 131–160. https://doi.org/10.1215/0094033x-11503213</w:t>
      </w:r>
    </w:p>
    <w:p>
      <w:pPr>
        <w:pStyle w:val="BodyText"/>
      </w:pPr>
      <w:r>
        <w:t xml:space="preserve">Förster, Eckart. 2009.</w:t>
      </w:r>
      <w:r>
        <w:t xml:space="preserve"> </w:t>
      </w:r>
      <w:r>
        <w:t xml:space="preserve">“</w:t>
      </w:r>
      <w:r>
        <w:t xml:space="preserve">The hidden plan of nature.</w:t>
      </w:r>
      <w:r>
        <w:t xml:space="preserve">”</w:t>
      </w:r>
      <w:r>
        <w:t xml:space="preserve"> </w:t>
      </w:r>
      <w:r>
        <w:t xml:space="preserve">In</w:t>
      </w:r>
      <w:r>
        <w:t xml:space="preserve"> </w:t>
      </w:r>
      <w:r>
        <w:rPr>
          <w:iCs/>
          <w:i/>
        </w:rPr>
        <w:t xml:space="preserve">Kant’s Idea for a Universal History with a Cosmopolitan Aim</w:t>
      </w:r>
      <w:r>
        <w:t xml:space="preserve">, 187–199. Cambridge University Press. https://doi.org/10.1017/cbo9780511581434.011</w:t>
      </w:r>
    </w:p>
    <w:p>
      <w:pPr>
        <w:pStyle w:val="BodyText"/>
      </w:pPr>
      <w:r>
        <w:t xml:space="preserve">Galston, William A. 1983.</w:t>
      </w:r>
      <w:r>
        <w:t xml:space="preserve"> </w:t>
      </w:r>
      <w:r>
        <w:t xml:space="preserve">“</w:t>
      </w:r>
      <w:r>
        <w:t xml:space="preserve">Kant and the Philosophy of History.</w:t>
      </w:r>
      <w:r>
        <w:t xml:space="preserve">”</w:t>
      </w:r>
      <w:r>
        <w:t xml:space="preserve"> </w:t>
      </w:r>
      <w:r>
        <w:rPr>
          <w:iCs/>
          <w:i/>
        </w:rPr>
        <w:t xml:space="preserve">The Philosophical Review</w:t>
      </w:r>
      <w:r>
        <w:t xml:space="preserve"> </w:t>
      </w:r>
      <w:r>
        <w:t xml:space="preserve">92 (2): 288. https://doi.org/10.2307/2184944</w:t>
      </w:r>
    </w:p>
    <w:p>
      <w:pPr>
        <w:pStyle w:val="BodyText"/>
      </w:pPr>
      <w:r>
        <w:t xml:space="preserve">Gani, J. K. 2017.</w:t>
      </w:r>
      <w:r>
        <w:t xml:space="preserve"> </w:t>
      </w:r>
      <w:r>
        <w:t xml:space="preserve">“</w:t>
      </w:r>
      <w:r>
        <w:t xml:space="preserve">The Erasure of Race: Cosmopolitanism and the Illusion of Kantian Hospitality.</w:t>
      </w:r>
      <w:r>
        <w:t xml:space="preserve">”</w:t>
      </w:r>
      <w:r>
        <w:t xml:space="preserve"> </w:t>
      </w:r>
      <w:r>
        <w:rPr>
          <w:iCs/>
          <w:i/>
        </w:rPr>
        <w:t xml:space="preserve">Millennium: Journal of International Studies</w:t>
      </w:r>
      <w:r>
        <w:t xml:space="preserve"> </w:t>
      </w:r>
      <w:r>
        <w:t xml:space="preserve">45 (3): 425–446. https://doi.org/10.1177/0305829817714064</w:t>
      </w:r>
    </w:p>
    <w:p>
      <w:pPr>
        <w:pStyle w:val="BodyText"/>
      </w:pPr>
      <w:r>
        <w:t xml:space="preserve">Ginsborg, Hannah. 2001.</w:t>
      </w:r>
      <w:r>
        <w:t xml:space="preserve"> </w:t>
      </w:r>
      <w:r>
        <w:t xml:space="preserve">“</w:t>
      </w:r>
      <w:r>
        <w:t xml:space="preserve">Kant on Understanding Organisms as Natural Purposes.</w:t>
      </w:r>
      <w:r>
        <w:t xml:space="preserve">”</w:t>
      </w:r>
      <w:r>
        <w:t xml:space="preserve"> </w:t>
      </w:r>
      <w:r>
        <w:t xml:space="preserve">In</w:t>
      </w:r>
      <w:r>
        <w:t xml:space="preserve"> </w:t>
      </w:r>
      <w:r>
        <w:rPr>
          <w:iCs/>
          <w:i/>
        </w:rPr>
        <w:t xml:space="preserve">Kant and the Sciences</w:t>
      </w:r>
      <w:r>
        <w:t xml:space="preserve">, 231–258. Oxford University PressNew York. https://doi.org/10.1093/0195133056.003.0012</w:t>
      </w:r>
    </w:p>
    <w:p>
      <w:pPr>
        <w:pStyle w:val="BodyText"/>
      </w:pPr>
      <w:r>
        <w:t xml:space="preserve">Govedarica, Jelena, and Milica Smajević Roljić. 2024.</w:t>
      </w:r>
      <w:r>
        <w:t xml:space="preserve"> </w:t>
      </w:r>
      <w:r>
        <w:t xml:space="preserve">“</w:t>
      </w:r>
      <w:r>
        <w:t xml:space="preserve">A Critical Assessment of Kleingeld - Bernasconi Debate On Kant’s Racism.</w:t>
      </w:r>
      <w:r>
        <w:t xml:space="preserve">”</w:t>
      </w:r>
      <w:r>
        <w:t xml:space="preserve"> </w:t>
      </w:r>
      <w:r>
        <w:rPr>
          <w:iCs/>
          <w:i/>
        </w:rPr>
        <w:t xml:space="preserve">Con-Textos Kantianos. International Journal of Philosophy</w:t>
      </w:r>
      <w:r>
        <w:t xml:space="preserve"> </w:t>
      </w:r>
      <w:r>
        <w:t xml:space="preserve">(20): 73–86. https://doi.org/10.5209/kant.95619</w:t>
      </w:r>
    </w:p>
    <w:p>
      <w:pPr>
        <w:pStyle w:val="BodyText"/>
      </w:pPr>
      <w:r>
        <w:t xml:space="preserve">Grenberg, Jeanine M. 2009.</w:t>
      </w:r>
      <w:r>
        <w:t xml:space="preserve"> </w:t>
      </w:r>
      <w:r>
        <w:t xml:space="preserve">“</w:t>
      </w:r>
      <w:r>
        <w:t xml:space="preserve">Social Dimensions of Kant’s Conception of Radical Evil.</w:t>
      </w:r>
      <w:r>
        <w:t xml:space="preserve">”</w:t>
      </w:r>
      <w:r>
        <w:t xml:space="preserve"> </w:t>
      </w:r>
      <w:r>
        <w:t xml:space="preserve">In</w:t>
      </w:r>
      <w:r>
        <w:t xml:space="preserve"> </w:t>
      </w:r>
      <w:r>
        <w:rPr>
          <w:iCs/>
          <w:i/>
        </w:rPr>
        <w:t xml:space="preserve">Kant’s Anatomy of Evil</w:t>
      </w:r>
      <w:r>
        <w:t xml:space="preserve">, 173–194. Cambridge University Press. https://doi.org/10.1017/cbo9780511691898.009</w:t>
      </w:r>
    </w:p>
    <w:p>
      <w:pPr>
        <w:pStyle w:val="BodyText"/>
      </w:pPr>
      <w:r>
        <w:t xml:space="preserve">Guyer, Paul. 2009.</w:t>
      </w:r>
      <w:r>
        <w:t xml:space="preserve"> </w:t>
      </w:r>
      <w:r>
        <w:t xml:space="preserve">“</w:t>
      </w:r>
      <w:r>
        <w:t xml:space="preserve">Kant’s Teleological Conception of Philosophy and its Development.</w:t>
      </w:r>
      <w:r>
        <w:t xml:space="preserve">”</w:t>
      </w:r>
      <w:r>
        <w:t xml:space="preserve"> </w:t>
      </w:r>
      <w:r>
        <w:rPr>
          <w:iCs/>
          <w:i/>
        </w:rPr>
        <w:t xml:space="preserve">Kant Yearbook</w:t>
      </w:r>
      <w:r>
        <w:t xml:space="preserve"> </w:t>
      </w:r>
      <w:r>
        <w:t xml:space="preserve">1 (2009): 57–98. https://doi.org/10.1515/9783110196672.57</w:t>
      </w:r>
    </w:p>
    <w:p>
      <w:pPr>
        <w:pStyle w:val="BodyText"/>
      </w:pPr>
      <w:r>
        <w:t xml:space="preserve">Guyer, Paul. 2009.</w:t>
      </w:r>
      <w:r>
        <w:t xml:space="preserve"> </w:t>
      </w:r>
      <w:r>
        <w:t xml:space="preserve">“</w:t>
      </w:r>
      <w:r>
        <w:t xml:space="preserve">The Crooked Timber of Mankind.</w:t>
      </w:r>
      <w:r>
        <w:t xml:space="preserve">”</w:t>
      </w:r>
      <w:r>
        <w:t xml:space="preserve"> </w:t>
      </w:r>
      <w:r>
        <w:t xml:space="preserve">In</w:t>
      </w:r>
      <w:r>
        <w:t xml:space="preserve"> </w:t>
      </w:r>
      <w:r>
        <w:rPr>
          <w:iCs/>
          <w:i/>
        </w:rPr>
        <w:t xml:space="preserve">Kant’s Idea for a Universal History with a Cosmopolitan Aim</w:t>
      </w:r>
      <w:r>
        <w:t xml:space="preserve">, 129–149. Cambridge University Press. https://doi.org/10.1017/cbo9780511581434.008</w:t>
      </w:r>
    </w:p>
    <w:p>
      <w:pPr>
        <w:pStyle w:val="BodyText"/>
      </w:pPr>
      <w:r>
        <w:t xml:space="preserve">Guyer, Paul. 2014.</w:t>
      </w:r>
      <w:r>
        <w:t xml:space="preserve"> </w:t>
      </w:r>
      <w:r>
        <w:t xml:space="preserve">“</w:t>
      </w:r>
      <w:r>
        <w:t xml:space="preserve">Freedom, Happiness, and Nature: Kant’s Moral Teleology (CPJ</w:t>
      </w:r>
      <w:r>
        <w:t xml:space="preserve"> </w:t>
      </w:r>
      <w:r>
        <w:t xml:space="preserve">83–4, 86–7).</w:t>
      </w:r>
      <w:r>
        <w:t xml:space="preserve">”</w:t>
      </w:r>
      <w:r>
        <w:t xml:space="preserve"> </w:t>
      </w:r>
      <w:r>
        <w:t xml:space="preserve">In</w:t>
      </w:r>
      <w:r>
        <w:t xml:space="preserve"> </w:t>
      </w:r>
      <w:r>
        <w:rPr>
          <w:iCs/>
          <w:i/>
        </w:rPr>
        <w:t xml:space="preserve">Kant’s Theory of Biology</w:t>
      </w:r>
      <w:r>
        <w:t xml:space="preserve">, 221–238. DE GRUYTER. https://doi.org/10.1515/9783110225792.221</w:t>
      </w:r>
    </w:p>
    <w:p>
      <w:pPr>
        <w:pStyle w:val="BodyText"/>
      </w:pPr>
      <w:r>
        <w:t xml:space="preserve">Habermas, Jürgen. 1992.</w:t>
      </w:r>
      <w:r>
        <w:t xml:space="preserve"> </w:t>
      </w:r>
      <w:r>
        <w:t xml:space="preserve">“</w:t>
      </w:r>
      <w:r>
        <w:t xml:space="preserve">Kant’s Idea of Perpetual Peace: With the Benefit of 200 Years’ Hindsight.</w:t>
      </w:r>
      <w:r>
        <w:t xml:space="preserve">”</w:t>
      </w:r>
    </w:p>
    <w:p>
      <w:pPr>
        <w:pStyle w:val="BodyText"/>
      </w:pPr>
      <w:r>
        <w:t xml:space="preserve">Habermas, Jürgen. 2008.</w:t>
      </w:r>
      <w:r>
        <w:t xml:space="preserve"> </w:t>
      </w:r>
      <w:r>
        <w:t xml:space="preserve">“</w:t>
      </w:r>
      <w:r>
        <w:t xml:space="preserve">The Constitutionalization of International Law and the Legitimation Problems of a Constitution for World Society.</w:t>
      </w:r>
      <w:r>
        <w:t xml:space="preserve">”</w:t>
      </w:r>
      <w:r>
        <w:t xml:space="preserve"> </w:t>
      </w:r>
      <w:r>
        <w:rPr>
          <w:iCs/>
          <w:i/>
        </w:rPr>
        <w:t xml:space="preserve">Constellations</w:t>
      </w:r>
      <w:r>
        <w:t xml:space="preserve"> </w:t>
      </w:r>
      <w:r>
        <w:t xml:space="preserve">15 (4): 444–455. https://doi.org/10.1111/j.1467-8675.2008.00510.x</w:t>
      </w:r>
    </w:p>
    <w:p>
      <w:pPr>
        <w:pStyle w:val="BodyText"/>
      </w:pPr>
      <w:r>
        <w:t xml:space="preserve">Hahmann, Andree. 2024.</w:t>
      </w:r>
      <w:r>
        <w:t xml:space="preserve"> </w:t>
      </w:r>
      <w:r>
        <w:t xml:space="preserve">“</w:t>
      </w:r>
      <w:r>
        <w:t xml:space="preserve">Universalism and racism in Kant’s critical philosophy.</w:t>
      </w:r>
      <w:r>
        <w:t xml:space="preserve">”</w:t>
      </w:r>
      <w:r>
        <w:t xml:space="preserve"> </w:t>
      </w:r>
      <w:r>
        <w:rPr>
          <w:iCs/>
          <w:i/>
        </w:rPr>
        <w:t xml:space="preserve">Rivista di estetica</w:t>
      </w:r>
      <w:r>
        <w:t xml:space="preserve"> </w:t>
      </w:r>
      <w:r>
        <w:t xml:space="preserve">87: 6–27. https://doi.org/10.4000/13tuk</w:t>
      </w:r>
    </w:p>
    <w:p>
      <w:pPr>
        <w:pStyle w:val="BodyText"/>
      </w:pPr>
      <w:r>
        <w:t xml:space="preserve">Heisenberg, Thimo. 2018.</w:t>
      </w:r>
      <w:r>
        <w:t xml:space="preserve"> </w:t>
      </w:r>
      <w:r>
        <w:t xml:space="preserve">“</w:t>
      </w:r>
      <w:r>
        <w:t xml:space="preserve">Die moralische Wende in Kants Philosophie der Geschichte.</w:t>
      </w:r>
      <w:r>
        <w:t xml:space="preserve">”</w:t>
      </w:r>
      <w:r>
        <w:t xml:space="preserve"> </w:t>
      </w:r>
      <w:r>
        <w:rPr>
          <w:iCs/>
          <w:i/>
        </w:rPr>
        <w:t xml:space="preserve">Philosophisches Jahrbuch</w:t>
      </w:r>
      <w:r>
        <w:t xml:space="preserve"> </w:t>
      </w:r>
      <w:r>
        <w:t xml:space="preserve">125 (1): 2–19. https://doi.org/10.5771/0031-8183-2018-1-2</w:t>
      </w:r>
    </w:p>
    <w:p>
      <w:pPr>
        <w:pStyle w:val="BodyText"/>
      </w:pPr>
      <w:r>
        <w:t xml:space="preserve">Herman, Barbara. 2009.</w:t>
      </w:r>
      <w:r>
        <w:t xml:space="preserve"> </w:t>
      </w:r>
      <w:r>
        <w:t xml:space="preserve">“</w:t>
      </w:r>
      <w:r>
        <w:t xml:space="preserve">A Habitat for Humanity.</w:t>
      </w:r>
      <w:r>
        <w:t xml:space="preserve">”</w:t>
      </w:r>
      <w:r>
        <w:t xml:space="preserve"> </w:t>
      </w:r>
      <w:r>
        <w:t xml:space="preserve">In</w:t>
      </w:r>
      <w:r>
        <w:t xml:space="preserve"> </w:t>
      </w:r>
      <w:r>
        <w:rPr>
          <w:iCs/>
          <w:i/>
        </w:rPr>
        <w:t xml:space="preserve">Kant’s Idea for a Universal History with a Cosmopolitan Aim</w:t>
      </w:r>
      <w:r>
        <w:t xml:space="preserve">, edited by Rorty, Amélie Oksenberg, and James Schmidt, 150–170. Cambridge: Cambridge University Press. https://doi.org/10.1017/cbo9780511581434.009</w:t>
      </w:r>
    </w:p>
    <w:p>
      <w:pPr>
        <w:pStyle w:val="BodyText"/>
      </w:pPr>
      <w:r>
        <w:t xml:space="preserve">Hill, Thomas E., and Bernard R. Boxill. 2000.</w:t>
      </w:r>
      <w:r>
        <w:t xml:space="preserve"> </w:t>
      </w:r>
      <w:r>
        <w:t xml:space="preserve">“</w:t>
      </w:r>
      <w:r>
        <w:t xml:space="preserve">Kant and Race.</w:t>
      </w:r>
      <w:r>
        <w:t xml:space="preserve">”</w:t>
      </w:r>
    </w:p>
    <w:p>
      <w:pPr>
        <w:pStyle w:val="BodyText"/>
      </w:pPr>
      <w:r>
        <w:t xml:space="preserve">Hirsch, Philipp-Alexander. 2018.</w:t>
      </w:r>
      <w:r>
        <w:t xml:space="preserve"> </w:t>
      </w:r>
      <w:r>
        <w:t xml:space="preserve">“</w:t>
      </w:r>
      <w:r>
        <w:t xml:space="preserve">Der Weltstaat als Aufgabe Oder: Warum die Weltrepublik für Kant das Vernunftideal einer Konstitutionalisierung des Völkerrechts ist.</w:t>
      </w:r>
      <w:r>
        <w:t xml:space="preserve">”</w:t>
      </w:r>
      <w:r>
        <w:t xml:space="preserve"> </w:t>
      </w:r>
      <w:r>
        <w:t xml:space="preserve">In</w:t>
      </w:r>
      <w:r>
        <w:t xml:space="preserve"> </w:t>
      </w:r>
      <w:r>
        <w:rPr>
          <w:iCs/>
          <w:i/>
        </w:rPr>
        <w:t xml:space="preserve">… jenen süßen Traum träumen</w:t>
      </w:r>
      <w:r>
        <w:t xml:space="preserve">, 19–50. Nomos Verlagsgesellschaft mbH &amp; Co. KG. https://doi.org/10.5771/9783845293486-19</w:t>
      </w:r>
    </w:p>
    <w:p>
      <w:pPr>
        <w:pStyle w:val="BodyText"/>
      </w:pPr>
      <w:r>
        <w:t xml:space="preserve">Hoesch, Matthias. 2012.</w:t>
      </w:r>
      <w:r>
        <w:t xml:space="preserve"> </w:t>
      </w:r>
      <w:r>
        <w:t xml:space="preserve">“</w:t>
      </w:r>
      <w:r>
        <w:t xml:space="preserve">Lässt Kants Völkerbund als Mitgliedsstaaten nur Republiken zu?</w:t>
      </w:r>
      <w:r>
        <w:t xml:space="preserve">”</w:t>
      </w:r>
      <w:r>
        <w:t xml:space="preserve"> </w:t>
      </w:r>
      <w:r>
        <w:rPr>
          <w:iCs/>
          <w:i/>
        </w:rPr>
        <w:t xml:space="preserve">Kant-Studien</w:t>
      </w:r>
      <w:r>
        <w:t xml:space="preserve"> </w:t>
      </w:r>
      <w:r>
        <w:t xml:space="preserve">103 (1). https://doi.org/10.1515/kant-2012-0006</w:t>
      </w:r>
    </w:p>
    <w:p>
      <w:pPr>
        <w:pStyle w:val="BodyText"/>
      </w:pPr>
      <w:r>
        <w:t xml:space="preserve">Honneth, Axel. 2007.</w:t>
      </w:r>
      <w:r>
        <w:t xml:space="preserve"> </w:t>
      </w:r>
      <w:r>
        <w:t xml:space="preserve">“</w:t>
      </w:r>
      <w:r>
        <w:t xml:space="preserve">The Irreducibility of Progress: Kant’s Account of the Relationship between Morality and History.</w:t>
      </w:r>
      <w:r>
        <w:t xml:space="preserve">”</w:t>
      </w:r>
      <w:r>
        <w:t xml:space="preserve"> </w:t>
      </w:r>
      <w:r>
        <w:rPr>
          <w:iCs/>
          <w:i/>
        </w:rPr>
        <w:t xml:space="preserve">Critical Horizons</w:t>
      </w:r>
      <w:r>
        <w:t xml:space="preserve"> </w:t>
      </w:r>
      <w:r>
        <w:t xml:space="preserve">8 (1): 1–17. https://doi.org/10.1558/crit.v8i1.1</w:t>
      </w:r>
    </w:p>
    <w:p>
      <w:pPr>
        <w:pStyle w:val="BodyText"/>
      </w:pPr>
      <w:r>
        <w:t xml:space="preserve">Hurrell, Andrew. 1990.</w:t>
      </w:r>
      <w:r>
        <w:t xml:space="preserve"> </w:t>
      </w:r>
      <w:r>
        <w:t xml:space="preserve">“</w:t>
      </w:r>
      <w:r>
        <w:t xml:space="preserve">Kant and the Kantian paradigm in international relations.</w:t>
      </w:r>
      <w:r>
        <w:t xml:space="preserve">”</w:t>
      </w:r>
      <w:r>
        <w:t xml:space="preserve"> </w:t>
      </w:r>
      <w:r>
        <w:rPr>
          <w:iCs/>
          <w:i/>
        </w:rPr>
        <w:t xml:space="preserve">Review of International Studies</w:t>
      </w:r>
      <w:r>
        <w:t xml:space="preserve"> </w:t>
      </w:r>
      <w:r>
        <w:t xml:space="preserve">16 (3): 183–205. https://doi.org/10.1017/s026021050011246x</w:t>
      </w:r>
    </w:p>
    <w:p>
      <w:pPr>
        <w:pStyle w:val="BodyText"/>
      </w:pPr>
      <w:r>
        <w:t xml:space="preserve">Huseyinzadegan, Dilek. 2019.</w:t>
      </w:r>
      <w:r>
        <w:t xml:space="preserve"> </w:t>
      </w:r>
      <w:r>
        <w:rPr>
          <w:iCs/>
          <w:i/>
        </w:rPr>
        <w:t xml:space="preserve">Kant’s Nonideal Theory of Politics</w:t>
      </w:r>
      <w:r>
        <w:t xml:space="preserve">. Northwestern University Press. https://doi.org/10.2307/j.ctvdtphp4</w:t>
      </w:r>
    </w:p>
    <w:p>
      <w:pPr>
        <w:pStyle w:val="BodyText"/>
      </w:pPr>
      <w:r>
        <w:t xml:space="preserve">Huseyinzadegan, Dilek. 2022.</w:t>
      </w:r>
      <w:r>
        <w:t xml:space="preserve"> </w:t>
      </w:r>
      <w:r>
        <w:t xml:space="preserve">“</w:t>
      </w:r>
      <w:r>
        <w:t xml:space="preserve">Charles Mills’</w:t>
      </w:r>
      <w:r>
        <w:t xml:space="preserve"> </w:t>
      </w:r>
      <w:r>
        <w:t xml:space="preserve">‘</w:t>
      </w:r>
      <w:r>
        <w:t xml:space="preserve">Black Radical Kantianism</w:t>
      </w:r>
      <w:r>
        <w:t xml:space="preserve">’</w:t>
      </w:r>
      <w:r>
        <w:t xml:space="preserve"> </w:t>
      </w:r>
      <w:r>
        <w:t xml:space="preserve">as a Plot Twist for Kant Studies and Contemporary Kantian-Liberal Political Philosophy.</w:t>
      </w:r>
      <w:r>
        <w:t xml:space="preserve">”</w:t>
      </w:r>
      <w:r>
        <w:t xml:space="preserve"> </w:t>
      </w:r>
      <w:r>
        <w:rPr>
          <w:iCs/>
          <w:i/>
        </w:rPr>
        <w:t xml:space="preserve">Kantian Review</w:t>
      </w:r>
      <w:r>
        <w:t xml:space="preserve"> </w:t>
      </w:r>
      <w:r>
        <w:t xml:space="preserve">27 (4): 651–665. https://doi.org/10.1017/s1369415422000310</w:t>
      </w:r>
    </w:p>
    <w:p>
      <w:pPr>
        <w:pStyle w:val="BodyText"/>
      </w:pPr>
      <w:r>
        <w:t xml:space="preserve">Huseyinzadegan, Dilek. 2025.</w:t>
      </w:r>
      <w:r>
        <w:t xml:space="preserve"> </w:t>
      </w:r>
      <w:r>
        <w:t xml:space="preserve">“</w:t>
      </w:r>
      <w:r>
        <w:t xml:space="preserve">Observations on Kant, Race, and Racism.</w:t>
      </w:r>
      <w:r>
        <w:t xml:space="preserve">”</w:t>
      </w:r>
    </w:p>
    <w:p>
      <w:pPr>
        <w:pStyle w:val="BodyText"/>
      </w:pPr>
      <w:r>
        <w:t xml:space="preserve">Höffe, Otfried. 1995.</w:t>
      </w:r>
      <w:r>
        <w:t xml:space="preserve"> </w:t>
      </w:r>
      <w:r>
        <w:t xml:space="preserve">“</w:t>
      </w:r>
      <w:r>
        <w:t xml:space="preserve">Völkerbund oder Weltrepublik?</w:t>
      </w:r>
      <w:r>
        <w:t xml:space="preserve">”</w:t>
      </w:r>
    </w:p>
    <w:p>
      <w:pPr>
        <w:pStyle w:val="BodyText"/>
      </w:pPr>
      <w:r>
        <w:t xml:space="preserve">Höffe, Otfried. 2007.</w:t>
      </w:r>
      <w:r>
        <w:t xml:space="preserve"> </w:t>
      </w:r>
      <w:r>
        <w:t xml:space="preserve">“</w:t>
      </w:r>
      <w:r>
        <w:t xml:space="preserve">Kants universaler Kosmopolitismus.</w:t>
      </w:r>
      <w:r>
        <w:t xml:space="preserve">”</w:t>
      </w:r>
      <w:r>
        <w:t xml:space="preserve"> </w:t>
      </w:r>
      <w:r>
        <w:rPr>
          <w:iCs/>
          <w:i/>
        </w:rPr>
        <w:t xml:space="preserve">Deutsche Zeitschrift für Philosophie</w:t>
      </w:r>
      <w:r>
        <w:t xml:space="preserve"> </w:t>
      </w:r>
      <w:r>
        <w:t xml:space="preserve">55 (2): 179–191. https://doi.org/10.1524/dzph.2007.55.2.179</w:t>
      </w:r>
    </w:p>
    <w:p>
      <w:pPr>
        <w:pStyle w:val="BodyText"/>
      </w:pPr>
      <w:r>
        <w:t xml:space="preserve">Höffe, Otfried, ed. 2011.</w:t>
      </w:r>
      <w:r>
        <w:t xml:space="preserve"> </w:t>
      </w:r>
      <w:r>
        <w:rPr>
          <w:iCs/>
          <w:i/>
        </w:rPr>
        <w:t xml:space="preserve">Immanuel Kant: Schriften zur Geschichtsphilosophie</w:t>
      </w:r>
      <w:r>
        <w:t xml:space="preserve">. Berlin: Akademie Verlag. https://doi.org/10.1524/9783050057408</w:t>
      </w:r>
    </w:p>
    <w:p>
      <w:pPr>
        <w:pStyle w:val="BodyText"/>
      </w:pPr>
      <w:r>
        <w:t xml:space="preserve">Inglis, David. 2025.</w:t>
      </w:r>
      <w:r>
        <w:t xml:space="preserve"> </w:t>
      </w:r>
      <w:r>
        <w:t xml:space="preserve">“</w:t>
      </w:r>
      <w:r>
        <w:t xml:space="preserve">In Time, or Too Late, for Kant? Kant-Derived Cosmopolitan Theory Beyond Post-Colonial Critique.</w:t>
      </w:r>
      <w:r>
        <w:t xml:space="preserve">”</w:t>
      </w:r>
      <w:r>
        <w:t xml:space="preserve"> </w:t>
      </w:r>
      <w:r>
        <w:rPr>
          <w:iCs/>
          <w:i/>
        </w:rPr>
        <w:t xml:space="preserve">Philosophy of the Social Sciences</w:t>
      </w:r>
      <w:r>
        <w:t xml:space="preserve"> </w:t>
      </w:r>
      <w:r>
        <w:t xml:space="preserve">55 (4): 287–308. https://doi.org/10.1177/00483931251327321</w:t>
      </w:r>
    </w:p>
    <w:p>
      <w:pPr>
        <w:pStyle w:val="BodyText"/>
      </w:pPr>
      <w:r>
        <w:t xml:space="preserve">James, David. 2019.</w:t>
      </w:r>
      <w:r>
        <w:t xml:space="preserve"> </w:t>
      </w:r>
      <w:r>
        <w:t xml:space="preserve">“</w:t>
      </w:r>
      <w:r>
        <w:t xml:space="preserve">Practical Necessity and the Fulfilment of the Plan of Nature in Kant’s Idea for a Universal History.</w:t>
      </w:r>
      <w:r>
        <w:t xml:space="preserve">”</w:t>
      </w:r>
      <w:r>
        <w:t xml:space="preserve"> </w:t>
      </w:r>
      <w:r>
        <w:rPr>
          <w:iCs/>
          <w:i/>
        </w:rPr>
        <w:t xml:space="preserve">Journal of the Philosophy of History</w:t>
      </w:r>
      <w:r>
        <w:t xml:space="preserve"> </w:t>
      </w:r>
      <w:r>
        <w:t xml:space="preserve">13 (1): 42–65. https://doi.org/10.1163/18722636-12341361</w:t>
      </w:r>
    </w:p>
    <w:p>
      <w:pPr>
        <w:pStyle w:val="BodyText"/>
      </w:pPr>
      <w:r>
        <w:t xml:space="preserve">Kant, Immanuel. [1784] 2007.</w:t>
      </w:r>
      <w:r>
        <w:t xml:space="preserve"> </w:t>
      </w:r>
      <w:r>
        <w:t xml:space="preserve">“</w:t>
      </w:r>
      <w:r>
        <w:t xml:space="preserve">Idea for a universal history with a cosmopolitan aim.</w:t>
      </w:r>
      <w:r>
        <w:t xml:space="preserve">”</w:t>
      </w:r>
      <w:r>
        <w:t xml:space="preserve"> </w:t>
      </w:r>
      <w:r>
        <w:t xml:space="preserve">Translated by Allen W. Wood. In</w:t>
      </w:r>
      <w:r>
        <w:t xml:space="preserve"> </w:t>
      </w:r>
      <w:r>
        <w:rPr>
          <w:iCs/>
          <w:i/>
        </w:rPr>
        <w:t xml:space="preserve">Anthropology, History, and Education</w:t>
      </w:r>
      <w:r>
        <w:t xml:space="preserve">, edited by Robert B. Louden and Günter Zöller, 107–120. Cambridge: Cambridge University Press. https://doi.org/10.1017/cbo9780511791925.010</w:t>
      </w:r>
    </w:p>
    <w:p>
      <w:pPr>
        <w:pStyle w:val="BodyText"/>
      </w:pPr>
      <w:r>
        <w:t xml:space="preserve">Kant, Immanuel. [1785] 2007.</w:t>
      </w:r>
      <w:r>
        <w:t xml:space="preserve"> </w:t>
      </w:r>
      <w:r>
        <w:t xml:space="preserve">“</w:t>
      </w:r>
      <w:r>
        <w:t xml:space="preserve">Review of J. G. Herder’s Ideas for the philosophy of the history of humanity. Parts 1 and 2.</w:t>
      </w:r>
      <w:r>
        <w:t xml:space="preserve">”</w:t>
      </w:r>
      <w:r>
        <w:t xml:space="preserve"> </w:t>
      </w:r>
      <w:r>
        <w:t xml:space="preserve">Translated by Allen W. Wood. In</w:t>
      </w:r>
      <w:r>
        <w:t xml:space="preserve"> </w:t>
      </w:r>
      <w:r>
        <w:rPr>
          <w:iCs/>
          <w:i/>
        </w:rPr>
        <w:t xml:space="preserve">Anthropology, History, and Education</w:t>
      </w:r>
      <w:r>
        <w:t xml:space="preserve">, edited by Robert B. Louden and Günter Zöller, 121–142. Cambridge: Cambridge University Press. https://doi.org/10.1017/cbo9780511791925.011</w:t>
      </w:r>
    </w:p>
    <w:p>
      <w:pPr>
        <w:pStyle w:val="BodyText"/>
      </w:pPr>
      <w:r>
        <w:t xml:space="preserve">Kant, Immanuel. [1786] 2007.</w:t>
      </w:r>
      <w:r>
        <w:t xml:space="preserve"> </w:t>
      </w:r>
      <w:r>
        <w:t xml:space="preserve">“</w:t>
      </w:r>
      <w:r>
        <w:t xml:space="preserve">Conjectural beginning of human history.</w:t>
      </w:r>
      <w:r>
        <w:t xml:space="preserve">”</w:t>
      </w:r>
      <w:r>
        <w:t xml:space="preserve"> </w:t>
      </w:r>
      <w:r>
        <w:t xml:space="preserve">Translated by Allen W. Wood. In</w:t>
      </w:r>
      <w:r>
        <w:t xml:space="preserve"> </w:t>
      </w:r>
      <w:r>
        <w:rPr>
          <w:iCs/>
          <w:i/>
        </w:rPr>
        <w:t xml:space="preserve">Anthropology, History, and Education</w:t>
      </w:r>
      <w:r>
        <w:t xml:space="preserve">, edited by Robert B. Louden and Günter Zöller, 160–175. Cambridge: Cambridge University Press. https://doi.org/10.1017/cbo9780511791925.013</w:t>
      </w:r>
    </w:p>
    <w:p>
      <w:pPr>
        <w:pStyle w:val="BodyText"/>
      </w:pPr>
      <w:r>
        <w:t xml:space="preserve">Kant, Immanuel. [1798] 2007.</w:t>
      </w:r>
      <w:r>
        <w:t xml:space="preserve"> </w:t>
      </w:r>
      <w:r>
        <w:t xml:space="preserve">“</w:t>
      </w:r>
      <w:r>
        <w:t xml:space="preserve">Anthropology from a pragmatic point of view.</w:t>
      </w:r>
      <w:r>
        <w:t xml:space="preserve">”</w:t>
      </w:r>
      <w:r>
        <w:t xml:space="preserve"> </w:t>
      </w:r>
      <w:r>
        <w:t xml:space="preserve">Translated by Robert B. Louden. In</w:t>
      </w:r>
      <w:r>
        <w:t xml:space="preserve"> </w:t>
      </w:r>
      <w:r>
        <w:rPr>
          <w:iCs/>
          <w:i/>
        </w:rPr>
        <w:t xml:space="preserve">Anthropology, History, and Education</w:t>
      </w:r>
      <w:r>
        <w:t xml:space="preserve">, edited by Robert B. Louden and Günter Zöller, 227–429. Cambridge: Cambridge University Press. https://doi.org/10.1017/cbo9780511791925.018</w:t>
      </w:r>
    </w:p>
    <w:p>
      <w:pPr>
        <w:pStyle w:val="BodyText"/>
      </w:pPr>
      <w:r>
        <w:t xml:space="preserve">Kim, Hwa-Sung. 2010.</w:t>
      </w:r>
      <w:r>
        <w:t xml:space="preserve"> </w:t>
      </w:r>
      <w:r>
        <w:t xml:space="preserve">“</w:t>
      </w:r>
      <w:r>
        <w:t xml:space="preserve">Radikales Boese und ungesellige Geselligkeit - Eine kritische Betrachtung zur Interpretation Woods über Kant.</w:t>
      </w:r>
      <w:r>
        <w:t xml:space="preserve">”</w:t>
      </w:r>
    </w:p>
    <w:p>
      <w:pPr>
        <w:pStyle w:val="BodyText"/>
      </w:pPr>
      <w:r>
        <w:t xml:space="preserve">Klein, Joel T. 2022.</w:t>
      </w:r>
      <w:r>
        <w:t xml:space="preserve"> </w:t>
      </w:r>
      <w:r>
        <w:t xml:space="preserve">“</w:t>
      </w:r>
      <w:r>
        <w:t xml:space="preserve">Permissive Laws and Teleology in Kant’s Juridical and Political Philosophy.</w:t>
      </w:r>
      <w:r>
        <w:t xml:space="preserve">”</w:t>
      </w:r>
      <w:r>
        <w:t xml:space="preserve"> </w:t>
      </w:r>
      <w:r>
        <w:rPr>
          <w:iCs/>
          <w:i/>
        </w:rPr>
        <w:t xml:space="preserve">Kantian Review</w:t>
      </w:r>
      <w:r>
        <w:t xml:space="preserve"> </w:t>
      </w:r>
      <w:r>
        <w:t xml:space="preserve">27 (2): 215–236. https://doi.org/10.1017/s1369415421000510</w:t>
      </w:r>
    </w:p>
    <w:p>
      <w:pPr>
        <w:pStyle w:val="BodyText"/>
      </w:pPr>
      <w:r>
        <w:t xml:space="preserve">Klein, Joel Thiago. 2026.</w:t>
      </w:r>
      <w:r>
        <w:t xml:space="preserve"> </w:t>
      </w:r>
      <w:r>
        <w:t xml:space="preserve">“</w:t>
      </w:r>
      <w:r>
        <w:t xml:space="preserve">Kant’s Concept of Unsocial Sociability.</w:t>
      </w:r>
      <w:r>
        <w:t xml:space="preserve">”</w:t>
      </w:r>
      <w:r>
        <w:t xml:space="preserve"> </w:t>
      </w:r>
      <w:r>
        <w:t xml:space="preserve">In</w:t>
      </w:r>
      <w:r>
        <w:t xml:space="preserve"> </w:t>
      </w:r>
      <w:r>
        <w:rPr>
          <w:iCs/>
          <w:i/>
        </w:rPr>
        <w:t xml:space="preserve">Kant and the Space of Feelings</w:t>
      </w:r>
      <w:r>
        <w:t xml:space="preserve">, 33–46. De Gruyter. https://doi.org/10.1515/9783111608136-005</w:t>
      </w:r>
    </w:p>
    <w:p>
      <w:pPr>
        <w:pStyle w:val="BodyText"/>
      </w:pPr>
      <w:r>
        <w:t xml:space="preserve">Kleingeld, P. 1999.</w:t>
      </w:r>
      <w:r>
        <w:t xml:space="preserve"> </w:t>
      </w:r>
      <w:r>
        <w:t xml:space="preserve">“</w:t>
      </w:r>
      <w:r>
        <w:t xml:space="preserve">Kant, History, and the Idea of Moral Development.</w:t>
      </w:r>
      <w:r>
        <w:t xml:space="preserve">”</w:t>
      </w:r>
    </w:p>
    <w:p>
      <w:pPr>
        <w:pStyle w:val="BodyText"/>
      </w:pPr>
      <w:r>
        <w:t xml:space="preserve">Kleingeld, Pauline. 1999.</w:t>
      </w:r>
      <w:r>
        <w:t xml:space="preserve"> </w:t>
      </w:r>
      <w:r>
        <w:t xml:space="preserve">“</w:t>
      </w:r>
      <w:r>
        <w:t xml:space="preserve">Six Varieties of Cosmopolitanism in Late Eighteenth-Century Germany.</w:t>
      </w:r>
      <w:r>
        <w:t xml:space="preserve">”</w:t>
      </w:r>
      <w:r>
        <w:t xml:space="preserve"> </w:t>
      </w:r>
      <w:r>
        <w:rPr>
          <w:iCs/>
          <w:i/>
        </w:rPr>
        <w:t xml:space="preserve">Journal of the History of Ideas</w:t>
      </w:r>
      <w:r>
        <w:t xml:space="preserve"> </w:t>
      </w:r>
      <w:r>
        <w:t xml:space="preserve">60 (3): 505–524. https://doi.org/10.1353/jhi.1999.0025</w:t>
      </w:r>
    </w:p>
    <w:p>
      <w:pPr>
        <w:pStyle w:val="BodyText"/>
      </w:pPr>
      <w:r>
        <w:t xml:space="preserve">Kleingeld, Pauline. 2001.</w:t>
      </w:r>
      <w:r>
        <w:t xml:space="preserve"> </w:t>
      </w:r>
      <w:r>
        <w:t xml:space="preserve">“</w:t>
      </w:r>
      <w:r>
        <w:t xml:space="preserve">Nature or Providence? On the Theoretical and Moral Importance of Kant’s Philosophy of History.</w:t>
      </w:r>
      <w:r>
        <w:t xml:space="preserve">”</w:t>
      </w:r>
      <w:r>
        <w:t xml:space="preserve"> </w:t>
      </w:r>
      <w:r>
        <w:rPr>
          <w:iCs/>
          <w:i/>
        </w:rPr>
        <w:t xml:space="preserve">American Catholic Philosophical Quarterly</w:t>
      </w:r>
      <w:r>
        <w:t xml:space="preserve"> </w:t>
      </w:r>
      <w:r>
        <w:t xml:space="preserve">75 (2): 201–219. https://doi.org/10.5840/acpq200175216</w:t>
      </w:r>
    </w:p>
    <w:p>
      <w:pPr>
        <w:pStyle w:val="BodyText"/>
      </w:pPr>
      <w:r>
        <w:t xml:space="preserve">Kleingeld, Pauline. 2004.</w:t>
      </w:r>
      <w:r>
        <w:t xml:space="preserve"> </w:t>
      </w:r>
      <w:r>
        <w:t xml:space="preserve">“</w:t>
      </w:r>
      <w:r>
        <w:t xml:space="preserve">Approaching Perpetual Peace: Kant’s Defence of a League of States and his Ideal of a World Federation.</w:t>
      </w:r>
      <w:r>
        <w:t xml:space="preserve">”</w:t>
      </w:r>
      <w:r>
        <w:t xml:space="preserve"> </w:t>
      </w:r>
      <w:r>
        <w:rPr>
          <w:iCs/>
          <w:i/>
        </w:rPr>
        <w:t xml:space="preserve">European Journal of Philosophy</w:t>
      </w:r>
      <w:r>
        <w:t xml:space="preserve"> </w:t>
      </w:r>
      <w:r>
        <w:t xml:space="preserve">12: 304–325. https://doi.org/10.1111/J.0966-8373.2004.00212.X</w:t>
      </w:r>
    </w:p>
    <w:p>
      <w:pPr>
        <w:pStyle w:val="BodyText"/>
      </w:pPr>
      <w:r>
        <w:t xml:space="preserve">Kleingeld, Pauline. 2007.</w:t>
      </w:r>
      <w:r>
        <w:t xml:space="preserve"> </w:t>
      </w:r>
      <w:r>
        <w:t xml:space="preserve">“</w:t>
      </w:r>
      <w:r>
        <w:t xml:space="preserve">Kant’s Second Thoughts on Race.</w:t>
      </w:r>
      <w:r>
        <w:t xml:space="preserve">”</w:t>
      </w:r>
      <w:r>
        <w:t xml:space="preserve"> </w:t>
      </w:r>
      <w:r>
        <w:rPr>
          <w:iCs/>
          <w:i/>
        </w:rPr>
        <w:t xml:space="preserve">The Philosophical Quarterly</w:t>
      </w:r>
      <w:r>
        <w:t xml:space="preserve"> </w:t>
      </w:r>
      <w:r>
        <w:t xml:space="preserve">57 (229): 573–592. https://doi.org/10.1111/j.1467-9213.2007.498.x</w:t>
      </w:r>
    </w:p>
    <w:p>
      <w:pPr>
        <w:pStyle w:val="BodyText"/>
      </w:pPr>
      <w:r>
        <w:t xml:space="preserve">Kleingeld, Pauline. 2008.</w:t>
      </w:r>
      <w:r>
        <w:t xml:space="preserve"> </w:t>
      </w:r>
      <w:r>
        <w:t xml:space="preserve">“</w:t>
      </w:r>
      <w:r>
        <w:t xml:space="preserve">Kant on historiography and the use of regulative ideas.</w:t>
      </w:r>
      <w:r>
        <w:t xml:space="preserve">”</w:t>
      </w:r>
      <w:r>
        <w:t xml:space="preserve"> </w:t>
      </w:r>
      <w:r>
        <w:rPr>
          <w:iCs/>
          <w:i/>
        </w:rPr>
        <w:t xml:space="preserve">Studies in History and Philosophy of Science Part A</w:t>
      </w:r>
      <w:r>
        <w:t xml:space="preserve"> </w:t>
      </w:r>
      <w:r>
        <w:t xml:space="preserve">39 (4): 523–528. https://doi.org/10.1016/j.shpsa.2008.09.006</w:t>
      </w:r>
    </w:p>
    <w:p>
      <w:pPr>
        <w:pStyle w:val="BodyText"/>
      </w:pPr>
      <w:r>
        <w:t xml:space="preserve">Kleingeld, Pauline. 2009.</w:t>
      </w:r>
      <w:r>
        <w:t xml:space="preserve"> </w:t>
      </w:r>
      <w:r>
        <w:t xml:space="preserve">“</w:t>
      </w:r>
      <w:r>
        <w:t xml:space="preserve">Kant’s Changing Cosmopolitanism.</w:t>
      </w:r>
      <w:r>
        <w:t xml:space="preserve">”</w:t>
      </w:r>
      <w:r>
        <w:t xml:space="preserve"> </w:t>
      </w:r>
      <w:r>
        <w:t xml:space="preserve">https://doi.org/10.1017/cbo9780511581434.010</w:t>
      </w:r>
    </w:p>
    <w:p>
      <w:pPr>
        <w:pStyle w:val="BodyText"/>
      </w:pPr>
      <w:r>
        <w:t xml:space="preserve">Kleingeld, Pauline. 2011.</w:t>
      </w:r>
      <w:r>
        <w:t xml:space="preserve"> </w:t>
      </w:r>
      <w:r>
        <w:t xml:space="preserve">“</w:t>
      </w:r>
      <w:r>
        <w:t xml:space="preserve">Kant and Cosmopolitanism.</w:t>
      </w:r>
      <w:r>
        <w:t xml:space="preserve">”</w:t>
      </w:r>
      <w:r>
        <w:t xml:space="preserve"> </w:t>
      </w:r>
      <w:r>
        <w:t xml:space="preserve">https://doi.org/10.1017/cbo9781139015486</w:t>
      </w:r>
    </w:p>
    <w:p>
      <w:pPr>
        <w:pStyle w:val="BodyText"/>
      </w:pPr>
      <w:r>
        <w:t xml:space="preserve">Kleingeld, Pauline. 2014.</w:t>
      </w:r>
      <w:r>
        <w:t xml:space="preserve"> </w:t>
      </w:r>
      <w:r>
        <w:t xml:space="preserve">“</w:t>
      </w:r>
      <w:r>
        <w:t xml:space="preserve">Kant’s Second Thoughts on Colonialism.</w:t>
      </w:r>
      <w:r>
        <w:t xml:space="preserve">”</w:t>
      </w:r>
      <w:r>
        <w:t xml:space="preserve"> </w:t>
      </w:r>
      <w:r>
        <w:t xml:space="preserve">In</w:t>
      </w:r>
      <w:r>
        <w:t xml:space="preserve"> </w:t>
      </w:r>
      <w:r>
        <w:rPr>
          <w:iCs/>
          <w:i/>
        </w:rPr>
        <w:t xml:space="preserve">Kant and Colonialism</w:t>
      </w:r>
      <w:r>
        <w:t xml:space="preserve">, 43–67. Oxford University Press. https://doi.org/10.1093/acprof:oso/9780199669622.003.0003</w:t>
      </w:r>
    </w:p>
    <w:p>
      <w:pPr>
        <w:pStyle w:val="BodyText"/>
      </w:pPr>
      <w:r>
        <w:t xml:space="preserve">Kleingeld, Pauline. 2016.</w:t>
      </w:r>
      <w:r>
        <w:t xml:space="preserve"> </w:t>
      </w:r>
      <w:r>
        <w:t xml:space="preserve">“</w:t>
      </w:r>
      <w:r>
        <w:t xml:space="preserve">Kant’s Moral and Political Cosmopolitanism.</w:t>
      </w:r>
      <w:r>
        <w:t xml:space="preserve">”</w:t>
      </w:r>
      <w:r>
        <w:t xml:space="preserve"> </w:t>
      </w:r>
      <w:r>
        <w:rPr>
          <w:iCs/>
          <w:i/>
        </w:rPr>
        <w:t xml:space="preserve">Philosophy Compass</w:t>
      </w:r>
      <w:r>
        <w:t xml:space="preserve"> </w:t>
      </w:r>
      <w:r>
        <w:t xml:space="preserve">11: 14–23. https://doi.org/10.1111/PHC3.12298</w:t>
      </w:r>
    </w:p>
    <w:p>
      <w:pPr>
        <w:pStyle w:val="BodyText"/>
      </w:pPr>
      <w:r>
        <w:t xml:space="preserve">Koselleck, Reinhart. 1987.</w:t>
      </w:r>
      <w:r>
        <w:t xml:space="preserve"> </w:t>
      </w:r>
      <w:r>
        <w:t xml:space="preserve">“</w:t>
      </w:r>
      <w:r>
        <w:t xml:space="preserve">Critique and Crisis: Enlightenment and the Pathogenesis of Modern Society.</w:t>
      </w:r>
      <w:r>
        <w:t xml:space="preserve">”</w:t>
      </w:r>
    </w:p>
    <w:p>
      <w:pPr>
        <w:pStyle w:val="BodyText"/>
      </w:pPr>
      <w:r>
        <w:t xml:space="preserve">Krijnen, C., and M. de Launay. 2013.</w:t>
      </w:r>
      <w:r>
        <w:t xml:space="preserve"> </w:t>
      </w:r>
      <w:r>
        <w:t xml:space="preserve">“</w:t>
      </w:r>
      <w:r>
        <w:t xml:space="preserve">Geschichtsphilosophie bei Kant, im Neukantianismus und im gegenwärtigen Kantianismus.</w:t>
      </w:r>
      <w:r>
        <w:t xml:space="preserve">”</w:t>
      </w:r>
    </w:p>
    <w:p>
      <w:pPr>
        <w:pStyle w:val="BodyText"/>
      </w:pPr>
      <w:r>
        <w:t xml:space="preserve">Kuehn, Manfred. 2009.</w:t>
      </w:r>
      <w:r>
        <w:t xml:space="preserve"> </w:t>
      </w:r>
      <w:r>
        <w:t xml:space="preserve">“</w:t>
      </w:r>
      <w:r>
        <w:t xml:space="preserve">Reason as a Species Characteristic.</w:t>
      </w:r>
      <w:r>
        <w:t xml:space="preserve">”</w:t>
      </w:r>
      <w:r>
        <w:t xml:space="preserve"> </w:t>
      </w:r>
      <w:r>
        <w:t xml:space="preserve">In</w:t>
      </w:r>
      <w:r>
        <w:t xml:space="preserve"> </w:t>
      </w:r>
      <w:r>
        <w:rPr>
          <w:iCs/>
          <w:i/>
        </w:rPr>
        <w:t xml:space="preserve">Kant’s Idea for a Universal History with a Cosmopolitan Aim</w:t>
      </w:r>
      <w:r>
        <w:t xml:space="preserve">, 68–93. Cambridge University Press. https://doi.org/10.1017/cbo9780511581434.005</w:t>
      </w:r>
    </w:p>
    <w:p>
      <w:pPr>
        <w:pStyle w:val="BodyText"/>
      </w:pPr>
      <w:r>
        <w:t xml:space="preserve">Larrimore, Mark. 2008.</w:t>
      </w:r>
      <w:r>
        <w:t xml:space="preserve"> </w:t>
      </w:r>
      <w:r>
        <w:t xml:space="preserve">“</w:t>
      </w:r>
      <w:r>
        <w:t xml:space="preserve">Antinomies of race: diversity and destiny in Kant.</w:t>
      </w:r>
      <w:r>
        <w:t xml:space="preserve">”</w:t>
      </w:r>
      <w:r>
        <w:t xml:space="preserve"> </w:t>
      </w:r>
      <w:r>
        <w:rPr>
          <w:iCs/>
          <w:i/>
        </w:rPr>
        <w:t xml:space="preserve">Patterns of Prejudice</w:t>
      </w:r>
      <w:r>
        <w:t xml:space="preserve"> </w:t>
      </w:r>
      <w:r>
        <w:t xml:space="preserve">42 (4-5): 341–363. https://doi.org/10.1080/00313220802377313</w:t>
      </w:r>
    </w:p>
    <w:p>
      <w:pPr>
        <w:pStyle w:val="BodyText"/>
      </w:pPr>
      <w:r>
        <w:t xml:space="preserve">Lenczewska, Olga. 2022.</w:t>
      </w:r>
      <w:r>
        <w:t xml:space="preserve"> </w:t>
      </w:r>
      <w:r>
        <w:t xml:space="preserve">“</w:t>
      </w:r>
      <w:r>
        <w:t xml:space="preserve">From Rationality to Morality: The Collective Development of Practical Reason in Kant’s Moral Anthropology.</w:t>
      </w:r>
      <w:r>
        <w:t xml:space="preserve">”</w:t>
      </w:r>
      <w:r>
        <w:t xml:space="preserve"> </w:t>
      </w:r>
      <w:r>
        <w:rPr>
          <w:iCs/>
          <w:i/>
        </w:rPr>
        <w:t xml:space="preserve">Kantian Review</w:t>
      </w:r>
      <w:r>
        <w:t xml:space="preserve"> </w:t>
      </w:r>
      <w:r>
        <w:t xml:space="preserve">27 (3): 363–383. https://doi.org/10.1017/s1369415422000152</w:t>
      </w:r>
    </w:p>
    <w:p>
      <w:pPr>
        <w:pStyle w:val="BodyText"/>
      </w:pPr>
      <w:r>
        <w:t xml:space="preserve">Lenczewska, Olga. 2025.</w:t>
      </w:r>
      <w:r>
        <w:t xml:space="preserve"> </w:t>
      </w:r>
      <w:r>
        <w:rPr>
          <w:iCs/>
          <w:i/>
        </w:rPr>
        <w:t xml:space="preserve">Kant on the History and Development of Practical Reason</w:t>
      </w:r>
      <w:r>
        <w:t xml:space="preserve">. Cambridge University Press. https://doi.org/10.1017/9781009216760</w:t>
      </w:r>
    </w:p>
    <w:p>
      <w:pPr>
        <w:pStyle w:val="BodyText"/>
      </w:pPr>
      <w:r>
        <w:t xml:space="preserve">Lerussi, Natalia. 2018.</w:t>
      </w:r>
      <w:r>
        <w:t xml:space="preserve"> </w:t>
      </w:r>
      <w:r>
        <w:t xml:space="preserve">“</w:t>
      </w:r>
      <w:r>
        <w:t xml:space="preserve">Unsociable Sociability, Moral Evil and the Origin of Human History in Kant.</w:t>
      </w:r>
      <w:r>
        <w:t xml:space="preserve">”</w:t>
      </w:r>
    </w:p>
    <w:p>
      <w:pPr>
        <w:pStyle w:val="BodyText"/>
      </w:pPr>
      <w:r>
        <w:t xml:space="preserve">Lloyd, Genevieve. 2009.</w:t>
      </w:r>
      <w:r>
        <w:t xml:space="preserve"> </w:t>
      </w:r>
      <w:r>
        <w:t xml:space="preserve">“</w:t>
      </w:r>
      <w:r>
        <w:t xml:space="preserve">Providence as Progress: Kant’s Variations on a Tale of Origins.</w:t>
      </w:r>
      <w:r>
        <w:t xml:space="preserve">”</w:t>
      </w:r>
      <w:r>
        <w:t xml:space="preserve"> </w:t>
      </w:r>
      <w:r>
        <w:t xml:space="preserve">In</w:t>
      </w:r>
      <w:r>
        <w:t xml:space="preserve"> </w:t>
      </w:r>
      <w:r>
        <w:rPr>
          <w:iCs/>
          <w:i/>
        </w:rPr>
        <w:t xml:space="preserve">Kant’s Idea for a Universal History with a Cosmopolitan Aim</w:t>
      </w:r>
      <w:r>
        <w:t xml:space="preserve">, 200–215. Cambridge University Press. https://doi.org/10.1017/cbo9780511581434.012</w:t>
      </w:r>
    </w:p>
    <w:p>
      <w:pPr>
        <w:pStyle w:val="BodyText"/>
      </w:pPr>
      <w:r>
        <w:t xml:space="preserve">Louden, Robert B. 2000.</w:t>
      </w:r>
      <w:r>
        <w:t xml:space="preserve"> </w:t>
      </w:r>
      <w:r>
        <w:t xml:space="preserve">“</w:t>
      </w:r>
      <w:r>
        <w:t xml:space="preserve">What is Impure Ethics?</w:t>
      </w:r>
      <w:r>
        <w:t xml:space="preserve">”</w:t>
      </w:r>
      <w:r>
        <w:t xml:space="preserve"> </w:t>
      </w:r>
      <w:r>
        <w:t xml:space="preserve">In</w:t>
      </w:r>
      <w:r>
        <w:t xml:space="preserve"> </w:t>
      </w:r>
      <w:r>
        <w:rPr>
          <w:iCs/>
          <w:i/>
        </w:rPr>
        <w:t xml:space="preserve">Kant’s Impure Ethics</w:t>
      </w:r>
      <w:r>
        <w:t xml:space="preserve">, 3–30. Oxford University PressNew York, NY. https://doi.org/10.1093/oso/9780195130416.003.0001</w:t>
      </w:r>
    </w:p>
    <w:p>
      <w:pPr>
        <w:pStyle w:val="BodyText"/>
      </w:pPr>
      <w:r>
        <w:t xml:space="preserve">Louden, Robert B., and Günter Zöller, eds. 2007.</w:t>
      </w:r>
      <w:r>
        <w:t xml:space="preserve"> </w:t>
      </w:r>
      <w:r>
        <w:rPr>
          <w:iCs/>
          <w:i/>
        </w:rPr>
        <w:t xml:space="preserve">Anthropology, History, and Education</w:t>
      </w:r>
      <w:r>
        <w:t xml:space="preserve">. Cambridge: Cambridge University Press. https://doi.org/10.1017/cbo9780511791925</w:t>
      </w:r>
    </w:p>
    <w:p>
      <w:pPr>
        <w:pStyle w:val="BodyText"/>
      </w:pPr>
      <w:r>
        <w:t xml:space="preserve">Louden, Robert B. 2011.</w:t>
      </w:r>
      <w:r>
        <w:t xml:space="preserve"> </w:t>
      </w:r>
      <w:r>
        <w:rPr>
          <w:iCs/>
          <w:i/>
        </w:rPr>
        <w:t xml:space="preserve">Kant’s Human Being</w:t>
      </w:r>
      <w:r>
        <w:t xml:space="preserve">. Oxford: Oxford University Press. https://doi.org/10.1093/acprof:osobl/9780199768714.001.0001</w:t>
      </w:r>
    </w:p>
    <w:p>
      <w:pPr>
        <w:pStyle w:val="BodyText"/>
      </w:pPr>
      <w:r>
        <w:t xml:space="preserve">Lu-Adler, Huaping. 2022.</w:t>
      </w:r>
      <w:r>
        <w:t xml:space="preserve"> </w:t>
      </w:r>
      <w:r>
        <w:t xml:space="preserve">“</w:t>
      </w:r>
      <w:r>
        <w:t xml:space="preserve">Kant on Lazy Savagery, Racialized.</w:t>
      </w:r>
      <w:r>
        <w:t xml:space="preserve">”</w:t>
      </w:r>
      <w:r>
        <w:t xml:space="preserve"> </w:t>
      </w:r>
      <w:r>
        <w:rPr>
          <w:iCs/>
          <w:i/>
        </w:rPr>
        <w:t xml:space="preserve">Journal of the History of Philosophy</w:t>
      </w:r>
      <w:r>
        <w:t xml:space="preserve"> </w:t>
      </w:r>
      <w:r>
        <w:t xml:space="preserve">60 (2): 253–275. https://doi.org/10.1353/hph.2022.0017</w:t>
      </w:r>
    </w:p>
    <w:p>
      <w:pPr>
        <w:pStyle w:val="BodyText"/>
      </w:pPr>
      <w:r>
        <w:t xml:space="preserve">Lu-Adler, Huaping. 2023.</w:t>
      </w:r>
      <w:r>
        <w:t xml:space="preserve"> </w:t>
      </w:r>
      <w:r>
        <w:rPr>
          <w:iCs/>
          <w:i/>
        </w:rPr>
        <w:t xml:space="preserve">Kant, Race, and Racism: Views from Somewhere</w:t>
      </w:r>
      <w:r>
        <w:t xml:space="preserve">. Oxford University PressNew York. https://doi.org/10.1093/oso/9780197685211.001.0001</w:t>
      </w:r>
    </w:p>
    <w:p>
      <w:pPr>
        <w:pStyle w:val="BodyText"/>
      </w:pPr>
      <w:r>
        <w:t xml:space="preserve">Lu-Adler, Huaping. 2023.</w:t>
      </w:r>
      <w:r>
        <w:t xml:space="preserve"> </w:t>
      </w:r>
      <w:r>
        <w:t xml:space="preserve">“</w:t>
      </w:r>
      <w:r>
        <w:t xml:space="preserve">Know Your Place, Know Your Calling: Geography, Race, and Kant’s</w:t>
      </w:r>
      <w:r>
        <w:t xml:space="preserve">”</w:t>
      </w:r>
      <w:r>
        <w:t xml:space="preserve">World-Citizen”.”</w:t>
      </w:r>
    </w:p>
    <w:p>
      <w:pPr>
        <w:pStyle w:val="BodyText"/>
      </w:pPr>
      <w:r>
        <w:t xml:space="preserve">Lyotard, Jean-François. 1986.</w:t>
      </w:r>
      <w:r>
        <w:t xml:space="preserve"> </w:t>
      </w:r>
      <w:r>
        <w:t xml:space="preserve">“</w:t>
      </w:r>
      <w:r>
        <w:t xml:space="preserve">L’Enthousiasme : la critique kantienne de l’histoire.</w:t>
      </w:r>
      <w:r>
        <w:t xml:space="preserve">”</w:t>
      </w:r>
    </w:p>
    <w:p>
      <w:pPr>
        <w:pStyle w:val="BodyText"/>
      </w:pPr>
      <w:r>
        <w:t xml:space="preserve">Löwith, Karl. 1983.</w:t>
      </w:r>
      <w:r>
        <w:t xml:space="preserve"> </w:t>
      </w:r>
      <w:r>
        <w:t xml:space="preserve">“</w:t>
      </w:r>
      <w:r>
        <w:t xml:space="preserve">Weltgeschichte und Heilsgeschehen.</w:t>
      </w:r>
      <w:r>
        <w:t xml:space="preserve">”</w:t>
      </w:r>
      <w:r>
        <w:t xml:space="preserve"> </w:t>
      </w:r>
      <w:r>
        <w:t xml:space="preserve">In</w:t>
      </w:r>
      <w:r>
        <w:t xml:space="preserve"> </w:t>
      </w:r>
      <w:r>
        <w:rPr>
          <w:iCs/>
          <w:i/>
        </w:rPr>
        <w:t xml:space="preserve">Weltgeschichte und Heilsgeschehen</w:t>
      </w:r>
      <w:r>
        <w:t xml:space="preserve">, 240–279. J.B. Metzler. https://doi.org/10.1007/978-3-476-03166-2_2</w:t>
      </w:r>
    </w:p>
    <w:p>
      <w:pPr>
        <w:pStyle w:val="BodyText"/>
      </w:pPr>
      <w:r>
        <w:t xml:space="preserve">Martinson, Steven D. 1988.</w:t>
      </w:r>
      <w:r>
        <w:t xml:space="preserve"> </w:t>
      </w:r>
      <w:r>
        <w:t xml:space="preserve">“</w:t>
      </w:r>
      <w:r>
        <w:t xml:space="preserve">Filling in the Gaps:</w:t>
      </w:r>
      <w:r>
        <w:t xml:space="preserve">”</w:t>
      </w:r>
      <w:r>
        <w:t xml:space="preserve">The Problem of World-Order” in Friedrich Schiller’s Essay on Universal History.”</w:t>
      </w:r>
      <w:r>
        <w:t xml:space="preserve"> </w:t>
      </w:r>
      <w:r>
        <w:rPr>
          <w:iCs/>
          <w:i/>
        </w:rPr>
        <w:t xml:space="preserve">Eighteenth-Century Studies</w:t>
      </w:r>
      <w:r>
        <w:t xml:space="preserve"> </w:t>
      </w:r>
      <w:r>
        <w:t xml:space="preserve">22 (1): 24. https://doi.org/10.2307/2738752</w:t>
      </w:r>
    </w:p>
    <w:p>
      <w:pPr>
        <w:pStyle w:val="BodyText"/>
      </w:pPr>
      <w:r>
        <w:t xml:space="preserve">Marwah, Inder S. 2022.</w:t>
      </w:r>
      <w:r>
        <w:t xml:space="preserve"> </w:t>
      </w:r>
      <w:r>
        <w:t xml:space="preserve">“</w:t>
      </w:r>
      <w:r>
        <w:t xml:space="preserve">White Progress: Kant, Race and Teleology.</w:t>
      </w:r>
      <w:r>
        <w:t xml:space="preserve">”</w:t>
      </w:r>
      <w:r>
        <w:t xml:space="preserve"> </w:t>
      </w:r>
      <w:r>
        <w:rPr>
          <w:iCs/>
          <w:i/>
        </w:rPr>
        <w:t xml:space="preserve">Kantian Review</w:t>
      </w:r>
      <w:r>
        <w:t xml:space="preserve"> </w:t>
      </w:r>
      <w:r>
        <w:t xml:space="preserve">27 (4): 615–634. https://doi.org/10.1017/s1369415422000334</w:t>
      </w:r>
    </w:p>
    <w:p>
      <w:pPr>
        <w:pStyle w:val="BodyText"/>
      </w:pPr>
      <w:r>
        <w:t xml:space="preserve">Mballo, Ousmane. 2024.</w:t>
      </w:r>
      <w:r>
        <w:t xml:space="preserve"> </w:t>
      </w:r>
      <w:r>
        <w:t xml:space="preserve">“</w:t>
      </w:r>
      <w:r>
        <w:t xml:space="preserve">Kantian Cosmopolitanism and the Challenge of its Racist Prejudices.</w:t>
      </w:r>
      <w:r>
        <w:t xml:space="preserve">”</w:t>
      </w:r>
      <w:r>
        <w:t xml:space="preserve"> </w:t>
      </w:r>
      <w:r>
        <w:rPr>
          <w:iCs/>
          <w:i/>
        </w:rPr>
        <w:t xml:space="preserve">Estudos Kantianos [EK]</w:t>
      </w:r>
      <w:r>
        <w:t xml:space="preserve"> </w:t>
      </w:r>
      <w:r>
        <w:t xml:space="preserve">11 (2): 69. https://doi.org/10.36311/2318-0501.2023.v11n2.p69</w:t>
      </w:r>
    </w:p>
    <w:p>
      <w:pPr>
        <w:pStyle w:val="BodyText"/>
      </w:pPr>
      <w:r>
        <w:t xml:space="preserve">McCarthy, Thomas. 2009.</w:t>
      </w:r>
      <w:r>
        <w:t xml:space="preserve"> </w:t>
      </w:r>
      <w:r>
        <w:rPr>
          <w:iCs/>
          <w:i/>
        </w:rPr>
        <w:t xml:space="preserve">Race, Empire, and the Idea of Human Development</w:t>
      </w:r>
      <w:r>
        <w:t xml:space="preserve">. Cambridge University Press. https://doi.org/10.1017/cbo9780511814044</w:t>
      </w:r>
    </w:p>
    <w:p>
      <w:pPr>
        <w:pStyle w:val="BodyText"/>
      </w:pPr>
      <w:r>
        <w:t xml:space="preserve">McNulty, Michael Bennett. 2022.</w:t>
      </w:r>
      <w:r>
        <w:t xml:space="preserve"> </w:t>
      </w:r>
      <w:r>
        <w:t xml:space="preserve">“</w:t>
      </w:r>
      <w:r>
        <w:t xml:space="preserve">A science for gods, a science for humans: Kant on teleological speculations in natural history.</w:t>
      </w:r>
      <w:r>
        <w:t xml:space="preserve">”</w:t>
      </w:r>
      <w:r>
        <w:t xml:space="preserve"> </w:t>
      </w:r>
      <w:r>
        <w:rPr>
          <w:iCs/>
          <w:i/>
        </w:rPr>
        <w:t xml:space="preserve">Studies in History and Philosophy of Science</w:t>
      </w:r>
      <w:r>
        <w:t xml:space="preserve"> </w:t>
      </w:r>
      <w:r>
        <w:t xml:space="preserve">94: 47–55. https://doi.org/10.1016/j.shpsa.2022.04.008</w:t>
      </w:r>
    </w:p>
    <w:p>
      <w:pPr>
        <w:pStyle w:val="BodyText"/>
      </w:pPr>
      <w:r>
        <w:t xml:space="preserve">McNulty, Michael Bennett. 2025.</w:t>
      </w:r>
      <w:r>
        <w:t xml:space="preserve"> </w:t>
      </w:r>
      <w:r>
        <w:t xml:space="preserve">“</w:t>
      </w:r>
      <w:r>
        <w:t xml:space="preserve">Race, Culture, and the Horizons of Agency: Kant’s Racism, Systematically Understood.</w:t>
      </w:r>
      <w:r>
        <w:t xml:space="preserve">”</w:t>
      </w:r>
      <w:r>
        <w:t xml:space="preserve"> </w:t>
      </w:r>
      <w:r>
        <w:rPr>
          <w:iCs/>
          <w:i/>
        </w:rPr>
        <w:t xml:space="preserve">Journal of the American Philosophical Association</w:t>
      </w:r>
      <w:r>
        <w:t xml:space="preserve"> </w:t>
      </w:r>
      <w:r>
        <w:t xml:space="preserve">11 (2): 393–412. https://doi.org/10.1017/apa.2024.22</w:t>
      </w:r>
    </w:p>
    <w:p>
      <w:pPr>
        <w:pStyle w:val="BodyText"/>
      </w:pPr>
      <w:r>
        <w:t xml:space="preserve">Medicus, Fritz. 1902.</w:t>
      </w:r>
      <w:r>
        <w:t xml:space="preserve"> </w:t>
      </w:r>
      <w:r>
        <w:t xml:space="preserve">“</w:t>
      </w:r>
      <w:r>
        <w:t xml:space="preserve">Kants Philosophie der Geschichte. I.</w:t>
      </w:r>
      <w:r>
        <w:t xml:space="preserve">”</w:t>
      </w:r>
      <w:r>
        <w:t xml:space="preserve"> </w:t>
      </w:r>
      <w:r>
        <w:rPr>
          <w:iCs/>
          <w:i/>
        </w:rPr>
        <w:t xml:space="preserve">Kant-Studien</w:t>
      </w:r>
      <w:r>
        <w:t xml:space="preserve"> </w:t>
      </w:r>
      <w:r>
        <w:t xml:space="preserve">7 (1-3). https://doi.org/10.1515/kant.1902.7.1-3.171</w:t>
      </w:r>
    </w:p>
    <w:p>
      <w:pPr>
        <w:pStyle w:val="BodyText"/>
      </w:pPr>
      <w:r>
        <w:t xml:space="preserve">Mensch, Jennifer. 2025.</w:t>
      </w:r>
      <w:r>
        <w:t xml:space="preserve"> </w:t>
      </w:r>
      <w:r>
        <w:t xml:space="preserve">“</w:t>
      </w:r>
      <w:r>
        <w:t xml:space="preserve">Kant and Forster on the unity of mankind.</w:t>
      </w:r>
      <w:r>
        <w:t xml:space="preserve">”</w:t>
      </w:r>
      <w:r>
        <w:t xml:space="preserve"> </w:t>
      </w:r>
      <w:r>
        <w:rPr>
          <w:iCs/>
          <w:i/>
        </w:rPr>
        <w:t xml:space="preserve">Annals of Science</w:t>
      </w:r>
      <w:r>
        <w:t xml:space="preserve"> </w:t>
      </w:r>
      <w:r>
        <w:t xml:space="preserve">83 (4): 732–754. https://doi.org/10.1080/00033790.2025.2584331</w:t>
      </w:r>
    </w:p>
    <w:p>
      <w:pPr>
        <w:pStyle w:val="BodyText"/>
      </w:pPr>
      <w:r>
        <w:t xml:space="preserve">Mertens, Thomas. 1995.</w:t>
      </w:r>
      <w:r>
        <w:t xml:space="preserve"> </w:t>
      </w:r>
      <w:r>
        <w:t xml:space="preserve">“</w:t>
      </w:r>
      <w:r>
        <w:t xml:space="preserve">War and International Order in Kant’s Legal Thought.</w:t>
      </w:r>
      <w:r>
        <w:t xml:space="preserve">”</w:t>
      </w:r>
      <w:r>
        <w:t xml:space="preserve"> </w:t>
      </w:r>
      <w:r>
        <w:rPr>
          <w:iCs/>
          <w:i/>
        </w:rPr>
        <w:t xml:space="preserve">Ratio Juris</w:t>
      </w:r>
      <w:r>
        <w:t xml:space="preserve"> </w:t>
      </w:r>
      <w:r>
        <w:t xml:space="preserve">8 (3): 296–314. https://doi.org/10.1111/j.1467-9337.1995.tb00216.x</w:t>
      </w:r>
    </w:p>
    <w:p>
      <w:pPr>
        <w:pStyle w:val="BodyText"/>
      </w:pPr>
      <w:r>
        <w:t xml:space="preserve">Mignolo, Walter D. 2011.</w:t>
      </w:r>
      <w:r>
        <w:t xml:space="preserve"> </w:t>
      </w:r>
      <w:r>
        <w:t xml:space="preserve">“</w:t>
      </w:r>
      <w:r>
        <w:t xml:space="preserve">The Darker Side of the Enlightenment: A Decolonial Reading of Kant’s Geography.</w:t>
      </w:r>
      <w:r>
        <w:t xml:space="preserve">”</w:t>
      </w:r>
      <w:r>
        <w:t xml:space="preserve"> </w:t>
      </w:r>
      <w:r>
        <w:t xml:space="preserve">In</w:t>
      </w:r>
      <w:r>
        <w:t xml:space="preserve"> </w:t>
      </w:r>
      <w:r>
        <w:rPr>
          <w:iCs/>
          <w:i/>
        </w:rPr>
        <w:t xml:space="preserve">Reading Kant’s Geography</w:t>
      </w:r>
      <w:r>
        <w:t xml:space="preserve">, 319–343. SUNY Press. https://doi.org/10.1515/9781438436067-018</w:t>
      </w:r>
    </w:p>
    <w:p>
      <w:pPr>
        <w:pStyle w:val="BodyText"/>
      </w:pPr>
      <w:r>
        <w:t xml:space="preserve">Mills, Charles W. 2005.</w:t>
      </w:r>
      <w:r>
        <w:t xml:space="preserve"> </w:t>
      </w:r>
      <w:r>
        <w:t xml:space="preserve">“</w:t>
      </w:r>
      <w:r>
        <w:t xml:space="preserve">Kant’s Untermenschen.</w:t>
      </w:r>
      <w:r>
        <w:t xml:space="preserve">”</w:t>
      </w:r>
    </w:p>
    <w:p>
      <w:pPr>
        <w:pStyle w:val="BodyText"/>
      </w:pPr>
      <w:r>
        <w:t xml:space="preserve">Molloy, Sean. 2017.</w:t>
      </w:r>
      <w:r>
        <w:t xml:space="preserve"> </w:t>
      </w:r>
      <w:r>
        <w:t xml:space="preserve">“</w:t>
      </w:r>
      <w:r>
        <w:t xml:space="preserve">Kant’s International Relations.</w:t>
      </w:r>
      <w:r>
        <w:t xml:space="preserve">”</w:t>
      </w:r>
    </w:p>
    <w:p>
      <w:pPr>
        <w:pStyle w:val="BodyText"/>
      </w:pPr>
      <w:r>
        <w:t xml:space="preserve">Mosayebi, Reza. 2025.</w:t>
      </w:r>
      <w:r>
        <w:t xml:space="preserve"> </w:t>
      </w:r>
      <w:r>
        <w:t xml:space="preserve">“</w:t>
      </w:r>
      <w:r>
        <w:t xml:space="preserve">Huaping Lu-Adler on Kant’s Relation to Racism.</w:t>
      </w:r>
      <w:r>
        <w:t xml:space="preserve">”</w:t>
      </w:r>
      <w:r>
        <w:t xml:space="preserve"> </w:t>
      </w:r>
      <w:r>
        <w:rPr>
          <w:iCs/>
          <w:i/>
        </w:rPr>
        <w:t xml:space="preserve">Critical Philosophy of Race</w:t>
      </w:r>
      <w:r>
        <w:t xml:space="preserve"> </w:t>
      </w:r>
      <w:r>
        <w:t xml:space="preserve">13 (2): 253–283. https://doi.org/10.5325/critphilrace.13.2.0253</w:t>
      </w:r>
    </w:p>
    <w:p>
      <w:pPr>
        <w:pStyle w:val="BodyText"/>
      </w:pPr>
      <w:r>
        <w:t xml:space="preserve">Muglioni, Jean-Michel. 1996.</w:t>
      </w:r>
      <w:r>
        <w:t xml:space="preserve"> </w:t>
      </w:r>
      <w:r>
        <w:t xml:space="preserve">“</w:t>
      </w:r>
      <w:r>
        <w:t xml:space="preserve">Le principe téléologique de la philosophie kantienne de l’histoire.</w:t>
      </w:r>
      <w:r>
        <w:t xml:space="preserve">”</w:t>
      </w:r>
      <w:r>
        <w:t xml:space="preserve"> </w:t>
      </w:r>
      <w:r>
        <w:rPr>
          <w:iCs/>
          <w:i/>
        </w:rPr>
        <w:t xml:space="preserve">Revue germanique internationale</w:t>
      </w:r>
      <w:r>
        <w:t xml:space="preserve"> </w:t>
      </w:r>
      <w:r>
        <w:t xml:space="preserve">6: 113–127. https://doi.org/10.4000/rgi.585</w:t>
      </w:r>
    </w:p>
    <w:p>
      <w:pPr>
        <w:pStyle w:val="BodyText"/>
      </w:pPr>
      <w:r>
        <w:t xml:space="preserve">Muthu, Sankar. 2014.</w:t>
      </w:r>
      <w:r>
        <w:t xml:space="preserve"> </w:t>
      </w:r>
      <w:r>
        <w:t xml:space="preserve">“</w:t>
      </w:r>
      <w:r>
        <w:t xml:space="preserve">Productive Resistance in Kant’s Political Thought: Domination, Counter-Domination, and Global Unsocial Sociability.</w:t>
      </w:r>
      <w:r>
        <w:t xml:space="preserve">”</w:t>
      </w:r>
    </w:p>
    <w:p>
      <w:pPr>
        <w:pStyle w:val="BodyText"/>
      </w:pPr>
      <w:r>
        <w:t xml:space="preserve">Nisbet, Hugh Barr. 2021.</w:t>
      </w:r>
      <w:r>
        <w:t xml:space="preserve"> </w:t>
      </w:r>
      <w:r>
        <w:t xml:space="preserve">“</w:t>
      </w:r>
      <w:r>
        <w:t xml:space="preserve">Natural History and Human History in Goethe, Herder, and Kant.</w:t>
      </w:r>
      <w:r>
        <w:t xml:space="preserve">”</w:t>
      </w:r>
      <w:r>
        <w:t xml:space="preserve"> </w:t>
      </w:r>
      <w:r>
        <w:t xml:space="preserve">In</w:t>
      </w:r>
      <w:r>
        <w:t xml:space="preserve"> </w:t>
      </w:r>
      <w:r>
        <w:rPr>
          <w:iCs/>
          <w:i/>
        </w:rPr>
        <w:t xml:space="preserve">On the Literature and Thought of the German Classical Era</w:t>
      </w:r>
      <w:r>
        <w:t xml:space="preserve">, 179–213. Open Book Publishers. https://doi.org/10.11647/obp.0180.09</w:t>
      </w:r>
    </w:p>
    <w:p>
      <w:pPr>
        <w:pStyle w:val="BodyText"/>
      </w:pPr>
      <w:r>
        <w:t xml:space="preserve">Oh, Jiho. 2022.</w:t>
      </w:r>
      <w:r>
        <w:t xml:space="preserve"> </w:t>
      </w:r>
      <w:r>
        <w:t xml:space="preserve">“</w:t>
      </w:r>
      <w:r>
        <w:t xml:space="preserve">The Foundation of Kant’s Pragmatic Anthropology -A Twofold Teleology of Nature and History-.</w:t>
      </w:r>
      <w:r>
        <w:t xml:space="preserve">”</w:t>
      </w:r>
      <w:r>
        <w:t xml:space="preserve"> </w:t>
      </w:r>
      <w:r>
        <w:rPr>
          <w:iCs/>
          <w:i/>
        </w:rPr>
        <w:t xml:space="preserve">Korean Journal of Philosophy</w:t>
      </w:r>
      <w:r>
        <w:t xml:space="preserve"> </w:t>
      </w:r>
      <w:r>
        <w:t xml:space="preserve">150: 191–222. https://doi.org/10.18694/kjp.2022.2.150.191</w:t>
      </w:r>
    </w:p>
    <w:p>
      <w:pPr>
        <w:pStyle w:val="BodyText"/>
      </w:pPr>
      <w:r>
        <w:t xml:space="preserve">Ostaric, Lara. 2023.</w:t>
      </w:r>
      <w:r>
        <w:t xml:space="preserve"> </w:t>
      </w:r>
      <w:r>
        <w:rPr>
          <w:iCs/>
          <w:i/>
        </w:rPr>
        <w:t xml:space="preserve">The Critique of Judgment and the Unity of Kant’s Critical System</w:t>
      </w:r>
      <w:r>
        <w:t xml:space="preserve">. Cambridge University Press. https://doi.org/10.1017/9781009336833</w:t>
      </w:r>
    </w:p>
    <w:p>
      <w:pPr>
        <w:pStyle w:val="BodyText"/>
      </w:pPr>
      <w:r>
        <w:t xml:space="preserve">Palti, Elías. 2018.</w:t>
      </w:r>
      <w:r>
        <w:t xml:space="preserve"> </w:t>
      </w:r>
      <w:r>
        <w:t xml:space="preserve">“</w:t>
      </w:r>
      <w:r>
        <w:t xml:space="preserve">Koselleck—Foucault: The Birth and Death of Philosophy of History.</w:t>
      </w:r>
      <w:r>
        <w:t xml:space="preserve">”</w:t>
      </w:r>
      <w:r>
        <w:t xml:space="preserve"> </w:t>
      </w:r>
      <w:r>
        <w:t xml:space="preserve">In</w:t>
      </w:r>
      <w:r>
        <w:t xml:space="preserve"> </w:t>
      </w:r>
      <w:r>
        <w:rPr>
          <w:iCs/>
          <w:i/>
        </w:rPr>
        <w:t xml:space="preserve">Philosophy of Globalization</w:t>
      </w:r>
      <w:r>
        <w:t xml:space="preserve">, 409–422. De Gruyter. https://doi.org/10.1515/9783110492415-030</w:t>
      </w:r>
    </w:p>
    <w:p>
      <w:pPr>
        <w:pStyle w:val="BodyText"/>
      </w:pPr>
      <w:r>
        <w:t xml:space="preserve">Papish, Laura. 2024.</w:t>
      </w:r>
      <w:r>
        <w:t xml:space="preserve"> </w:t>
      </w:r>
      <w:r>
        <w:t xml:space="preserve">“</w:t>
      </w:r>
      <w:r>
        <w:t xml:space="preserve">Kant on Race and the Radical Evil in the Human Species.</w:t>
      </w:r>
      <w:r>
        <w:t xml:space="preserve">”</w:t>
      </w:r>
      <w:r>
        <w:t xml:space="preserve"> </w:t>
      </w:r>
      <w:r>
        <w:rPr>
          <w:iCs/>
          <w:i/>
        </w:rPr>
        <w:t xml:space="preserve">European Journal of Philosophy</w:t>
      </w:r>
      <w:r>
        <w:t xml:space="preserve"> </w:t>
      </w:r>
      <w:r>
        <w:t xml:space="preserve">32 (1): 49–66. https://doi.org/10.1111/ejop.12921</w:t>
      </w:r>
    </w:p>
    <w:p>
      <w:pPr>
        <w:pStyle w:val="BodyText"/>
      </w:pPr>
      <w:r>
        <w:t xml:space="preserve">Pascoe, Jordan. 2024.</w:t>
      </w:r>
      <w:r>
        <w:t xml:space="preserve"> </w:t>
      </w:r>
      <w:r>
        <w:t xml:space="preserve">“</w:t>
      </w:r>
      <w:r>
        <w:t xml:space="preserve">Juridical and colonial racisms: On Kant’s modern/colonial gender system.</w:t>
      </w:r>
      <w:r>
        <w:t xml:space="preserve">”</w:t>
      </w:r>
      <w:r>
        <w:t xml:space="preserve"> </w:t>
      </w:r>
      <w:r>
        <w:rPr>
          <w:iCs/>
          <w:i/>
        </w:rPr>
        <w:t xml:space="preserve">Rivista di estetica</w:t>
      </w:r>
      <w:r>
        <w:t xml:space="preserve"> </w:t>
      </w:r>
      <w:r>
        <w:t xml:space="preserve">87: 99–116. https://doi.org/10.4000/13tup</w:t>
      </w:r>
    </w:p>
    <w:p>
      <w:pPr>
        <w:pStyle w:val="BodyText"/>
      </w:pPr>
      <w:r>
        <w:t xml:space="preserve">Pensky, Max. 2010.</w:t>
      </w:r>
      <w:r>
        <w:t xml:space="preserve"> </w:t>
      </w:r>
      <w:r>
        <w:t xml:space="preserve">“</w:t>
      </w:r>
      <w:r>
        <w:t xml:space="preserve">Contributions Toward a Theory of Storms: Historical Knowing and Historical Progress in Kant and Benjamin.</w:t>
      </w:r>
      <w:r>
        <w:t xml:space="preserve">”</w:t>
      </w:r>
      <w:r>
        <w:t xml:space="preserve"> </w:t>
      </w:r>
      <w:r>
        <w:rPr>
          <w:iCs/>
          <w:i/>
        </w:rPr>
        <w:t xml:space="preserve">The Philosophical Forum</w:t>
      </w:r>
      <w:r>
        <w:t xml:space="preserve"> </w:t>
      </w:r>
      <w:r>
        <w:t xml:space="preserve">41 (1-2): 149–174. https://doi.org/10.1111/j.1467-9191.2009.00356.x</w:t>
      </w:r>
    </w:p>
    <w:p>
      <w:pPr>
        <w:pStyle w:val="BodyText"/>
      </w:pPr>
      <w:r>
        <w:t xml:space="preserve">Picardi, Roberta. 2013.</w:t>
      </w:r>
      <w:r>
        <w:t xml:space="preserve"> </w:t>
      </w:r>
      <w:r>
        <w:t xml:space="preserve">“</w:t>
      </w:r>
      <w:r>
        <w:t xml:space="preserve">The</w:t>
      </w:r>
      <w:r>
        <w:t xml:space="preserve">”</w:t>
      </w:r>
      <w:r>
        <w:t xml:space="preserve">Guiding Thread” of Universal History.” In</w:t>
      </w:r>
      <w:r>
        <w:t xml:space="preserve"> </w:t>
      </w:r>
      <w:r>
        <w:rPr>
          <w:iCs/>
          <w:i/>
        </w:rPr>
        <w:t xml:space="preserve">Kant und die Philosophie in weltbürgerlicher Absicht</w:t>
      </w:r>
      <w:r>
        <w:t xml:space="preserve">, 817–830. DE GRUYTER. https://doi.org/10.1515/9783110246490.4677</w:t>
      </w:r>
    </w:p>
    <w:p>
      <w:pPr>
        <w:pStyle w:val="BodyText"/>
      </w:pPr>
      <w:r>
        <w:t xml:space="preserve">Piirimäe, Eva. 2023.</w:t>
      </w:r>
      <w:r>
        <w:t xml:space="preserve"> </w:t>
      </w:r>
      <w:r>
        <w:t xml:space="preserve">“</w:t>
      </w:r>
      <w:r>
        <w:t xml:space="preserve">Herder and Enlightenment Politics.</w:t>
      </w:r>
      <w:r>
        <w:t xml:space="preserve">”</w:t>
      </w:r>
    </w:p>
    <w:p>
      <w:pPr>
        <w:pStyle w:val="BodyText"/>
      </w:pPr>
      <w:r>
        <w:t xml:space="preserve">Pinkard, Terry. 2009.</w:t>
      </w:r>
      <w:r>
        <w:t xml:space="preserve"> </w:t>
      </w:r>
      <w:r>
        <w:t xml:space="preserve">“</w:t>
      </w:r>
      <w:r>
        <w:t xml:space="preserve">Norms, Facts, and the Philosophy of History.</w:t>
      </w:r>
      <w:r>
        <w:t xml:space="preserve">”</w:t>
      </w:r>
      <w:r>
        <w:t xml:space="preserve"> </w:t>
      </w:r>
      <w:r>
        <w:t xml:space="preserve">In</w:t>
      </w:r>
      <w:r>
        <w:t xml:space="preserve"> </w:t>
      </w:r>
      <w:r>
        <w:rPr>
          <w:iCs/>
          <w:i/>
        </w:rPr>
        <w:t xml:space="preserve">Kant’s Idea for a Universal History with a Cosmopolitan Aim</w:t>
      </w:r>
      <w:r>
        <w:t xml:space="preserve">, 216–230. Cambridge University Press. https://doi.org/10.1017/cbo9780511581434.013</w:t>
      </w:r>
    </w:p>
    <w:p>
      <w:pPr>
        <w:pStyle w:val="BodyText"/>
      </w:pPr>
      <w:r>
        <w:t xml:space="preserve">Pogge, Thomas W. 1988.</w:t>
      </w:r>
      <w:r>
        <w:t xml:space="preserve"> </w:t>
      </w:r>
      <w:r>
        <w:t xml:space="preserve">“</w:t>
      </w:r>
      <w:r>
        <w:t xml:space="preserve">Kant’s Theory of Justice.</w:t>
      </w:r>
      <w:r>
        <w:t xml:space="preserve">”</w:t>
      </w:r>
      <w:r>
        <w:t xml:space="preserve"> </w:t>
      </w:r>
      <w:r>
        <w:rPr>
          <w:iCs/>
          <w:i/>
        </w:rPr>
        <w:t xml:space="preserve">Kant-Studien</w:t>
      </w:r>
      <w:r>
        <w:t xml:space="preserve">.</w:t>
      </w:r>
    </w:p>
    <w:p>
      <w:pPr>
        <w:pStyle w:val="BodyText"/>
      </w:pPr>
      <w:r>
        <w:t xml:space="preserve">Poletti, L. 2021.</w:t>
      </w:r>
      <w:r>
        <w:t xml:space="preserve"> </w:t>
      </w:r>
      <w:r>
        <w:t xml:space="preserve">“</w:t>
      </w:r>
      <w:r>
        <w:t xml:space="preserve">Kant, Doyle, and the Democratic Peace Thesis: A Postcolonial Critique.</w:t>
      </w:r>
      <w:r>
        <w:t xml:space="preserve">”</w:t>
      </w:r>
    </w:p>
    <w:p>
      <w:pPr>
        <w:pStyle w:val="BodyText"/>
      </w:pPr>
      <w:r>
        <w:t xml:space="preserve">Pollmann, Arnd. 2011.</w:t>
      </w:r>
      <w:r>
        <w:t xml:space="preserve"> </w:t>
      </w:r>
      <w:r>
        <w:t xml:space="preserve">“</w:t>
      </w:r>
      <w:r>
        <w:t xml:space="preserve">Der Kummer der Vernunft. Zu Kants Idee einer allgemeinen Geschichtsphilosophie in therapeutischer Absicht.</w:t>
      </w:r>
      <w:r>
        <w:t xml:space="preserve">”</w:t>
      </w:r>
      <w:r>
        <w:t xml:space="preserve"> </w:t>
      </w:r>
      <w:r>
        <w:rPr>
          <w:iCs/>
          <w:i/>
        </w:rPr>
        <w:t xml:space="preserve">Kant-Studien</w:t>
      </w:r>
      <w:r>
        <w:t xml:space="preserve"> </w:t>
      </w:r>
      <w:r>
        <w:t xml:space="preserve">102 (1). https://doi.org/10.1515/kant.2011.004</w:t>
      </w:r>
    </w:p>
    <w:p>
      <w:pPr>
        <w:pStyle w:val="BodyText"/>
      </w:pPr>
      <w:r>
        <w:t xml:space="preserve">Quarfood, Marcel. 2006.</w:t>
      </w:r>
      <w:r>
        <w:t xml:space="preserve"> </w:t>
      </w:r>
      <w:r>
        <w:t xml:space="preserve">“</w:t>
      </w:r>
      <w:r>
        <w:t xml:space="preserve">Kant on biological teleology: Towards a two-level interpretation.</w:t>
      </w:r>
      <w:r>
        <w:t xml:space="preserve">”</w:t>
      </w:r>
      <w:r>
        <w:t xml:space="preserve"> </w:t>
      </w:r>
      <w:r>
        <w:rPr>
          <w:iCs/>
          <w:i/>
        </w:rPr>
        <w:t xml:space="preserve">Studies in History and Philosophy of Science Part C: Studies in History and Philosophy of Biological and Biomedical Sciences</w:t>
      </w:r>
      <w:r>
        <w:t xml:space="preserve"> </w:t>
      </w:r>
      <w:r>
        <w:t xml:space="preserve">37 (4): 735–747. https://doi.org/10.1016/j.shpsc.2006.09.007</w:t>
      </w:r>
    </w:p>
    <w:p>
      <w:pPr>
        <w:pStyle w:val="BodyText"/>
      </w:pPr>
      <w:r>
        <w:t xml:space="preserve">Ramsauer, Laurenz. 2023.</w:t>
      </w:r>
      <w:r>
        <w:t xml:space="preserve"> </w:t>
      </w:r>
      <w:r>
        <w:t xml:space="preserve">“</w:t>
      </w:r>
      <w:r>
        <w:t xml:space="preserve">Kant’s Racism as a Philosophical Problem.</w:t>
      </w:r>
      <w:r>
        <w:t xml:space="preserve">”</w:t>
      </w:r>
      <w:r>
        <w:t xml:space="preserve"> </w:t>
      </w:r>
      <w:r>
        <w:rPr>
          <w:iCs/>
          <w:i/>
        </w:rPr>
        <w:t xml:space="preserve">Pacific Philosophical Quarterly</w:t>
      </w:r>
      <w:r>
        <w:t xml:space="preserve"> </w:t>
      </w:r>
      <w:r>
        <w:t xml:space="preserve">104 (4): 791–815. https://doi.org/10.1111/papq.12444</w:t>
      </w:r>
    </w:p>
    <w:p>
      <w:pPr>
        <w:pStyle w:val="BodyText"/>
      </w:pPr>
      <w:r>
        <w:t xml:space="preserve">Rauscher, Frederick. 2002.</w:t>
      </w:r>
      <w:r>
        <w:t xml:space="preserve"> </w:t>
      </w:r>
      <w:r>
        <w:t xml:space="preserve">“</w:t>
      </w:r>
      <w:r>
        <w:t xml:space="preserve">The Regulative and the Constitutive in Kant’s and Hegel’s Theories of History.</w:t>
      </w:r>
      <w:r>
        <w:t xml:space="preserve">”</w:t>
      </w:r>
      <w:r>
        <w:t xml:space="preserve"> </w:t>
      </w:r>
      <w:r>
        <w:rPr>
          <w:iCs/>
          <w:i/>
        </w:rPr>
        <w:t xml:space="preserve">Idealistic Studies</w:t>
      </w:r>
      <w:r>
        <w:t xml:space="preserve"> </w:t>
      </w:r>
      <w:r>
        <w:t xml:space="preserve">32 (2): 121–142. https://doi.org/10.5840/idstudies20023229</w:t>
      </w:r>
    </w:p>
    <w:p>
      <w:pPr>
        <w:pStyle w:val="BodyText"/>
      </w:pPr>
      <w:r>
        <w:t xml:space="preserve">Rawls, John. 2000.</w:t>
      </w:r>
      <w:r>
        <w:t xml:space="preserve"> </w:t>
      </w:r>
      <w:r>
        <w:rPr>
          <w:iCs/>
          <w:i/>
        </w:rPr>
        <w:t xml:space="preserve">Lectures on the History of Moral Philosophy</w:t>
      </w:r>
      <w:r>
        <w:t xml:space="preserve">. Harvard University Press. https://doi.org/10.4159/9780674042575</w:t>
      </w:r>
    </w:p>
    <w:p>
      <w:pPr>
        <w:pStyle w:val="BodyText"/>
      </w:pPr>
      <w:r>
        <w:t xml:space="preserve">Reichl, Pavel. 2019.</w:t>
      </w:r>
      <w:r>
        <w:t xml:space="preserve"> </w:t>
      </w:r>
      <w:r>
        <w:t xml:space="preserve">“</w:t>
      </w:r>
      <w:r>
        <w:t xml:space="preserve">Making history philosophical: Kant, Maimon, and the evolution of the historiography of philosophy in the critical period.</w:t>
      </w:r>
      <w:r>
        <w:t xml:space="preserve">”</w:t>
      </w:r>
      <w:r>
        <w:t xml:space="preserve"> </w:t>
      </w:r>
      <w:r>
        <w:rPr>
          <w:iCs/>
          <w:i/>
        </w:rPr>
        <w:t xml:space="preserve">British Journal for the History of Philosophy</w:t>
      </w:r>
      <w:r>
        <w:t xml:space="preserve"> </w:t>
      </w:r>
      <w:r>
        <w:t xml:space="preserve">28 (3): 463–482. https://doi.org/10.1080/09608788.2019.1678110</w:t>
      </w:r>
    </w:p>
    <w:p>
      <w:pPr>
        <w:pStyle w:val="BodyText"/>
      </w:pPr>
      <w:r>
        <w:t xml:space="preserve">Reichl, Pavel. 2021.</w:t>
      </w:r>
      <w:r>
        <w:t xml:space="preserve"> </w:t>
      </w:r>
      <w:r>
        <w:t xml:space="preserve">“</w:t>
      </w:r>
      <w:r>
        <w:t xml:space="preserve">Kant’s Herder Review: Analogical Inference, Indirect Cognition, and Philosophical Style.</w:t>
      </w:r>
      <w:r>
        <w:t xml:space="preserve">”</w:t>
      </w:r>
      <w:r>
        <w:t xml:space="preserve"> </w:t>
      </w:r>
      <w:r>
        <w:t xml:space="preserve">In</w:t>
      </w:r>
      <w:r>
        <w:t xml:space="preserve"> </w:t>
      </w:r>
      <w:r>
        <w:rPr>
          <w:iCs/>
          <w:i/>
        </w:rPr>
        <w:t xml:space="preserve">The Court of Reason</w:t>
      </w:r>
      <w:r>
        <w:t xml:space="preserve">, 2015–2022. De Gruyter. https://doi.org/10.1515/9783110701357-202</w:t>
      </w:r>
    </w:p>
    <w:p>
      <w:pPr>
        <w:pStyle w:val="BodyText"/>
      </w:pPr>
      <w:r>
        <w:t xml:space="preserve">Requejo, Ferrán, and Ramón Valls. 2007.</w:t>
      </w:r>
      <w:r>
        <w:t xml:space="preserve"> </w:t>
      </w:r>
      <w:r>
        <w:t xml:space="preserve">“</w:t>
      </w:r>
      <w:r>
        <w:t xml:space="preserve">Somos conflictivos, pero… Actualidad de la tesis de Kant sobre la insociable sociabilidad de los humanos y su prolongación por parte de Hegel.</w:t>
      </w:r>
      <w:r>
        <w:t xml:space="preserve">”</w:t>
      </w:r>
      <w:r>
        <w:t xml:space="preserve"> </w:t>
      </w:r>
      <w:r>
        <w:rPr>
          <w:iCs/>
          <w:i/>
        </w:rPr>
        <w:t xml:space="preserve">Isegoría</w:t>
      </w:r>
      <w:r>
        <w:t xml:space="preserve"> </w:t>
      </w:r>
      <w:r>
        <w:t xml:space="preserve">(37): 127–163. https://doi.org/10.3989/isegoria.2007.i37.113</w:t>
      </w:r>
    </w:p>
    <w:p>
      <w:pPr>
        <w:pStyle w:val="BodyText"/>
      </w:pPr>
      <w:r>
        <w:t xml:space="preserve">Ripstein, Arthur. 2009.</w:t>
      </w:r>
      <w:r>
        <w:t xml:space="preserve"> </w:t>
      </w:r>
      <w:r>
        <w:rPr>
          <w:iCs/>
          <w:i/>
        </w:rPr>
        <w:t xml:space="preserve">Force and Freedom</w:t>
      </w:r>
      <w:r>
        <w:t xml:space="preserve">. Harvard University Press. https://doi.org/10.4159/9780674054516</w:t>
      </w:r>
    </w:p>
    <w:p>
      <w:pPr>
        <w:pStyle w:val="BodyText"/>
      </w:pPr>
      <w:r>
        <w:t xml:space="preserve">Rorty, Amélie Oksenberg, and James Schmidt, eds. 2009a.</w:t>
      </w:r>
      <w:r>
        <w:t xml:space="preserve"> </w:t>
      </w:r>
      <w:r>
        <w:rPr>
          <w:iCs/>
          <w:i/>
        </w:rPr>
        <w:t xml:space="preserve">Kant’s Idea for a Universal History with a Cosmopolitan Aim</w:t>
      </w:r>
      <w:r>
        <w:t xml:space="preserve">. Cambridge: Cambridge University Press. https://doi.org/10.1017/cbo9780511581434</w:t>
      </w:r>
    </w:p>
    <w:p>
      <w:pPr>
        <w:pStyle w:val="BodyText"/>
      </w:pPr>
      <w:r>
        <w:t xml:space="preserve">Rorty, Amélie Oksenberg, and James Schmidt. 2009b.</w:t>
      </w:r>
      <w:r>
        <w:t xml:space="preserve"> </w:t>
      </w:r>
      <w:r>
        <w:t xml:space="preserve">“</w:t>
      </w:r>
      <w:r>
        <w:t xml:space="preserve">Introduction: history as philosophy.</w:t>
      </w:r>
      <w:r>
        <w:t xml:space="preserve">”</w:t>
      </w:r>
      <w:r>
        <w:t xml:space="preserve"> </w:t>
      </w:r>
      <w:r>
        <w:t xml:space="preserve">In</w:t>
      </w:r>
      <w:r>
        <w:t xml:space="preserve"> </w:t>
      </w:r>
      <w:r>
        <w:rPr>
          <w:iCs/>
          <w:i/>
        </w:rPr>
        <w:t xml:space="preserve">Kant’s Idea for a Universal History with a Cosmopolitan Aim</w:t>
      </w:r>
      <w:r>
        <w:t xml:space="preserve">, 1–8. Cambridge University Press. https://doi.org/10.1017/cbo9780511581434.001</w:t>
      </w:r>
    </w:p>
    <w:p>
      <w:pPr>
        <w:pStyle w:val="BodyText"/>
      </w:pPr>
      <w:r>
        <w:t xml:space="preserve">Sakabe, Megumi. 1989.</w:t>
      </w:r>
      <w:r>
        <w:t xml:space="preserve"> </w:t>
      </w:r>
      <w:r>
        <w:t xml:space="preserve">“</w:t>
      </w:r>
      <w:r>
        <w:t xml:space="preserve">Freedom as a Regulative Principle: On Some Aspects of the Kant-Herder Controversy on the Philosophy of History.</w:t>
      </w:r>
      <w:r>
        <w:t xml:space="preserve">”</w:t>
      </w:r>
      <w:r>
        <w:t xml:space="preserve"> </w:t>
      </w:r>
      <w:r>
        <w:t xml:space="preserve">In</w:t>
      </w:r>
      <w:r>
        <w:t xml:space="preserve"> </w:t>
      </w:r>
      <w:r>
        <w:rPr>
          <w:iCs/>
          <w:i/>
        </w:rPr>
        <w:t xml:space="preserve">Kant’s Practical Philosophy Reconsidered</w:t>
      </w:r>
      <w:r>
        <w:t xml:space="preserve">, 183–195. Springer Netherlands. https://doi.org/10.1007/978-94-017-2016-8_11</w:t>
      </w:r>
    </w:p>
    <w:p>
      <w:pPr>
        <w:pStyle w:val="BodyText"/>
      </w:pPr>
      <w:r>
        <w:t xml:space="preserve">Sargentis, Konstantinos. 2015.</w:t>
      </w:r>
      <w:r>
        <w:t xml:space="preserve"> </w:t>
      </w:r>
      <w:r>
        <w:t xml:space="preserve">“</w:t>
      </w:r>
      <w:r>
        <w:t xml:space="preserve">Crisis, Evil, and Progress in Kant’s Philosophy of History.</w:t>
      </w:r>
      <w:r>
        <w:t xml:space="preserve">”</w:t>
      </w:r>
      <w:r>
        <w:t xml:space="preserve"> </w:t>
      </w:r>
      <w:r>
        <w:rPr>
          <w:iCs/>
          <w:i/>
        </w:rPr>
        <w:t xml:space="preserve">Journal of the Philosophy of History</w:t>
      </w:r>
      <w:r>
        <w:t xml:space="preserve"> </w:t>
      </w:r>
      <w:r>
        <w:t xml:space="preserve">9 (1): 71–96. https://doi.org/10.1163/18722636-12341292</w:t>
      </w:r>
    </w:p>
    <w:p>
      <w:pPr>
        <w:pStyle w:val="BodyText"/>
      </w:pPr>
      <w:r>
        <w:t xml:space="preserve">Schneewind, J. B. 2009.</w:t>
      </w:r>
      <w:r>
        <w:t xml:space="preserve"> </w:t>
      </w:r>
      <w:r>
        <w:t xml:space="preserve">“</w:t>
      </w:r>
      <w:r>
        <w:t xml:space="preserve">Good out of Evil: Kant and the Idea of Unsocial Sociability.</w:t>
      </w:r>
      <w:r>
        <w:t xml:space="preserve">”</w:t>
      </w:r>
      <w:r>
        <w:t xml:space="preserve"> </w:t>
      </w:r>
      <w:r>
        <w:t xml:space="preserve">In</w:t>
      </w:r>
      <w:r>
        <w:t xml:space="preserve"> </w:t>
      </w:r>
      <w:r>
        <w:rPr>
          <w:iCs/>
          <w:i/>
        </w:rPr>
        <w:t xml:space="preserve">Kant’s Idea for a Universal History with a Cosmopolitan Aim</w:t>
      </w:r>
      <w:r>
        <w:t xml:space="preserve">, 94–111. Cambridge University Press. https://doi.org/10.1017/cbo9780511581434.006</w:t>
      </w:r>
    </w:p>
    <w:p>
      <w:pPr>
        <w:pStyle w:val="BodyText"/>
      </w:pPr>
      <w:r>
        <w:t xml:space="preserve">Sieg, Ulrich. 2006.</w:t>
      </w:r>
      <w:r>
        <w:t xml:space="preserve"> </w:t>
      </w:r>
      <w:r>
        <w:t xml:space="preserve">“</w:t>
      </w:r>
      <w:r>
        <w:t xml:space="preserve">Realitätsferner Utopismus oder hellsichtige Gegenwartskritik? Zur politischen Philosophie des späten Natorp.</w:t>
      </w:r>
      <w:r>
        <w:t xml:space="preserve">”</w:t>
      </w:r>
      <w:r>
        <w:t xml:space="preserve"> </w:t>
      </w:r>
      <w:r>
        <w:rPr>
          <w:iCs/>
          <w:i/>
        </w:rPr>
        <w:t xml:space="preserve">Zeitschrift für Neuere Theologiegeschichte (Journal for the History of Modern Theology)</w:t>
      </w:r>
      <w:r>
        <w:t xml:space="preserve"> </w:t>
      </w:r>
      <w:r>
        <w:t xml:space="preserve">12 (2): 262–286. https://doi.org/10.1515/znth.2006.12.2.262</w:t>
      </w:r>
    </w:p>
    <w:p>
      <w:pPr>
        <w:pStyle w:val="BodyText"/>
      </w:pPr>
      <w:r>
        <w:t xml:space="preserve">Sikka, Sonia. 2007.</w:t>
      </w:r>
      <w:r>
        <w:t xml:space="preserve"> </w:t>
      </w:r>
      <w:r>
        <w:t xml:space="preserve">“</w:t>
      </w:r>
      <w:r>
        <w:t xml:space="preserve">On the Value of Happiness: Herder contra Kant.</w:t>
      </w:r>
      <w:r>
        <w:t xml:space="preserve">”</w:t>
      </w:r>
      <w:r>
        <w:t xml:space="preserve"> </w:t>
      </w:r>
      <w:r>
        <w:rPr>
          <w:iCs/>
          <w:i/>
        </w:rPr>
        <w:t xml:space="preserve">Canadian Journal of Philosophy</w:t>
      </w:r>
      <w:r>
        <w:t xml:space="preserve"> </w:t>
      </w:r>
      <w:r>
        <w:t xml:space="preserve">37 (4): 515–546. https://doi.org/10.1353/cjp.2008.0005</w:t>
      </w:r>
    </w:p>
    <w:p>
      <w:pPr>
        <w:pStyle w:val="BodyText"/>
      </w:pPr>
      <w:r>
        <w:t xml:space="preserve">Sikka, Sonia. 2011.</w:t>
      </w:r>
      <w:r>
        <w:t xml:space="preserve"> </w:t>
      </w:r>
      <w:r>
        <w:rPr>
          <w:iCs/>
          <w:i/>
        </w:rPr>
        <w:t xml:space="preserve">Herder on Humanity and Cultural Difference</w:t>
      </w:r>
      <w:r>
        <w:t xml:space="preserve">. Cambridge University Press. https://doi.org/10.1017/cbo9780511783012</w:t>
      </w:r>
    </w:p>
    <w:p>
      <w:pPr>
        <w:pStyle w:val="BodyText"/>
      </w:pPr>
      <w:r>
        <w:t xml:space="preserve">Storey, Ian. 2015.</w:t>
      </w:r>
      <w:r>
        <w:t xml:space="preserve"> </w:t>
      </w:r>
      <w:r>
        <w:t xml:space="preserve">“</w:t>
      </w:r>
      <w:r>
        <w:t xml:space="preserve">Empire and natural order in Kant’s</w:t>
      </w:r>
      <w:r>
        <w:t xml:space="preserve"> </w:t>
      </w:r>
      <w:r>
        <w:t xml:space="preserve">‘</w:t>
      </w:r>
      <w:r>
        <w:t xml:space="preserve">second thoughts</w:t>
      </w:r>
      <w:r>
        <w:t xml:space="preserve">’</w:t>
      </w:r>
      <w:r>
        <w:t xml:space="preserve"> </w:t>
      </w:r>
      <w:r>
        <w:t xml:space="preserve">on race.</w:t>
      </w:r>
      <w:r>
        <w:t xml:space="preserve">”</w:t>
      </w:r>
    </w:p>
    <w:p>
      <w:pPr>
        <w:pStyle w:val="BodyText"/>
      </w:pPr>
      <w:r>
        <w:t xml:space="preserve">Sweet, Kristi E. 2013.</w:t>
      </w:r>
      <w:r>
        <w:t xml:space="preserve"> </w:t>
      </w:r>
      <w:r>
        <w:rPr>
          <w:iCs/>
          <w:i/>
        </w:rPr>
        <w:t xml:space="preserve">Kant on Practical Life</w:t>
      </w:r>
      <w:r>
        <w:t xml:space="preserve">. Cambridge University Press. https://doi.org/10.1017/cbo9781139583886</w:t>
      </w:r>
    </w:p>
    <w:p>
      <w:pPr>
        <w:pStyle w:val="BodyText"/>
      </w:pPr>
      <w:r>
        <w:t xml:space="preserve">Tredanaro, Emanuele. 2024.</w:t>
      </w:r>
      <w:r>
        <w:t xml:space="preserve"> </w:t>
      </w:r>
      <w:r>
        <w:t xml:space="preserve">“</w:t>
      </w:r>
      <w:r>
        <w:t xml:space="preserve">Purposiveness, transcendental ideas, and philosophical history. Notes on the Idea for a Universal History with a Cosmopolitan Aim.</w:t>
      </w:r>
      <w:r>
        <w:t xml:space="preserve">”</w:t>
      </w:r>
    </w:p>
    <w:p>
      <w:pPr>
        <w:pStyle w:val="BodyText"/>
      </w:pPr>
      <w:r>
        <w:t xml:space="preserve">Valdez, Inés. 2019.</w:t>
      </w:r>
      <w:r>
        <w:t xml:space="preserve"> </w:t>
      </w:r>
      <w:r>
        <w:rPr>
          <w:iCs/>
          <w:i/>
        </w:rPr>
        <w:t xml:space="preserve">Transnational Cosmopolitanism: Kant, Du Bois, and Justice as a Political Craft</w:t>
      </w:r>
      <w:r>
        <w:t xml:space="preserve">. Cambridge University Press. https://doi.org/10.1017/9781108630047</w:t>
      </w:r>
    </w:p>
    <w:p>
      <w:pPr>
        <w:pStyle w:val="BodyText"/>
      </w:pPr>
      <w:r>
        <w:t xml:space="preserve">van der Zande, Johan. 2004.</w:t>
      </w:r>
      <w:r>
        <w:t xml:space="preserve"> </w:t>
      </w:r>
      <w:r>
        <w:t xml:space="preserve">“</w:t>
      </w:r>
      <w:r>
        <w:t xml:space="preserve">Kant, Herder, and the Birth of Anthropology. By John H. Zammito. Chicago: The University of Chicago Press. 2002. Pp. 576. $29.00. ISBN 0-226-97859-1.</w:t>
      </w:r>
      <w:r>
        <w:t xml:space="preserve">”</w:t>
      </w:r>
      <w:r>
        <w:t xml:space="preserve"> </w:t>
      </w:r>
      <w:r>
        <w:rPr>
          <w:iCs/>
          <w:i/>
        </w:rPr>
        <w:t xml:space="preserve">Central European History</w:t>
      </w:r>
      <w:r>
        <w:t xml:space="preserve"> </w:t>
      </w:r>
      <w:r>
        <w:t xml:space="preserve">37 (1): 147–149. https://doi.org/10.1017/s0008938900002855</w:t>
      </w:r>
    </w:p>
    <w:p>
      <w:pPr>
        <w:pStyle w:val="BodyText"/>
      </w:pPr>
      <w:r>
        <w:t xml:space="preserve">Vorländer, Karl. 1900.</w:t>
      </w:r>
      <w:r>
        <w:t xml:space="preserve"> </w:t>
      </w:r>
      <w:r>
        <w:t xml:space="preserve">“</w:t>
      </w:r>
      <w:r>
        <w:t xml:space="preserve">Kant und der Sozialismus.</w:t>
      </w:r>
      <w:r>
        <w:t xml:space="preserve">”</w:t>
      </w:r>
      <w:r>
        <w:t xml:space="preserve"> </w:t>
      </w:r>
      <w:r>
        <w:rPr>
          <w:iCs/>
          <w:i/>
        </w:rPr>
        <w:t xml:space="preserve">Kant-Studien</w:t>
      </w:r>
      <w:r>
        <w:t xml:space="preserve"> </w:t>
      </w:r>
      <w:r>
        <w:t xml:space="preserve">4 (1-3). https://doi.org/10.1515/kant.1900.4.1-3.361</w:t>
      </w:r>
    </w:p>
    <w:p>
      <w:pPr>
        <w:pStyle w:val="BodyText"/>
      </w:pPr>
      <w:r>
        <w:t xml:space="preserve">Vuillerod, Jean-Baptiste. 2024.</w:t>
      </w:r>
      <w:r>
        <w:t xml:space="preserve"> </w:t>
      </w:r>
      <w:r>
        <w:t xml:space="preserve">“</w:t>
      </w:r>
      <w:r>
        <w:t xml:space="preserve">La conception naturaliste de l’histoire chez Kant.</w:t>
      </w:r>
      <w:r>
        <w:t xml:space="preserve">”</w:t>
      </w:r>
      <w:r>
        <w:t xml:space="preserve"> </w:t>
      </w:r>
      <w:r>
        <w:rPr>
          <w:iCs/>
          <w:i/>
        </w:rPr>
        <w:t xml:space="preserve">Dix-huitième siècle</w:t>
      </w:r>
      <w:r>
        <w:t xml:space="preserve"> </w:t>
      </w:r>
      <w:r>
        <w:t xml:space="preserve">n° 56 (1): 453–472. https://doi.org/10.3917/dhs.056.0453</w:t>
      </w:r>
    </w:p>
    <w:p>
      <w:pPr>
        <w:pStyle w:val="BodyText"/>
      </w:pPr>
      <w:r>
        <w:t xml:space="preserve">Widmer, Elisabeth. 2023.</w:t>
      </w:r>
      <w:r>
        <w:t xml:space="preserve"> </w:t>
      </w:r>
      <w:r>
        <w:t xml:space="preserve">“</w:t>
      </w:r>
      <w:r>
        <w:t xml:space="preserve">‘</w:t>
      </w:r>
      <w:r>
        <w:t xml:space="preserve">Left-Kantianism</w:t>
      </w:r>
      <w:r>
        <w:t xml:space="preserve">’</w:t>
      </w:r>
      <w:r>
        <w:t xml:space="preserve"> </w:t>
      </w:r>
      <w:r>
        <w:t xml:space="preserve">and the</w:t>
      </w:r>
      <w:r>
        <w:t xml:space="preserve"> </w:t>
      </w:r>
      <w:r>
        <w:t xml:space="preserve">‘</w:t>
      </w:r>
      <w:r>
        <w:t xml:space="preserve">Scientific Dispute</w:t>
      </w:r>
      <w:r>
        <w:t xml:space="preserve">’</w:t>
      </w:r>
      <w:r>
        <w:t xml:space="preserve"> </w:t>
      </w:r>
      <w:r>
        <w:t xml:space="preserve">between Rudolf Stammler and Hermann Cohen.</w:t>
      </w:r>
      <w:r>
        <w:t xml:space="preserve">”</w:t>
      </w:r>
      <w:r>
        <w:t xml:space="preserve"> </w:t>
      </w:r>
      <w:r>
        <w:rPr>
          <w:iCs/>
          <w:i/>
        </w:rPr>
        <w:t xml:space="preserve">Archiv für Geschichte der Philosophie</w:t>
      </w:r>
      <w:r>
        <w:t xml:space="preserve"> </w:t>
      </w:r>
      <w:r>
        <w:t xml:space="preserve">106 (3): 632–655. https://doi.org/10.1515/agph-2021-0181</w:t>
      </w:r>
    </w:p>
    <w:p>
      <w:pPr>
        <w:pStyle w:val="BodyText"/>
      </w:pPr>
      <w:r>
        <w:t xml:space="preserve">Widmer, Elisabeth Theresia. 2024.</w:t>
      </w:r>
      <w:r>
        <w:t xml:space="preserve"> </w:t>
      </w:r>
      <w:r>
        <w:t xml:space="preserve">“</w:t>
      </w:r>
      <w:r>
        <w:t xml:space="preserve">Hermann Cohen’s Neo-Kantian Ethical Socialism.</w:t>
      </w:r>
      <w:r>
        <w:t xml:space="preserve">”</w:t>
      </w:r>
      <w:r>
        <w:t xml:space="preserve"> </w:t>
      </w:r>
      <w:r>
        <w:rPr>
          <w:iCs/>
          <w:i/>
        </w:rPr>
        <w:t xml:space="preserve">Kantian Review</w:t>
      </w:r>
      <w:r>
        <w:t xml:space="preserve"> </w:t>
      </w:r>
      <w:r>
        <w:t xml:space="preserve">29 (4): 607–628. https://doi.org/10.1017/s1369415424000396</w:t>
      </w:r>
    </w:p>
    <w:p>
      <w:pPr>
        <w:pStyle w:val="BodyText"/>
      </w:pPr>
      <w:r>
        <w:t xml:space="preserve">Williams, Howard. 1981.</w:t>
      </w:r>
      <w:r>
        <w:t xml:space="preserve"> </w:t>
      </w:r>
      <w:r>
        <w:t xml:space="preserve">“</w:t>
      </w:r>
      <w:r>
        <w:t xml:space="preserve">Yirmiahu Yovel, Kant and the Philosophy of History. Princeton, N.J., Princeton University Press, 1980, pp. xi + 350. $18.50.</w:t>
      </w:r>
      <w:r>
        <w:t xml:space="preserve">”</w:t>
      </w:r>
      <w:r>
        <w:t xml:space="preserve"> </w:t>
      </w:r>
      <w:r>
        <w:rPr>
          <w:iCs/>
          <w:i/>
        </w:rPr>
        <w:t xml:space="preserve">Bulletin of the Hegel Society of Great Britain</w:t>
      </w:r>
      <w:r>
        <w:t xml:space="preserve"> </w:t>
      </w:r>
      <w:r>
        <w:t xml:space="preserve">2 (2): 46–50. https://doi.org/10.1017/s0263523200006467</w:t>
      </w:r>
    </w:p>
    <w:p>
      <w:pPr>
        <w:pStyle w:val="BodyText"/>
      </w:pPr>
      <w:r>
        <w:t xml:space="preserve">Williams, Avery. 2024.</w:t>
      </w:r>
      <w:r>
        <w:t xml:space="preserve"> </w:t>
      </w:r>
      <w:r>
        <w:t xml:space="preserve">“</w:t>
      </w:r>
      <w:r>
        <w:t xml:space="preserve">Is Progress Possible? Moral Improvement in Kant’s Renewed Attempt.</w:t>
      </w:r>
      <w:r>
        <w:t xml:space="preserve">”</w:t>
      </w:r>
      <w:r>
        <w:t xml:space="preserve"> </w:t>
      </w:r>
      <w:r>
        <w:rPr>
          <w:iCs/>
          <w:i/>
        </w:rPr>
        <w:t xml:space="preserve">History of Political Thought</w:t>
      </w:r>
      <w:r>
        <w:t xml:space="preserve"> </w:t>
      </w:r>
      <w:r>
        <w:t xml:space="preserve">45 (2): 327–346. https://doi.org/10.53765/20512988.45.2.327</w:t>
      </w:r>
    </w:p>
    <w:p>
      <w:pPr>
        <w:pStyle w:val="BodyText"/>
      </w:pPr>
      <w:r>
        <w:t xml:space="preserve">Wittwer, Hector. 1996.</w:t>
      </w:r>
      <w:r>
        <w:t xml:space="preserve"> </w:t>
      </w:r>
      <w:r>
        <w:t xml:space="preserve">“</w:t>
      </w:r>
      <w:r>
        <w:t xml:space="preserve">Transzendentale Eschatologie und Kritische Geschichtsbetrachtung bei Kant.</w:t>
      </w:r>
      <w:r>
        <w:t xml:space="preserve">”</w:t>
      </w:r>
      <w:r>
        <w:t xml:space="preserve"> </w:t>
      </w:r>
      <w:r>
        <w:t xml:space="preserve">In</w:t>
      </w:r>
      <w:r>
        <w:t xml:space="preserve"> </w:t>
      </w:r>
      <w:r>
        <w:rPr>
          <w:iCs/>
          <w:i/>
        </w:rPr>
        <w:t xml:space="preserve">Politisches Denken Jahrbuch 1995/96</w:t>
      </w:r>
      <w:r>
        <w:t xml:space="preserve">, 179–196. J.B. Metzler. https://doi.org/10.1007/978-3-476-03633-9_12</w:t>
      </w:r>
    </w:p>
    <w:p>
      <w:pPr>
        <w:pStyle w:val="BodyText"/>
      </w:pPr>
      <w:r>
        <w:t xml:space="preserve">Woo, Jaeha. 2023.</w:t>
      </w:r>
      <w:r>
        <w:t xml:space="preserve"> </w:t>
      </w:r>
      <w:r>
        <w:t xml:space="preserve">“</w:t>
      </w:r>
      <w:r>
        <w:t xml:space="preserve">Why Kant’s Hope Took a Historical Turn in Practical Philosophy.</w:t>
      </w:r>
      <w:r>
        <w:t xml:space="preserve">”</w:t>
      </w:r>
      <w:r>
        <w:t xml:space="preserve"> </w:t>
      </w:r>
      <w:r>
        <w:rPr>
          <w:iCs/>
          <w:i/>
        </w:rPr>
        <w:t xml:space="preserve">Con-Textos Kantianos. International Journal of Philosophy</w:t>
      </w:r>
      <w:r>
        <w:t xml:space="preserve"> </w:t>
      </w:r>
      <w:r>
        <w:t xml:space="preserve">17: 43–55. https://doi.org/10.5209/kant.88695</w:t>
      </w:r>
    </w:p>
    <w:p>
      <w:pPr>
        <w:pStyle w:val="BodyText"/>
      </w:pPr>
      <w:r>
        <w:t xml:space="preserve">Wood, Allen W. 1991.</w:t>
      </w:r>
      <w:r>
        <w:t xml:space="preserve"> </w:t>
      </w:r>
      <w:r>
        <w:t xml:space="preserve">“</w:t>
      </w:r>
      <w:r>
        <w:t xml:space="preserve">Unsociable Sociability: The Anthropological Basis of Kantian Ethics.</w:t>
      </w:r>
      <w:r>
        <w:t xml:space="preserve">”</w:t>
      </w:r>
      <w:r>
        <w:t xml:space="preserve"> </w:t>
      </w:r>
      <w:r>
        <w:rPr>
          <w:iCs/>
          <w:i/>
        </w:rPr>
        <w:t xml:space="preserve">Philosophical Topics</w:t>
      </w:r>
      <w:r>
        <w:t xml:space="preserve"> </w:t>
      </w:r>
      <w:r>
        <w:t xml:space="preserve">19 (1): 325–351. https://doi.org/10.5840/philtopics199119122</w:t>
      </w:r>
    </w:p>
    <w:p>
      <w:pPr>
        <w:pStyle w:val="BodyText"/>
      </w:pPr>
      <w:r>
        <w:t xml:space="preserve">Wood, A. 1999.</w:t>
      </w:r>
      <w:r>
        <w:t xml:space="preserve"> </w:t>
      </w:r>
      <w:r>
        <w:t xml:space="preserve">“</w:t>
      </w:r>
      <w:r>
        <w:t xml:space="preserve">The history of human nature.</w:t>
      </w:r>
      <w:r>
        <w:t xml:space="preserve">”</w:t>
      </w:r>
    </w:p>
    <w:p>
      <w:pPr>
        <w:pStyle w:val="BodyText"/>
      </w:pPr>
      <w:r>
        <w:t xml:space="preserve">Wood, Allen. 2009.</w:t>
      </w:r>
      <w:r>
        <w:t xml:space="preserve"> </w:t>
      </w:r>
      <w:r>
        <w:t xml:space="preserve">“</w:t>
      </w:r>
      <w:r>
        <w:t xml:space="preserve">Kant’s Fourth Proposition: The Unsociable Sociability of Human Nature.</w:t>
      </w:r>
      <w:r>
        <w:t xml:space="preserve">”</w:t>
      </w:r>
      <w:r>
        <w:t xml:space="preserve"> </w:t>
      </w:r>
      <w:r>
        <w:t xml:space="preserve">In</w:t>
      </w:r>
      <w:r>
        <w:t xml:space="preserve"> </w:t>
      </w:r>
      <w:r>
        <w:rPr>
          <w:iCs/>
          <w:i/>
        </w:rPr>
        <w:t xml:space="preserve">Kant’s Idea for a Universal History with a Cosmopolitan Aim</w:t>
      </w:r>
      <w:r>
        <w:t xml:space="preserve">, 112–128. Cambridge University Press. https://doi.org/10.1017/cbo9780511581434.007</w:t>
      </w:r>
    </w:p>
    <w:p>
      <w:pPr>
        <w:pStyle w:val="BodyText"/>
      </w:pPr>
      <w:r>
        <w:t xml:space="preserve">Yovel, Yirmiahu. 1972.</w:t>
      </w:r>
      <w:r>
        <w:t xml:space="preserve"> </w:t>
      </w:r>
      <w:r>
        <w:t xml:space="preserve">“</w:t>
      </w:r>
      <w:r>
        <w:t xml:space="preserve">The Highest Good and History in Kant’s Thought.</w:t>
      </w:r>
      <w:r>
        <w:t xml:space="preserve">”</w:t>
      </w:r>
      <w:r>
        <w:t xml:space="preserve"> </w:t>
      </w:r>
      <w:r>
        <w:rPr>
          <w:iCs/>
          <w:i/>
        </w:rPr>
        <w:t xml:space="preserve">agph</w:t>
      </w:r>
      <w:r>
        <w:t xml:space="preserve"> </w:t>
      </w:r>
      <w:r>
        <w:t xml:space="preserve">54 (3): 238–283. https://doi.org/10.1515/agph.1972.54.3.238</w:t>
      </w:r>
    </w:p>
    <w:p>
      <w:pPr>
        <w:pStyle w:val="BodyText"/>
      </w:pPr>
      <w:r>
        <w:t xml:space="preserve">Ypi, Lea. 2010.</w:t>
      </w:r>
      <w:r>
        <w:t xml:space="preserve"> </w:t>
      </w:r>
      <w:r>
        <w:t xml:space="preserve">“</w:t>
      </w:r>
      <w:r>
        <w:t xml:space="preserve">Natura Daedala Rerum? On the Justification of Historical Progress in Kant’s Guarantee of Perpetual Peace.</w:t>
      </w:r>
      <w:r>
        <w:t xml:space="preserve">”</w:t>
      </w:r>
      <w:r>
        <w:t xml:space="preserve"> </w:t>
      </w:r>
      <w:r>
        <w:rPr>
          <w:iCs/>
          <w:i/>
        </w:rPr>
        <w:t xml:space="preserve">Kantian Review</w:t>
      </w:r>
      <w:r>
        <w:t xml:space="preserve"> </w:t>
      </w:r>
      <w:r>
        <w:t xml:space="preserve">14 (2): 118–148. https://doi.org/10.1017/s1369415400001497</w:t>
      </w:r>
    </w:p>
    <w:p>
      <w:pPr>
        <w:pStyle w:val="BodyText"/>
      </w:pPr>
      <w:r>
        <w:t xml:space="preserve">Ypi, Lea. 2011.</w:t>
      </w:r>
      <w:r>
        <w:t xml:space="preserve"> </w:t>
      </w:r>
      <w:r>
        <w:rPr>
          <w:iCs/>
          <w:i/>
        </w:rPr>
        <w:t xml:space="preserve">Global Justice and Avant-Garde Political Agency</w:t>
      </w:r>
      <w:r>
        <w:t xml:space="preserve">. Oxford: Oxford University Press. https://doi.org/10.1093/acprof:oso/9780199593873.001.0001</w:t>
      </w:r>
    </w:p>
    <w:p>
      <w:pPr>
        <w:pStyle w:val="BodyText"/>
      </w:pPr>
      <w:r>
        <w:t xml:space="preserve">Ypi, Lea. 2014.</w:t>
      </w:r>
      <w:r>
        <w:t xml:space="preserve"> </w:t>
      </w:r>
      <w:r>
        <w:t xml:space="preserve">“</w:t>
      </w:r>
      <w:r>
        <w:t xml:space="preserve">On Revolution in Kant and Marx.</w:t>
      </w:r>
      <w:r>
        <w:t xml:space="preserve">”</w:t>
      </w:r>
      <w:r>
        <w:t xml:space="preserve"> </w:t>
      </w:r>
      <w:r>
        <w:rPr>
          <w:iCs/>
          <w:i/>
        </w:rPr>
        <w:t xml:space="preserve">Political Theory</w:t>
      </w:r>
      <w:r>
        <w:t xml:space="preserve"> </w:t>
      </w:r>
      <w:r>
        <w:t xml:space="preserve">42 (3): 262–287. https://doi.org/10.1177/0090591714523138</w:t>
      </w:r>
    </w:p>
    <w:p>
      <w:pPr>
        <w:pStyle w:val="BodyText"/>
      </w:pPr>
      <w:r>
        <w:t xml:space="preserve">Ypi, Lea. 2024.</w:t>
      </w:r>
      <w:r>
        <w:t xml:space="preserve"> </w:t>
      </w:r>
      <w:r>
        <w:t xml:space="preserve">“</w:t>
      </w:r>
      <w:r>
        <w:t xml:space="preserve">The Moral Ought in Conjectural History.</w:t>
      </w:r>
      <w:r>
        <w:t xml:space="preserve">”</w:t>
      </w:r>
      <w:r>
        <w:t xml:space="preserve"> </w:t>
      </w:r>
      <w:r>
        <w:rPr>
          <w:iCs/>
          <w:i/>
        </w:rPr>
        <w:t xml:space="preserve">Critical Review of International Social and Political Philosophy</w:t>
      </w:r>
      <w:r>
        <w:t xml:space="preserve"> </w:t>
      </w:r>
      <w:r>
        <w:t xml:space="preserve">27 (6): 991–1010. https://doi.org/10.1080/13698230.2024.2344386</w:t>
      </w:r>
    </w:p>
    <w:p>
      <w:pPr>
        <w:pStyle w:val="BodyText"/>
      </w:pPr>
      <w:r>
        <w:t xml:space="preserve">Zammito, John H. 2008.</w:t>
      </w:r>
      <w:r>
        <w:t xml:space="preserve"> </w:t>
      </w:r>
      <w:r>
        <w:t xml:space="preserve">“</w:t>
      </w:r>
      <w:r>
        <w:t xml:space="preserve">A text of two titles: Kant’s ’A renewed attempt to answer the question: “Is the human race continually improving?</w:t>
      </w:r>
      <w:r>
        <w:t xml:space="preserve">”</w:t>
      </w:r>
      <w:r>
        <w:t xml:space="preserve">.”</w:t>
      </w:r>
      <w:r>
        <w:t xml:space="preserve"> </w:t>
      </w:r>
      <w:r>
        <w:rPr>
          <w:iCs/>
          <w:i/>
        </w:rPr>
        <w:t xml:space="preserve">Studies in History and Philosophy of Science Part A</w:t>
      </w:r>
      <w:r>
        <w:t xml:space="preserve"> </w:t>
      </w:r>
      <w:r>
        <w:t xml:space="preserve">39 (4): 535–545. https://doi.org/10.1016/j.shpsa.2008.09.004</w:t>
      </w:r>
    </w:p>
    <w:p>
      <w:pPr>
        <w:pStyle w:val="BodyText"/>
      </w:pPr>
      <w:r>
        <w:t xml:space="preserve">Zammito, John. 2008.</w:t>
      </w:r>
      <w:r>
        <w:t xml:space="preserve"> </w:t>
      </w:r>
      <w:r>
        <w:t xml:space="preserve">“</w:t>
      </w:r>
      <w:r>
        <w:t xml:space="preserve">Kant’s “Naturalistic</w:t>
      </w:r>
      <w:r>
        <w:t xml:space="preserve">”</w:t>
      </w:r>
      <w:r>
        <w:t xml:space="preserve"> </w:t>
      </w:r>
      <w:r>
        <w:t xml:space="preserve">History of Mankind? Some Reservations.”</w:t>
      </w:r>
      <w:r>
        <w:t xml:space="preserve"> </w:t>
      </w:r>
      <w:r>
        <w:rPr>
          <w:iCs/>
          <w:i/>
        </w:rPr>
        <w:t xml:space="preserve">Journal of the Philosophy of History</w:t>
      </w:r>
      <w:r>
        <w:t xml:space="preserve"> </w:t>
      </w:r>
      <w:r>
        <w:t xml:space="preserve">2 (1): 29–62. https://doi.org/10.1163/187226308x268854</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Kant’s Idea for a Universal History with a Cosmopolitan Purpose (1784): Reception and Contemporary Debates</dc:title>
  <dc:creator/>
  <cp:keywords/>
  <dcterms:created xsi:type="dcterms:W3CDTF">2026-10-09T13:09:59Z</dcterms:created>
  <dcterms:modified xsi:type="dcterms:W3CDTF">2026-10-09T13:09:59Z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ies>
</file>