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Fichte’s</w:t>
      </w:r>
      <w:r>
        <w:t xml:space="preserve"> </w:t>
      </w:r>
      <w:r>
        <w:t xml:space="preserve">Characteristics</w:t>
      </w:r>
      <w:r>
        <w:t xml:space="preserve"> </w:t>
      </w:r>
      <w:r>
        <w:t xml:space="preserve">of</w:t>
      </w:r>
      <w:r>
        <w:t xml:space="preserve"> </w:t>
      </w:r>
      <w:r>
        <w:t xml:space="preserve">the</w:t>
      </w:r>
      <w:r>
        <w:t xml:space="preserve"> </w:t>
      </w:r>
      <w:r>
        <w:t xml:space="preserve">Present</w:t>
      </w:r>
      <w:r>
        <w:t xml:space="preserve"> </w:t>
      </w:r>
      <w:r>
        <w:t xml:space="preserve">Age</w:t>
      </w:r>
      <w:r>
        <w:t xml:space="preserve"> </w:t>
      </w:r>
      <w:r>
        <w:t xml:space="preserve">(Grundzüge</w:t>
      </w:r>
      <w:r>
        <w:t xml:space="preserve"> </w:t>
      </w:r>
      <w:r>
        <w:t xml:space="preserve">des</w:t>
      </w:r>
      <w:r>
        <w:t xml:space="preserve"> </w:t>
      </w:r>
      <w:r>
        <w:t xml:space="preserve">gegenwärtigen</w:t>
      </w:r>
      <w:r>
        <w:t xml:space="preserve"> </w:t>
      </w:r>
      <w:r>
        <w:t xml:space="preserve">Zeitalters):</w:t>
      </w:r>
      <w:r>
        <w:t xml:space="preserve"> </w:t>
      </w:r>
      <w:r>
        <w:t xml:space="preserve">Reception</w:t>
      </w:r>
      <w:r>
        <w:t xml:space="preserve"> </w:t>
      </w:r>
      <w:r>
        <w:t xml:space="preserve">History</w:t>
      </w:r>
      <w:r>
        <w:t xml:space="preserve"> </w:t>
      </w:r>
      <w:r>
        <w:t xml:space="preserve">and</w:t>
      </w:r>
      <w:r>
        <w:t xml:space="preserve"> </w:t>
      </w:r>
      <w:r>
        <w:t xml:space="preserve">Contemporary</w:t>
      </w:r>
      <w:r>
        <w:t xml:space="preserve"> </w:t>
      </w:r>
      <w:r>
        <w:t xml:space="preserve">Debates</w:t>
      </w:r>
    </w:p>
    <w:p>
      <w:pPr>
        <w:pStyle w:val="Date"/>
      </w:pPr>
      <w:r>
        <w:t xml:space="preserve">2026-10-09</w:t>
      </w:r>
    </w:p>
    <w:bookmarkStart w:id="20" w:name="introduction"/>
    <w:p>
      <w:pPr>
        <w:pStyle w:val="Heading2"/>
      </w:pPr>
      <w:r>
        <w:t xml:space="preserve">Introduction</w:t>
      </w:r>
    </w:p>
    <w:p>
      <w:pPr>
        <w:pStyle w:val="FirstParagraph"/>
      </w:pPr>
      <w:r>
        <w:t xml:space="preserve">Fichte’s</w:t>
      </w:r>
      <w:r>
        <w:t xml:space="preserve"> </w:t>
      </w:r>
      <w:r>
        <w:rPr>
          <w:iCs/>
          <w:i/>
        </w:rPr>
        <w:t xml:space="preserve">Die Grundzüge des gegenwärtigen Zeitalters</w:t>
      </w:r>
      <w:r>
        <w:t xml:space="preserve"> </w:t>
      </w:r>
      <w:r>
        <w:t xml:space="preserve">(</w:t>
      </w:r>
      <w:r>
        <w:rPr>
          <w:iCs/>
          <w:i/>
        </w:rPr>
        <w:t xml:space="preserve">Characteristics of the Present Age</w:t>
      </w:r>
      <w:r>
        <w:t xml:space="preserve">) derives from the public lectures he delivered in Berlin in the winter semester of 1804/05 and published in 1806. The critical edition (Fichte 1991), which also contains</w:t>
      </w:r>
      <w:r>
        <w:t xml:space="preserve"> </w:t>
      </w:r>
      <w:r>
        <w:rPr>
          <w:iCs/>
          <w:i/>
        </w:rPr>
        <w:t xml:space="preserve">Über das Wesen des Gelehrten</w:t>
      </w:r>
      <w:r>
        <w:t xml:space="preserve">, is described by its publisher as presenting Fichte’s first foray into the philosophy of history. The lectures set out a</w:t>
      </w:r>
      <w:r>
        <w:t xml:space="preserve"> </w:t>
      </w:r>
      <w:r>
        <w:t xml:space="preserve">“</w:t>
      </w:r>
      <w:r>
        <w:t xml:space="preserve">world plan</w:t>
      </w:r>
      <w:r>
        <w:t xml:space="preserve">”</w:t>
      </w:r>
      <w:r>
        <w:t xml:space="preserve"> </w:t>
      </w:r>
      <w:r>
        <w:t xml:space="preserve">in five epochs and locate the present, the third epoch, as the age of completed sinfulness. A modern reading edition (Fichte 1978) describes them as a presentation of his philosophy of the state and of history, addressed to a wider public against an overriding religious background. The text belongs to a cluster of Berlin works from the same years: the 1804</w:t>
      </w:r>
      <w:r>
        <w:t xml:space="preserve"> </w:t>
      </w:r>
      <w:r>
        <w:rPr>
          <w:iCs/>
          <w:i/>
        </w:rPr>
        <w:t xml:space="preserve">Wissenschaftslehre</w:t>
      </w:r>
      <w:r>
        <w:t xml:space="preserve">, the</w:t>
      </w:r>
      <w:r>
        <w:t xml:space="preserve"> </w:t>
      </w:r>
      <w:r>
        <w:rPr>
          <w:iCs/>
          <w:i/>
        </w:rPr>
        <w:t xml:space="preserve">Anweisung zum seligen Leben</w:t>
      </w:r>
      <w:r>
        <w:t xml:space="preserve">, and</w:t>
      </w:r>
      <w:r>
        <w:t xml:space="preserve"> </w:t>
      </w:r>
      <w:r>
        <w:rPr>
          <w:iCs/>
          <w:i/>
        </w:rPr>
        <w:t xml:space="preserve">Über das Wesen des Gelehrten</w:t>
      </w:r>
      <w:r>
        <w:t xml:space="preserve">.</w:t>
      </w:r>
    </w:p>
    <w:p>
      <w:pPr>
        <w:pStyle w:val="BodyText"/>
      </w:pPr>
      <w:r>
        <w:t xml:space="preserve">The text’s position in Fichte’s reception is marked by a tension. It is often treated as a bridge between the Jena philosophy and the</w:t>
      </w:r>
      <w:r>
        <w:t xml:space="preserve"> </w:t>
      </w:r>
      <w:r>
        <w:rPr>
          <w:iCs/>
          <w:i/>
        </w:rPr>
        <w:t xml:space="preserve">Reden an die deutsche Nation</w:t>
      </w:r>
      <w:r>
        <w:t xml:space="preserve">, yet it has seldom been studied in its own right. Zöller (2008) observes that after Fichte lost his Jena chair in 1799 and ceased to publish his scientific philosophy, he remained present to the philosophical public chiefly through his Jena writings and his popular Berlin lecture series on the philosophy of history, culture and religion (1806-08). Within that popular corpus, the</w:t>
      </w:r>
      <w:r>
        <w:t xml:space="preserve"> </w:t>
      </w:r>
      <w:r>
        <w:rPr>
          <w:iCs/>
          <w:i/>
        </w:rPr>
        <w:t xml:space="preserve">Grundzüge</w:t>
      </w:r>
      <w:r>
        <w:t xml:space="preserve"> </w:t>
      </w:r>
      <w:r>
        <w:t xml:space="preserve">is rarely the primary object of attention.</w:t>
      </w:r>
    </w:p>
    <w:p>
      <w:pPr>
        <w:pStyle w:val="BodyText"/>
      </w:pPr>
      <w:r>
        <w:t xml:space="preserve">This review is organised in two parts. Part I traces reception from 1806 to the present, asking in particular whether the</w:t>
      </w:r>
      <w:r>
        <w:t xml:space="preserve"> </w:t>
      </w:r>
      <w:r>
        <w:rPr>
          <w:iCs/>
          <w:i/>
        </w:rPr>
        <w:t xml:space="preserve">Grundzüge</w:t>
      </w:r>
      <w:r>
        <w:t xml:space="preserve"> </w:t>
      </w:r>
      <w:r>
        <w:t xml:space="preserve">was read apart from the</w:t>
      </w:r>
      <w:r>
        <w:t xml:space="preserve"> </w:t>
      </w:r>
      <w:r>
        <w:rPr>
          <w:iCs/>
          <w:i/>
        </w:rPr>
        <w:t xml:space="preserve">Reden</w:t>
      </w:r>
      <w:r>
        <w:t xml:space="preserve">. Part II examines the main debates of the contemporary secondary literature, organised around four further questions: whether the five-epoch scheme is an a priori construction or a form of historical knowledge; whether the critique of the third epoch rejects or completes the Enlightenment; how far the epoch scheme depends on the late</w:t>
      </w:r>
      <w:r>
        <w:t xml:space="preserve"> </w:t>
      </w:r>
      <w:r>
        <w:rPr>
          <w:iCs/>
          <w:i/>
        </w:rPr>
        <w:t xml:space="preserve">Wissenschaftslehre</w:t>
      </w:r>
      <w:r>
        <w:t xml:space="preserve"> </w:t>
      </w:r>
      <w:r>
        <w:t xml:space="preserve">and on Fichte’s account of Christianity; and how the text bears on state, nation and Judaism. Representative of the interpretive stakes are two studies. Heinrichs (2003) asks whether the historical construction has scientific-philosophical plausibility and coherence, and reports that the question proved unexpectedly controversial because it is bound up with Fichte’s interpretation of Christianity. Kloc-Konkołowicz (2017) reads the lectures as a reflective self-critique of the Enlightenment, which continues it with heightened self-criticism instead of refusing it.</w:t>
      </w:r>
    </w:p>
    <w:p>
      <w:pPr>
        <w:pStyle w:val="BodyText"/>
      </w:pPr>
      <w:r>
        <w:t xml:space="preserve">The scope of the review should be stated plainly. The literature centrally devoted to the</w:t>
      </w:r>
      <w:r>
        <w:t xml:space="preserve"> </w:t>
      </w:r>
      <w:r>
        <w:rPr>
          <w:iCs/>
          <w:i/>
        </w:rPr>
        <w:t xml:space="preserve">Grundzüge</w:t>
      </w:r>
      <w:r>
        <w:t xml:space="preserve"> </w:t>
      </w:r>
      <w:r>
        <w:t xml:space="preserve">is small, and a substantial part of what was located is available only as titles or catalogue records. The review therefore distinguishes between works whose arguments can be reported from abstracts and those that can only be cited for their existence and topic. Several expected strands, such as nineteenth-century responses by major contemporaries and the text’s role in twentieth-century ideological uses of Fichte, could not be documented, and these gaps are noted where they arise. The dedicated literature is also multilingual, written in German, French, Italian, Spanish and Portuguese as well as English, and the review reflects that distribution.</w:t>
      </w:r>
    </w:p>
    <w:bookmarkEnd w:id="20"/>
    <w:bookmarkStart w:id="25" w:name="X56b7463dab0a59bf22eb19a1a6461a20a38dfce"/>
    <w:p>
      <w:pPr>
        <w:pStyle w:val="Heading2"/>
      </w:pPr>
      <w:r>
        <w:t xml:space="preserve">Section 1: 1806-1900: A Text Without a Documented Debate</w:t>
      </w:r>
    </w:p>
    <w:p>
      <w:pPr>
        <w:pStyle w:val="FirstParagraph"/>
      </w:pPr>
      <w:r>
        <w:t xml:space="preserve">The located literature does not document a nineteenth-century debate about the</w:t>
      </w:r>
      <w:r>
        <w:t xml:space="preserve"> </w:t>
      </w:r>
      <w:r>
        <w:rPr>
          <w:iCs/>
          <w:i/>
        </w:rPr>
        <w:t xml:space="preserve">Grundzüge</w:t>
      </w:r>
      <w:r>
        <w:t xml:space="preserve">. What survives is a small set of contemporary items, an editorial channel through which the text kept circulating, a commemorative culture known only by its titles, and an English-language reception that ran through a translation and through literary figures. This section reports these strands and marks, for each, how far the evidence goes.</w:t>
      </w:r>
    </w:p>
    <w:bookmarkStart w:id="21" w:name="contemporaries-1806-1810s"/>
    <w:p>
      <w:pPr>
        <w:pStyle w:val="Heading3"/>
      </w:pPr>
      <w:r>
        <w:t xml:space="preserve">1.1 Contemporaries (1806-1810s)</w:t>
      </w:r>
    </w:p>
    <w:p>
      <w:pPr>
        <w:pStyle w:val="FirstParagraph"/>
      </w:pPr>
      <w:r>
        <w:t xml:space="preserve">The one item that appears to be a contemporary response specific to the text is a review titled as a review of the</w:t>
      </w:r>
      <w:r>
        <w:t xml:space="preserve"> </w:t>
      </w:r>
      <w:r>
        <w:rPr>
          <w:iCs/>
          <w:i/>
        </w:rPr>
        <w:t xml:space="preserve">Grundzüge</w:t>
      </w:r>
      <w:r>
        <w:t xml:space="preserve"> </w:t>
      </w:r>
      <w:r>
        <w:t xml:space="preserve">(1807), which a 1995 catalogue record places in a volume of writings from the Halle period, 1804-1807 (Patsch 1995). The record gives no abstract, the reviewer’s identity could not be confirmed from any source retrieved, and the content is unread. It can be cited as evidence that a review exists, not as evidence of how the lectures were received.</w:t>
      </w:r>
    </w:p>
    <w:p>
      <w:pPr>
        <w:pStyle w:val="BodyText"/>
      </w:pPr>
      <w:r>
        <w:t xml:space="preserve">The better-documented contemporary frame is the quarrel between Fichte and Schelling, which falls in the year the lectures were published. Schelling’s</w:t>
      </w:r>
      <w:r>
        <w:t xml:space="preserve"> </w:t>
      </w:r>
      <w:r>
        <w:rPr>
          <w:iCs/>
          <w:i/>
        </w:rPr>
        <w:t xml:space="preserve">Darlegung des wahren Verhältnisses der Naturphilosophie zu der verbesserten Fichte’schen Lehre</w:t>
      </w:r>
      <w:r>
        <w:t xml:space="preserve"> </w:t>
      </w:r>
      <w:r>
        <w:t xml:space="preserve">(1806) is a polemic against Fichte’s modified</w:t>
      </w:r>
      <w:r>
        <w:t xml:space="preserve"> </w:t>
      </w:r>
      <w:r>
        <w:rPr>
          <w:iCs/>
          <w:i/>
        </w:rPr>
        <w:t xml:space="preserve">Wissenschaftslehre</w:t>
      </w:r>
      <w:r>
        <w:t xml:space="preserve">. No retrieved source establishes that it addresses the</w:t>
      </w:r>
      <w:r>
        <w:t xml:space="preserve"> </w:t>
      </w:r>
      <w:r>
        <w:rPr>
          <w:iCs/>
          <w:i/>
        </w:rPr>
        <w:t xml:space="preserve">Grundzüge</w:t>
      </w:r>
      <w:r>
        <w:t xml:space="preserve">, and it should not be read as doing so. Rodríguez (2025) reconstructs the essay’s thesis on Being, namely the impossibility for idealism of grasping the real status of Being and the need for a metaphysical grounding outside consciousness. He treats it as an episode in Schelling’s development and not as a response to the Berlin lectures. The dispute thus situates the year of publication without bearing on the text’s reception.</w:t>
      </w:r>
    </w:p>
    <w:p>
      <w:pPr>
        <w:pStyle w:val="BodyText"/>
      </w:pPr>
      <w:r>
        <w:t xml:space="preserve">A second contemporaneous objection concerns method. Chaput (2025) argues that Hegel’s Jena critique of Fichte (1801-06), often dismissed as unoriginal, has force once its empirical side is considered. On this account Hegel holds that a transcendental doctrine of right which aspires to systematicity must answer to empirical and historical instances if it is to avoid the charge of formalism, and that Fichte cannot escape</w:t>
      </w:r>
      <w:r>
        <w:t xml:space="preserve"> </w:t>
      </w:r>
      <w:r>
        <w:t xml:space="preserve">“</w:t>
      </w:r>
      <w:r>
        <w:t xml:space="preserve">the judgment of history</w:t>
      </w:r>
      <w:r>
        <w:t xml:space="preserve">”</w:t>
      </w:r>
      <w:r>
        <w:t xml:space="preserve">. Chaput’s subject is the doctrine of right and not the</w:t>
      </w:r>
      <w:r>
        <w:t xml:space="preserve"> </w:t>
      </w:r>
      <w:r>
        <w:rPr>
          <w:iCs/>
          <w:i/>
        </w:rPr>
        <w:t xml:space="preserve">Grundzüge</w:t>
      </w:r>
      <w:r>
        <w:t xml:space="preserve">. It offers an objection against a priori construction that later readers could apply to the five-epoch scheme, and Section 3 returns to it. It is not evidence that Hegel read the lectures. The same holds for F. Schlegel and Schleiermacher: no verified engagement with the text was found. The documentary corpus most likely to settle such questions is the series of contemporaries’ reports edited by Erich Fuchs,</w:t>
      </w:r>
      <w:r>
        <w:t xml:space="preserve"> </w:t>
      </w:r>
      <w:r>
        <w:rPr>
          <w:iCs/>
          <w:i/>
        </w:rPr>
        <w:t xml:space="preserve">J. G. Fichte im Gespräch</w:t>
      </w:r>
      <w:r>
        <w:t xml:space="preserve">, one volume of which, covering 1792-1862, is the subject of a short review (Jacobs 2013). It has not been examined here, and the question of who heard, read and answered the lectures remains open.</w:t>
      </w:r>
    </w:p>
    <w:bookmarkEnd w:id="21"/>
    <w:bookmarkStart w:id="22" w:name="editions-biography-and-commemoration"/>
    <w:p>
      <w:pPr>
        <w:pStyle w:val="Heading3"/>
      </w:pPr>
      <w:r>
        <w:t xml:space="preserve">1.2 Editions, biography and commemoration</w:t>
      </w:r>
    </w:p>
    <w:p>
      <w:pPr>
        <w:pStyle w:val="FirstParagraph"/>
      </w:pPr>
      <w:r>
        <w:t xml:space="preserve">After the first printing, the text circulated through the posthumous editions by Fichte’s son, Immanuel Hermann Fichte. According to a PhilPapers listing, the volume of the</w:t>
      </w:r>
      <w:r>
        <w:t xml:space="preserve"> </w:t>
      </w:r>
      <w:r>
        <w:rPr>
          <w:iCs/>
          <w:i/>
        </w:rPr>
        <w:t xml:space="preserve">Werke</w:t>
      </w:r>
      <w:r>
        <w:t xml:space="preserve"> </w:t>
      </w:r>
      <w:r>
        <w:t xml:space="preserve">titled</w:t>
      </w:r>
      <w:r>
        <w:t xml:space="preserve"> </w:t>
      </w:r>
      <w:r>
        <w:rPr>
          <w:iCs/>
          <w:i/>
        </w:rPr>
        <w:t xml:space="preserve">Zur Politik, Moral und Philosophie der Geschichte</w:t>
      </w:r>
      <w:r>
        <w:t xml:space="preserve"> </w:t>
      </w:r>
      <w:r>
        <w:t xml:space="preserve">(vol. 7) contains the</w:t>
      </w:r>
      <w:r>
        <w:t xml:space="preserve"> </w:t>
      </w:r>
      <w:r>
        <w:rPr>
          <w:iCs/>
          <w:i/>
        </w:rPr>
        <w:t xml:space="preserve">Grundzüge</w:t>
      </w:r>
      <w:r>
        <w:t xml:space="preserve"> </w:t>
      </w:r>
      <w:r>
        <w:t xml:space="preserve">(Fichte 1845). The year of that edition is unverified in the sources used. I. H. Fichte also published a biography with correspondence (Fichte 1862), a candidate source for the circumstances of the 1804-05 lectures. Its content was not read.</w:t>
      </w:r>
    </w:p>
    <w:p>
      <w:pPr>
        <w:pStyle w:val="BodyText"/>
      </w:pPr>
      <w:r>
        <w:t xml:space="preserve">The 1862 centenary generated commemorative literature, including a Berlin university address (Trendelenburg 1862) and a leaflet from the Berlin members of the Deutscher Nationalverein (Deutscher Nationalverein 1862). An 1861 lecture by Haym (1861) belongs to the same period. Later in the century, Windelband (1890) gave an address, on the emperor’s birthday in Strasbourg, titled</w:t>
      </w:r>
      <w:r>
        <w:t xml:space="preserve"> </w:t>
      </w:r>
      <w:r>
        <w:t xml:space="preserve">“</w:t>
      </w:r>
      <w:r>
        <w:t xml:space="preserve">Fichte’s Idee des deutschen Staates</w:t>
      </w:r>
      <w:r>
        <w:t xml:space="preserve">”</w:t>
      </w:r>
      <w:r>
        <w:t xml:space="preserve">. Villacañas (1997) discusses the socio-political reception of Fichte around 1900 and, according to a database snippet, refers to a study of the 1862</w:t>
      </w:r>
      <w:r>
        <w:t xml:space="preserve"> </w:t>
      </w:r>
      <w:r>
        <w:rPr>
          <w:iCs/>
          <w:i/>
        </w:rPr>
        <w:t xml:space="preserve">Festreden</w:t>
      </w:r>
      <w:r>
        <w:t xml:space="preserve">. Kuno Fischer’s</w:t>
      </w:r>
      <w:r>
        <w:t xml:space="preserve"> </w:t>
      </w:r>
      <w:r>
        <w:rPr>
          <w:iCs/>
          <w:i/>
        </w:rPr>
        <w:t xml:space="preserve">Fichtes Leben, Werke und Lehre</w:t>
      </w:r>
      <w:r>
        <w:t xml:space="preserve">, available in a 1973 imprint, is a further history-of-philosophy source that could not be assessed (Fischer 1973).</w:t>
      </w:r>
    </w:p>
    <w:p>
      <w:pPr>
        <w:pStyle w:val="BodyText"/>
      </w:pPr>
      <w:r>
        <w:t xml:space="preserve">All of these are known by title or catalogue entry only. The titles point to a Fichte of state and nation, liberal-national in 1861-62 and Wilhelmine in 1890. They give no indication whether any of the authors discusses the</w:t>
      </w:r>
      <w:r>
        <w:t xml:space="preserve"> </w:t>
      </w:r>
      <w:r>
        <w:rPr>
          <w:iCs/>
          <w:i/>
        </w:rPr>
        <w:t xml:space="preserve">Grundzüge</w:t>
      </w:r>
      <w:r>
        <w:t xml:space="preserve">. The commemorative image can be described, but the lectures’ place within it cannot.</w:t>
      </w:r>
    </w:p>
    <w:bookmarkEnd w:id="22"/>
    <w:bookmarkStart w:id="23" w:name="the-english-speaking-world"/>
    <w:p>
      <w:pPr>
        <w:pStyle w:val="Heading3"/>
      </w:pPr>
      <w:r>
        <w:t xml:space="preserve">1.3 The English-speaking world</w:t>
      </w:r>
    </w:p>
    <w:p>
      <w:pPr>
        <w:pStyle w:val="FirstParagraph"/>
      </w:pPr>
      <w:r>
        <w:t xml:space="preserve">Anglophone readers received the text in William Smith’s translation,</w:t>
      </w:r>
      <w:r>
        <w:t xml:space="preserve"> </w:t>
      </w:r>
      <w:r>
        <w:rPr>
          <w:iCs/>
          <w:i/>
        </w:rPr>
        <w:t xml:space="preserve">Characteristics of the Present Age</w:t>
      </w:r>
      <w:r>
        <w:t xml:space="preserve">. A notice in</w:t>
      </w:r>
      <w:r>
        <w:t xml:space="preserve"> </w:t>
      </w:r>
      <w:r>
        <w:rPr>
          <w:iCs/>
          <w:i/>
        </w:rPr>
        <w:t xml:space="preserve">Nature</w:t>
      </w:r>
      <w:r>
        <w:t xml:space="preserve"> </w:t>
      </w:r>
      <w:r>
        <w:t xml:space="preserve">dates Smith’s translations of Fichte’s popular works to 1845-49 (</w:t>
      </w:r>
      <w:r>
        <w:rPr>
          <w:iCs/>
          <w:i/>
        </w:rPr>
        <w:t xml:space="preserve">Nature</w:t>
      </w:r>
      <w:r>
        <w:t xml:space="preserve"> </w:t>
      </w:r>
      <w:r>
        <w:t xml:space="preserve">1890), a dating that is the notice’s own and was not checked; one web source reports that the translation was available by late 1847. The first imprint of the</w:t>
      </w:r>
      <w:r>
        <w:t xml:space="preserve"> </w:t>
      </w:r>
      <w:r>
        <w:rPr>
          <w:iCs/>
          <w:i/>
        </w:rPr>
        <w:t xml:space="preserve">Characteristics</w:t>
      </w:r>
      <w:r>
        <w:t xml:space="preserve"> </w:t>
      </w:r>
      <w:r>
        <w:t xml:space="preserve">is unconfirmed. PhilPapers records that the text was added to the</w:t>
      </w:r>
      <w:r>
        <w:t xml:space="preserve"> </w:t>
      </w:r>
      <w:r>
        <w:rPr>
          <w:iCs/>
          <w:i/>
        </w:rPr>
        <w:t xml:space="preserve">Popular Works</w:t>
      </w:r>
      <w:r>
        <w:t xml:space="preserve"> </w:t>
      </w:r>
      <w:r>
        <w:t xml:space="preserve">in the 1889 fourth edition, and a Trübner imprint of 1873 is listed (Fichte 1873, trans. Smith). Breazeale’s (1976) annotated bibliography of English translations of Fichte, Schelling and Hegel is the reference for placing it among Fichte’s English translations, but it was not read. The timeline therefore needs checking against library catalogues.</w:t>
      </w:r>
    </w:p>
    <w:p>
      <w:pPr>
        <w:pStyle w:val="BodyText"/>
      </w:pPr>
      <w:r>
        <w:t xml:space="preserve">Two other strands show how the English-speaking world engaged with Fichte more generally. Andrews (2012) reads Carlyle’s</w:t>
      </w:r>
      <w:r>
        <w:t xml:space="preserve"> </w:t>
      </w:r>
      <w:r>
        <w:rPr>
          <w:iCs/>
          <w:i/>
        </w:rPr>
        <w:t xml:space="preserve">Sartor Resartus</w:t>
      </w:r>
      <w:r>
        <w:t xml:space="preserve"> </w:t>
      </w:r>
      <w:r>
        <w:t xml:space="preserve">as developing Fichte’s effort to ground philosophical truth in individual moral action through the representation of particular lives. Eldridge (2013) mentions that Carlyle read and was substantially influenced by Fichte in developing his doctrine of the</w:t>
      </w:r>
      <w:r>
        <w:t xml:space="preserve"> </w:t>
      </w:r>
      <w:r>
        <w:t xml:space="preserve">“</w:t>
      </w:r>
      <w:r>
        <w:t xml:space="preserve">Everlasting Yea</w:t>
      </w:r>
      <w:r>
        <w:t xml:space="preserve">”</w:t>
      </w:r>
      <w:r>
        <w:t xml:space="preserve">. Neither source is shown to centre on the</w:t>
      </w:r>
      <w:r>
        <w:t xml:space="preserve"> </w:t>
      </w:r>
      <w:r>
        <w:rPr>
          <w:iCs/>
          <w:i/>
        </w:rPr>
        <w:t xml:space="preserve">Characteristics</w:t>
      </w:r>
      <w:r>
        <w:t xml:space="preserve">. In political thought, Tyler (2015) argues that the British idealists T. H. Green, Edward Caird, William Wallace and Bernard Bosanquet rejected the</w:t>
      </w:r>
      <w:r>
        <w:t xml:space="preserve"> </w:t>
      </w:r>
      <w:r>
        <w:t xml:space="preserve">“</w:t>
      </w:r>
      <w:r>
        <w:t xml:space="preserve">Fichtean</w:t>
      </w:r>
      <w:r>
        <w:t xml:space="preserve">”</w:t>
      </w:r>
      <w:r>
        <w:t xml:space="preserve"> </w:t>
      </w:r>
      <w:r>
        <w:t xml:space="preserve">centralist state with which they were charged. He analyses Green’s use of Fichtean terminology against the background of Fichte’s reception in Britain in the 1860s and 1870s. His concern is Fichte’s political thought, not this text. Solé and Millán Brusslan (2023) present a collection on Fichte’s reception in the Americas, which describes a long Fichtean tradition across the continent. Its chapters were not examined, and no verified item in this strand takes the</w:t>
      </w:r>
      <w:r>
        <w:t xml:space="preserve"> </w:t>
      </w:r>
      <w:r>
        <w:rPr>
          <w:iCs/>
          <w:i/>
        </w:rPr>
        <w:t xml:space="preserve">Characteristics</w:t>
      </w:r>
      <w:r>
        <w:t xml:space="preserve"> </w:t>
      </w:r>
      <w:r>
        <w:t xml:space="preserve">as its main object.</w:t>
      </w:r>
    </w:p>
    <w:bookmarkEnd w:id="23"/>
    <w:bookmarkStart w:id="24" w:name="summary"/>
    <w:p>
      <w:pPr>
        <w:pStyle w:val="Heading3"/>
      </w:pPr>
      <w:r>
        <w:t xml:space="preserve">1.4 Summary</w:t>
      </w:r>
    </w:p>
    <w:p>
      <w:pPr>
        <w:pStyle w:val="FirstParagraph"/>
      </w:pPr>
      <w:r>
        <w:t xml:space="preserve">For the nineteenth century, three things can be said with evidence. An 1807 review of the text exists. An edition by I. H. Fichte made it available from the mid-1840s. An English translation followed in the same decade, though its first imprint is unconfirmed. Beyond this, the located literature shows a Fichte of the state, the nation and moral action, and it does not show the</w:t>
      </w:r>
      <w:r>
        <w:t xml:space="preserve"> </w:t>
      </w:r>
      <w:r>
        <w:rPr>
          <w:iCs/>
          <w:i/>
        </w:rPr>
        <w:t xml:space="preserve">Grundzüge</w:t>
      </w:r>
      <w:r>
        <w:t xml:space="preserve"> </w:t>
      </w:r>
      <w:r>
        <w:t xml:space="preserve">as an object of debate. Whether such debate existed and has gone unrecorded, or did not occur, cannot be settled from these sources.</w:t>
      </w:r>
    </w:p>
    <w:bookmarkEnd w:id="24"/>
    <w:bookmarkEnd w:id="25"/>
    <w:bookmarkStart w:id="31" w:name="Xdfe0b5a83d9b3311329be78ccdf735ebb886144"/>
    <w:p>
      <w:pPr>
        <w:pStyle w:val="Heading2"/>
      </w:pPr>
      <w:r>
        <w:t xml:space="preserve">Section 2: 1900-1990: Appropriation, Counter-Reading, Recovery</w:t>
      </w:r>
    </w:p>
    <w:p>
      <w:pPr>
        <w:pStyle w:val="FirstParagraph"/>
      </w:pPr>
      <w:r>
        <w:t xml:space="preserve">The twentieth century supplies more documented reception of Fichte than the nineteenth, but the located sources attach it to the Wissenschaftslehre, the</w:t>
      </w:r>
      <w:r>
        <w:t xml:space="preserve"> </w:t>
      </w:r>
      <w:r>
        <w:rPr>
          <w:iCs/>
          <w:i/>
        </w:rPr>
        <w:t xml:space="preserve">Reden</w:t>
      </w:r>
      <w:r>
        <w:t xml:space="preserve"> </w:t>
      </w:r>
      <w:r>
        <w:t xml:space="preserve">and the figure of Fichte as a German exemplar, not to the</w:t>
      </w:r>
      <w:r>
        <w:t xml:space="preserve"> </w:t>
      </w:r>
      <w:r>
        <w:rPr>
          <w:iCs/>
          <w:i/>
        </w:rPr>
        <w:t xml:space="preserve">Grundzüge</w:t>
      </w:r>
      <w:r>
        <w:t xml:space="preserve">. Only one strand, the neo-Kantian and theological renaissance, is signalled by its titles as concerned with Fichte’s philosophy of history. The postwar decades then built the editorial and bibliographical infrastructure on which the dedicated studies reviewed in Part II depend. As in Section 1, each source is marked for how far its evidence reaches.</w:t>
      </w:r>
    </w:p>
    <w:bookmarkStart w:id="26" w:name="neo-kantian-and-theological-renaissance"/>
    <w:p>
      <w:pPr>
        <w:pStyle w:val="Heading3"/>
      </w:pPr>
      <w:r>
        <w:t xml:space="preserve">2.1 Neo-Kantian and theological renaissance</w:t>
      </w:r>
    </w:p>
    <w:p>
      <w:pPr>
        <w:pStyle w:val="FirstParagraph"/>
      </w:pPr>
      <w:r>
        <w:t xml:space="preserve">Around 1900 neo-Kantian philosophers returned to Fichte, and the south-west German school is the subject of a study by Heinz (1997). It is known to the located literature by title alone, and its engagement with the</w:t>
      </w:r>
      <w:r>
        <w:t xml:space="preserve"> </w:t>
      </w:r>
      <w:r>
        <w:rPr>
          <w:iCs/>
          <w:i/>
        </w:rPr>
        <w:t xml:space="preserve">Grundzüge</w:t>
      </w:r>
      <w:r>
        <w:t xml:space="preserve"> </w:t>
      </w:r>
      <w:r>
        <w:t xml:space="preserve">is unverified. More can be said of Emil Lask’s</w:t>
      </w:r>
      <w:r>
        <w:t xml:space="preserve"> </w:t>
      </w:r>
      <w:r>
        <w:rPr>
          <w:iCs/>
          <w:i/>
        </w:rPr>
        <w:t xml:space="preserve">Fichtes Idealismus und die Geschichte</w:t>
      </w:r>
      <w:r>
        <w:t xml:space="preserve"> </w:t>
      </w:r>
      <w:r>
        <w:t xml:space="preserve">(1903). Ferraguto (2019) analyses Lask’s book as showing how a radicalised transcendentalism leads to a non-empirical realism and to a valuation of praxis, and reconstructs Lask’s position in relation to Windelband, Rickert and Liebmann. The abstract also announces discussion of the relation between philosophy and life and between individuality and sacrifice. It does not mention the</w:t>
      </w:r>
      <w:r>
        <w:t xml:space="preserve"> </w:t>
      </w:r>
      <w:r>
        <w:rPr>
          <w:iCs/>
          <w:i/>
        </w:rPr>
        <w:t xml:space="preserve">Grundzüge</w:t>
      </w:r>
      <w:r>
        <w:t xml:space="preserve">, so Lask’s treatment of history is evidence of the neo-Kantian interest in Fichte and history, not of a reading of the 1804-05 lectures.</w:t>
      </w:r>
    </w:p>
    <w:p>
      <w:pPr>
        <w:pStyle w:val="BodyText"/>
      </w:pPr>
      <w:r>
        <w:t xml:space="preserve">The textual side of this renaissance is documented more directly. Fritz Medicus edited the</w:t>
      </w:r>
      <w:r>
        <w:t xml:space="preserve"> </w:t>
      </w:r>
      <w:r>
        <w:rPr>
          <w:iCs/>
          <w:i/>
        </w:rPr>
        <w:t xml:space="preserve">Grundzüge</w:t>
      </w:r>
      <w:r>
        <w:t xml:space="preserve"> </w:t>
      </w:r>
      <w:r>
        <w:t xml:space="preserve">in a second edition of 1922, which was reprinted in 1956 with an introduction and subject index by Alwin Diemer (Fichte 1956). The reprint shows that the Medicus text remained the available reading text into the postwar period. Graf and Christophersen (2004) treat Medicus, the teacher of Paul Tillich in Halle, within the neo-Kantian and the Fichte and Schelling renaissance, on the basis of letters and other documents. Their study gives biographical context for the editor, and its abstract does not address the lectures.</w:t>
      </w:r>
    </w:p>
    <w:p>
      <w:pPr>
        <w:pStyle w:val="BodyText"/>
      </w:pPr>
      <w:r>
        <w:t xml:space="preserve">Theology provides a probable site of more specific engagement. Danz (2012) is titled as a study of the reception of Fichte’s philosophy of history by Friedrich Gogarten, Paul Tillich and Emanuel Hirsch. Only the title and bibliographic data are available, and the</w:t>
      </w:r>
      <w:r>
        <w:t xml:space="preserve"> </w:t>
      </w:r>
      <w:r>
        <w:rPr>
          <w:iCs/>
          <w:i/>
        </w:rPr>
        <w:t xml:space="preserve">Grundzüge</w:t>
      </w:r>
      <w:r>
        <w:t xml:space="preserve"> </w:t>
      </w:r>
      <w:r>
        <w:t xml:space="preserve">are the obvious source for such a philosophy of history. Whether Danz discusses them, and what the three theologians made of them, is not established by the located material.</w:t>
      </w:r>
    </w:p>
    <w:bookmarkEnd w:id="26"/>
    <w:bookmarkStart w:id="27" w:name="war-national-socialism-and-their-critics"/>
    <w:p>
      <w:pPr>
        <w:pStyle w:val="Heading3"/>
      </w:pPr>
      <w:r>
        <w:t xml:space="preserve">2.2 War, National Socialism and their critics</w:t>
      </w:r>
    </w:p>
    <w:p>
      <w:pPr>
        <w:pStyle w:val="FirstParagraph"/>
      </w:pPr>
      <w:r>
        <w:t xml:space="preserve">The documented ideological uses of Fichte concern the national Fichte. Alessiato (2020) argues that interest in Fichte grew around 1900 as part of a</w:t>
      </w:r>
      <w:r>
        <w:t xml:space="preserve"> </w:t>
      </w:r>
      <w:r>
        <w:t xml:space="preserve">“</w:t>
      </w:r>
      <w:r>
        <w:t xml:space="preserve">German movement</w:t>
      </w:r>
      <w:r>
        <w:t xml:space="preserve">”</w:t>
      </w:r>
      <w:r>
        <w:t xml:space="preserve"> </w:t>
      </w:r>
      <w:r>
        <w:t xml:space="preserve">seeking the properly German, and that after the outbreak of the First World War his work served as a benchmark for the myth of the</w:t>
      </w:r>
      <w:r>
        <w:t xml:space="preserve"> </w:t>
      </w:r>
      <w:r>
        <w:t xml:space="preserve">“</w:t>
      </w:r>
      <w:r>
        <w:t xml:space="preserve">German character</w:t>
      </w:r>
      <w:r>
        <w:t xml:space="preserve">”</w:t>
      </w:r>
      <w:r>
        <w:t xml:space="preserve">. Intellectuals presented his personality and thought as the embodiment of ideals and spiritual attitudes held to be specifically German. Alessiato proposes the</w:t>
      </w:r>
      <w:r>
        <w:t xml:space="preserve"> </w:t>
      </w:r>
      <w:r>
        <w:t xml:space="preserve">“</w:t>
      </w:r>
      <w:r>
        <w:t xml:space="preserve">Fichte case</w:t>
      </w:r>
      <w:r>
        <w:t xml:space="preserve">”</w:t>
      </w:r>
      <w:r>
        <w:t xml:space="preserve"> </w:t>
      </w:r>
      <w:r>
        <w:t xml:space="preserve">as an example of the ideological misuse of philosophical and cultural issues. A review of her Italian monograph on the political reception of Fichte around the First World War (Raulet 2020) reports, according to a web snippet that was not checked against the review, that conservative and nationalist thinkers reinterpreted Fichte’s concept of war while socialist thinkers took up his social doctrine. Aichele’s (2007) study of the</w:t>
      </w:r>
      <w:r>
        <w:t xml:space="preserve"> </w:t>
      </w:r>
      <w:r>
        <w:t xml:space="preserve">“</w:t>
      </w:r>
      <w:r>
        <w:t xml:space="preserve">authentic Fichteanism</w:t>
      </w:r>
      <w:r>
        <w:t xml:space="preserve">”</w:t>
      </w:r>
      <w:r>
        <w:t xml:space="preserve"> </w:t>
      </w:r>
      <w:r>
        <w:t xml:space="preserve">of the war, centred on the Langemarck myth, is known by title.</w:t>
      </w:r>
    </w:p>
    <w:p>
      <w:pPr>
        <w:pStyle w:val="BodyText"/>
      </w:pPr>
      <w:r>
        <w:t xml:space="preserve">For the Nazi period, Heinz and Schäfer (2010) argue that Fichte’s reception cannot be reconstructed through conceptual history alone and requires connection to the political-historical context. They build on the ideology-theoretic research group around Wolfgang F. Haug and take Bruno Bauch and Arnold Gehlen as cases. A 1933 title pairing Fichte with National Socialism (Bergmann 1933) and a 1934 review of Engelbrecht’s study of Fichte’s political writings and nationalism (Anderson 1934) document contemporary interest from the Nazi seizure of power. Their contents were not read. Phillips (2025) reassesses the question in the light of scholarship on fascism by Griffin, Eatwell and Sternhell. He examines Fichte’s views on the economy, Germany and anti-Semitism and concludes that Fichte was not a proto-fascist, though aspects of his writing and style had a strong appeal to fascists. A counter-strand is signalled by the subtitle of Becker’s (2000) book, which restores the</w:t>
      </w:r>
      <w:r>
        <w:t xml:space="preserve"> </w:t>
      </w:r>
      <w:r>
        <w:t xml:space="preserve">“</w:t>
      </w:r>
      <w:r>
        <w:t xml:space="preserve">forgotten generations</w:t>
      </w:r>
      <w:r>
        <w:t xml:space="preserve">”</w:t>
      </w:r>
      <w:r>
        <w:t xml:space="preserve"> </w:t>
      </w:r>
      <w:r>
        <w:t xml:space="preserve">of Jewish reception of Fichte’s idea of the nation. A companion article (Becker 2003) and the later controversy over the book belong to Section 5.</w:t>
      </w:r>
    </w:p>
    <w:p>
      <w:pPr>
        <w:pStyle w:val="BodyText"/>
      </w:pPr>
      <w:r>
        <w:t xml:space="preserve">None of these sources verifiably engages the</w:t>
      </w:r>
      <w:r>
        <w:t xml:space="preserve"> </w:t>
      </w:r>
      <w:r>
        <w:rPr>
          <w:iCs/>
          <w:i/>
        </w:rPr>
        <w:t xml:space="preserve">Grundzüge</w:t>
      </w:r>
      <w:r>
        <w:t xml:space="preserve">. Their abstracts and titles centre on the</w:t>
      </w:r>
      <w:r>
        <w:t xml:space="preserve"> </w:t>
      </w:r>
      <w:r>
        <w:rPr>
          <w:iCs/>
          <w:i/>
        </w:rPr>
        <w:t xml:space="preserve">Reden</w:t>
      </w:r>
      <w:r>
        <w:t xml:space="preserve">, on political and economic writings and on Fichte’s personality. Phillips’s abstract names the economy, nationhood and anti-Semitism as his topics. The role of the 1804-05 lectures in the First World War and Nazi-era uses is therefore a gap in the located literature, and it should not be filled by inference from the better-documented use of the</w:t>
      </w:r>
      <w:r>
        <w:t xml:space="preserve"> </w:t>
      </w:r>
      <w:r>
        <w:rPr>
          <w:iCs/>
          <w:i/>
        </w:rPr>
        <w:t xml:space="preserve">Reden</w:t>
      </w:r>
      <w:r>
        <w:t xml:space="preserve">.</w:t>
      </w:r>
    </w:p>
    <w:bookmarkEnd w:id="27"/>
    <w:bookmarkStart w:id="28" w:name="gdr-and-marxist-readings"/>
    <w:p>
      <w:pPr>
        <w:pStyle w:val="Heading3"/>
      </w:pPr>
      <w:r>
        <w:t xml:space="preserve">2.3 GDR and Marxist readings</w:t>
      </w:r>
    </w:p>
    <w:p>
      <w:pPr>
        <w:pStyle w:val="FirstParagraph"/>
      </w:pPr>
      <w:r>
        <w:t xml:space="preserve">Marxist-oriented sources are fewer still. A report in the GDR’s philosophy journal on the state’s commemoration of Fichte in 1962, the bicentenary of his birth, is known by title (Bergner 1962), as is a 1988 article on the history of philosophy and</w:t>
      </w:r>
      <w:r>
        <w:t xml:space="preserve"> </w:t>
      </w:r>
      <w:r>
        <w:t xml:space="preserve">“</w:t>
      </w:r>
      <w:r>
        <w:t xml:space="preserve">ideological class struggle</w:t>
      </w:r>
      <w:r>
        <w:t xml:space="preserve">”</w:t>
      </w:r>
      <w:r>
        <w:t xml:space="preserve"> </w:t>
      </w:r>
      <w:r>
        <w:t xml:space="preserve">(Buhr 1988), whose treatment of Fichte is unknown. Quétier (2025) addresses Jaurès’s Fichte as seen by German socialists, also by title.</w:t>
      </w:r>
    </w:p>
    <w:p>
      <w:pPr>
        <w:pStyle w:val="BodyText"/>
      </w:pPr>
      <w:r>
        <w:t xml:space="preserve">The one Marxist-adjacent source with an available argument is Rockmore (1980), as reported by Kain (1983). On Kain’s account, Rockmore compares a concept of activity in Fichte and Marx, derived from Aristotle, in which activity is both means and end, and he explains the obscuring of their similarity by Hegel’s reading of the German tradition and his misinterpretation of Fichte. Kain holds that the comparison documents a parallel but yields no new reading of Marx, and he finds the interpretation of Fichte original. The comparison rests on the activity of the self and does not, in Kain’s summary, turn on the philosophy of history. Fusaro’s later work on the</w:t>
      </w:r>
      <w:r>
        <w:t xml:space="preserve"> </w:t>
      </w:r>
      <w:r>
        <w:t xml:space="preserve">“</w:t>
      </w:r>
      <w:r>
        <w:t xml:space="preserve">accomplished sinfulness</w:t>
      </w:r>
      <w:r>
        <w:t xml:space="preserve">”</w:t>
      </w:r>
      <w:r>
        <w:t xml:space="preserve"> </w:t>
      </w:r>
      <w:r>
        <w:t xml:space="preserve">discussed in Section 4 was published after the period covered here.</w:t>
      </w:r>
    </w:p>
    <w:bookmarkEnd w:id="28"/>
    <w:bookmarkStart w:id="29" w:name="Xd8262635826f96c8951702e175c104a9fe4fadd"/>
    <w:p>
      <w:pPr>
        <w:pStyle w:val="Heading3"/>
      </w:pPr>
      <w:r>
        <w:t xml:space="preserve">2.4 Postwar recovery: editions, bibliographies, national traditions</w:t>
      </w:r>
    </w:p>
    <w:p>
      <w:pPr>
        <w:pStyle w:val="FirstParagraph"/>
      </w:pPr>
      <w:r>
        <w:t xml:space="preserve">The infrastructure for independent study of the</w:t>
      </w:r>
      <w:r>
        <w:t xml:space="preserve"> </w:t>
      </w:r>
      <w:r>
        <w:rPr>
          <w:iCs/>
          <w:i/>
        </w:rPr>
        <w:t xml:space="preserve">Grundzüge</w:t>
      </w:r>
      <w:r>
        <w:t xml:space="preserve"> </w:t>
      </w:r>
      <w:r>
        <w:t xml:space="preserve">took shape through the Bavarian Academy’s</w:t>
      </w:r>
      <w:r>
        <w:t xml:space="preserve"> </w:t>
      </w:r>
      <w:r>
        <w:rPr>
          <w:iCs/>
          <w:i/>
        </w:rPr>
        <w:t xml:space="preserve">Gesamtausgabe</w:t>
      </w:r>
      <w:r>
        <w:t xml:space="preserve">, which, according to the NDPR review of the Cambridge Companion, was produced between 1962 and 2012 (James and Zöller 2016). Volume I/8,</w:t>
      </w:r>
      <w:r>
        <w:t xml:space="preserve"> </w:t>
      </w:r>
      <w:r>
        <w:rPr>
          <w:iCs/>
          <w:i/>
        </w:rPr>
        <w:t xml:space="preserve">Werke 1801-1806</w:t>
      </w:r>
      <w:r>
        <w:t xml:space="preserve">, appeared in 1991 and contains the</w:t>
      </w:r>
      <w:r>
        <w:t xml:space="preserve"> </w:t>
      </w:r>
      <w:r>
        <w:rPr>
          <w:iCs/>
          <w:i/>
        </w:rPr>
        <w:t xml:space="preserve">Grundzüge</w:t>
      </w:r>
      <w:r>
        <w:t xml:space="preserve"> </w:t>
      </w:r>
      <w:r>
        <w:t xml:space="preserve">together with</w:t>
      </w:r>
      <w:r>
        <w:t xml:space="preserve"> </w:t>
      </w:r>
      <w:r>
        <w:rPr>
          <w:iCs/>
          <w:i/>
        </w:rPr>
        <w:t xml:space="preserve">Über das Wesen des Gelehrten</w:t>
      </w:r>
      <w:r>
        <w:t xml:space="preserve">, newspaper announcements of the lectures, poems and a declaration against the publisher Gabler (Fichte 1991). Bibliographical tools accompanied the edition: Baumgartner and Jacobs (1968), and Doyé’s continuation for 1968 to 1992/93 (Doyé 1993). The latter’s published table of contents, divided into writings by Fichte, literature on his life and work, studies of particular topics and studies of Fichte and other thinkers, shows its organisation. Neither bibliography was read for entries on the</w:t>
      </w:r>
      <w:r>
        <w:t xml:space="preserve"> </w:t>
      </w:r>
      <w:r>
        <w:rPr>
          <w:iCs/>
          <w:i/>
        </w:rPr>
        <w:t xml:space="preserve">Grundzüge</w:t>
      </w:r>
      <w:r>
        <w:t xml:space="preserve">, and they remain the finding aids for such a search.</w:t>
      </w:r>
    </w:p>
    <w:p>
      <w:pPr>
        <w:pStyle w:val="BodyText"/>
      </w:pPr>
      <w:r>
        <w:t xml:space="preserve">Systematic research in the same decades had a different centre. Henrich’s</w:t>
      </w:r>
      <w:r>
        <w:t xml:space="preserve"> </w:t>
      </w:r>
      <w:r>
        <w:rPr>
          <w:iCs/>
          <w:i/>
        </w:rPr>
        <w:t xml:space="preserve">Fichtes ursprüngliche Einsicht</w:t>
      </w:r>
      <w:r>
        <w:t xml:space="preserve"> </w:t>
      </w:r>
      <w:r>
        <w:t xml:space="preserve">(1967) is presented, in the abstract of its 2019 reissue, as the work in which Henrich showed that Fichte first grasped the problem of self-consciousness and made it the guiding theme of his thinking (Henrich 2019). The located material does not show that Henrich discusses the</w:t>
      </w:r>
      <w:r>
        <w:t xml:space="preserve"> </w:t>
      </w:r>
      <w:r>
        <w:rPr>
          <w:iCs/>
          <w:i/>
        </w:rPr>
        <w:t xml:space="preserve">Grundzüge</w:t>
      </w:r>
      <w:r>
        <w:t xml:space="preserve">. It suggests that this programme directed attention to the Wissenschaftslehre, as does the Zöller essay described in the NDPR review of the Companion, which maps the late philosophy after 1800 (James and Zöller 2016). That the popular Berlin works received less attention as a result is an inference from this emphasis and not a documented finding.</w:t>
      </w:r>
    </w:p>
    <w:p>
      <w:pPr>
        <w:pStyle w:val="BodyText"/>
      </w:pPr>
      <w:r>
        <w:t xml:space="preserve">National traditions then supplied translations and a different set of questions. French scholarship is represented by Gueroult’s study of the evolution and structure of the Wissenschaftslehre, known through a short English review (Norton 1931), and by Ives Radrizzani’s 1990 translation,</w:t>
      </w:r>
      <w:r>
        <w:t xml:space="preserve"> </w:t>
      </w:r>
      <w:r>
        <w:rPr>
          <w:iCs/>
          <w:i/>
        </w:rPr>
        <w:t xml:space="preserve">Le Caractère de l’époque actuelle</w:t>
      </w:r>
      <w:r>
        <w:t xml:space="preserve"> </w:t>
      </w:r>
      <w:r>
        <w:t xml:space="preserve">(Fichte 1990), who also assisted in editing GA I/8 (Fichte 1991). Italian interest is represented by Pareyson’s study of Fichte’s system of freedom (Pareyson 1976), whose engagement with the</w:t>
      </w:r>
      <w:r>
        <w:t xml:space="preserve"> </w:t>
      </w:r>
      <w:r>
        <w:rPr>
          <w:iCs/>
          <w:i/>
        </w:rPr>
        <w:t xml:space="preserve">Grundzüge</w:t>
      </w:r>
      <w:r>
        <w:t xml:space="preserve"> </w:t>
      </w:r>
      <w:r>
        <w:t xml:space="preserve">is unverified. A Spanish translation by José Gaos,</w:t>
      </w:r>
      <w:r>
        <w:t xml:space="preserve"> </w:t>
      </w:r>
      <w:r>
        <w:rPr>
          <w:iCs/>
          <w:i/>
        </w:rPr>
        <w:t xml:space="preserve">Los caracteres de la Edad Contemporánea</w:t>
      </w:r>
      <w:r>
        <w:t xml:space="preserve">, is recorded under 1976, a date that may denote a reissue (Fichte 1976). The Spanish title is the one used by later Hispanic scholars of the text. Much of the dedicated literature discussed in Part II is accordingly written in Italian, French and Spanish, and the translations of 1976 and 1990 precede it.</w:t>
      </w:r>
    </w:p>
    <w:bookmarkEnd w:id="29"/>
    <w:bookmarkStart w:id="30" w:name="summary-1"/>
    <w:p>
      <w:pPr>
        <w:pStyle w:val="Heading3"/>
      </w:pPr>
      <w:r>
        <w:t xml:space="preserve">2.5 Summary</w:t>
      </w:r>
    </w:p>
    <w:p>
      <w:pPr>
        <w:pStyle w:val="FirstParagraph"/>
      </w:pPr>
      <w:r>
        <w:t xml:space="preserve">For the twentieth century the located sources support three statements. The ideological appropriations documented in detail, Wilhelmine, wartime and Nazi-era, concern the national Fichte, and the role of the</w:t>
      </w:r>
      <w:r>
        <w:t xml:space="preserve"> </w:t>
      </w:r>
      <w:r>
        <w:rPr>
          <w:iCs/>
          <w:i/>
        </w:rPr>
        <w:t xml:space="preserve">Grundzüge</w:t>
      </w:r>
      <w:r>
        <w:t xml:space="preserve"> </w:t>
      </w:r>
      <w:r>
        <w:t xml:space="preserve">in them is unverified. The renaissance of neo-Kantian and theological interest includes studies titled on Fichte’s philosophy of history, among them Lask’s book and Danz’s study, but their treatment of the 1804-05 lectures cannot be established. The edition of 1991, the bibliographies and the translations of 1976 and 1990 made independent study possible. Together they suggest that the</w:t>
      </w:r>
      <w:r>
        <w:t xml:space="preserve"> </w:t>
      </w:r>
      <w:r>
        <w:rPr>
          <w:iCs/>
          <w:i/>
        </w:rPr>
        <w:t xml:space="preserve">Grundzüge</w:t>
      </w:r>
      <w:r>
        <w:t xml:space="preserve"> </w:t>
      </w:r>
      <w:r>
        <w:t xml:space="preserve">was read, where it was read, through the</w:t>
      </w:r>
      <w:r>
        <w:t xml:space="preserve"> </w:t>
      </w:r>
      <w:r>
        <w:rPr>
          <w:iCs/>
          <w:i/>
        </w:rPr>
        <w:t xml:space="preserve">Reden</w:t>
      </w:r>
      <w:r>
        <w:t xml:space="preserve"> </w:t>
      </w:r>
      <w:r>
        <w:t xml:space="preserve">and the commemorative image of Fichte, and that sustained work on the text belongs to the period after the French translation. Part II turns to that work, beginning with the status of the world plan.</w:t>
      </w:r>
    </w:p>
    <w:bookmarkEnd w:id="30"/>
    <w:bookmarkEnd w:id="31"/>
    <w:bookmarkStart w:id="35" w:name="X32599f252e6c5400e96f95c2c3a46795f671161"/>
    <w:p>
      <w:pPr>
        <w:pStyle w:val="Heading2"/>
      </w:pPr>
      <w:r>
        <w:t xml:space="preserve">Section 3: The World Plan: A Priori Construction, Historical Knowledge, and Fichte between Kant and Hegel</w:t>
      </w:r>
    </w:p>
    <w:p>
      <w:pPr>
        <w:pStyle w:val="FirstParagraph"/>
      </w:pPr>
      <w:r>
        <w:t xml:space="preserve">The first debate of the contemporary literature concerns the methodological status of the five-epoch</w:t>
      </w:r>
      <w:r>
        <w:t xml:space="preserve"> </w:t>
      </w:r>
      <w:r>
        <w:t xml:space="preserve">“</w:t>
      </w:r>
      <w:r>
        <w:t xml:space="preserve">world plan.</w:t>
      </w:r>
      <w:r>
        <w:t xml:space="preserve">”</w:t>
      </w:r>
      <w:r>
        <w:t xml:space="preserve"> </w:t>
      </w:r>
      <w:r>
        <w:t xml:space="preserve">Fichte presents history as derived from an a priori plan, and the question is what kind of knowledge this derivation yields: a speculative deduction, a practical-moral construction, or an arrangement in which philosopher and historian have different tasks. The question also fixes Fichte’s place in the sequence from Kant’s</w:t>
      </w:r>
      <w:r>
        <w:t xml:space="preserve"> </w:t>
      </w:r>
      <w:r>
        <w:t xml:space="preserve">“</w:t>
      </w:r>
      <w:r>
        <w:t xml:space="preserve">Idee zu einer allgemeinen Geschichte</w:t>
      </w:r>
      <w:r>
        <w:t xml:space="preserve">”</w:t>
      </w:r>
      <w:r>
        <w:t xml:space="preserve"> </w:t>
      </w:r>
      <w:r>
        <w:t xml:space="preserve">and Herder’s pluralism to Hegel. Three readings can be distinguished, though they overlap. Most of the evidence is at the level of abstracts, and several chapter-length overviews are known only by title. Where the</w:t>
      </w:r>
      <w:r>
        <w:t xml:space="preserve"> </w:t>
      </w:r>
      <w:r>
        <w:rPr>
          <w:iCs/>
          <w:i/>
        </w:rPr>
        <w:t xml:space="preserve">Grundzüge</w:t>
      </w:r>
      <w:r>
        <w:t xml:space="preserve"> </w:t>
      </w:r>
      <w:r>
        <w:t xml:space="preserve">is not verifiably the object of a study, the point is noted.</w:t>
      </w:r>
    </w:p>
    <w:bookmarkStart w:id="32" w:name="speculative-derivation-and-its-coherence"/>
    <w:p>
      <w:pPr>
        <w:pStyle w:val="Heading3"/>
      </w:pPr>
      <w:r>
        <w:t xml:space="preserve">3.1 Speculative derivation and its coherence</w:t>
      </w:r>
    </w:p>
    <w:p>
      <w:pPr>
        <w:pStyle w:val="FirstParagraph"/>
      </w:pPr>
      <w:r>
        <w:t xml:space="preserve">The reading closest to the text takes the world plan as a speculative derivation and asks whether it holds together. Heinrichs (2003) puts this question first: does Fichte’s historical construction in the</w:t>
      </w:r>
      <w:r>
        <w:t xml:space="preserve"> </w:t>
      </w:r>
      <w:r>
        <w:rPr>
          <w:iCs/>
          <w:i/>
        </w:rPr>
        <w:t xml:space="preserve">Grundzüge</w:t>
      </w:r>
      <w:r>
        <w:t xml:space="preserve"> </w:t>
      </w:r>
      <w:r>
        <w:t xml:space="preserve">have scientific-philosophical plausibility and coherence? His abstract states that the answer requires entering the contested relation between philosophy of history and philosophy of religion, in particular Fichte’s interpretation of Christianity, and that the analysis proved</w:t>
      </w:r>
      <w:r>
        <w:t xml:space="preserve"> </w:t>
      </w:r>
      <w:r>
        <w:t xml:space="preserve">“</w:t>
      </w:r>
      <w:r>
        <w:t xml:space="preserve">unexpectedly controversial,</w:t>
      </w:r>
      <w:r>
        <w:t xml:space="preserve">”</w:t>
      </w:r>
      <w:r>
        <w:t xml:space="preserve"> </w:t>
      </w:r>
      <w:r>
        <w:t xml:space="preserve">which is why he gives extensive textual evidence. He closes with a note on the construction’s diagnostic relevance for the present. Section 5 takes up the religious side of the problem.</w:t>
      </w:r>
    </w:p>
    <w:p>
      <w:pPr>
        <w:pStyle w:val="BodyText"/>
      </w:pPr>
      <w:r>
        <w:t xml:space="preserve">Rueda Garrido (2025) approaches coherence from the system. Using the fivefold synthesis of the</w:t>
      </w:r>
      <w:r>
        <w:t xml:space="preserve"> </w:t>
      </w:r>
      <w:r>
        <w:rPr>
          <w:iCs/>
          <w:i/>
        </w:rPr>
        <w:t xml:space="preserve">Wissenschaftslehre</w:t>
      </w:r>
      <w:r>
        <w:t xml:space="preserve"> </w:t>
      </w:r>
      <w:r>
        <w:t xml:space="preserve">of 1804 (second lecture series), he examines the implicit logical necessity of the epochs of the world plan in the</w:t>
      </w:r>
      <w:r>
        <w:t xml:space="preserve"> </w:t>
      </w:r>
      <w:r>
        <w:rPr>
          <w:iCs/>
          <w:i/>
        </w:rPr>
        <w:t xml:space="preserve">Grundzüge</w:t>
      </w:r>
      <w:r>
        <w:t xml:space="preserve"> </w:t>
      </w:r>
      <w:r>
        <w:t xml:space="preserve">and of the worldviews in the</w:t>
      </w:r>
      <w:r>
        <w:t xml:space="preserve"> </w:t>
      </w:r>
      <w:r>
        <w:rPr>
          <w:iCs/>
          <w:i/>
        </w:rPr>
        <w:t xml:space="preserve">Anweisung zum seligen Leben</w:t>
      </w:r>
      <w:r>
        <w:t xml:space="preserve">. His abstract states that earlier studies treated the two works separately and that none had established a precise correlation between worldviews and epochs, which his article aims to supply. On this account the plan’s necessity comes from the late system, and the topic recurs in Section 5.</w:t>
      </w:r>
    </w:p>
    <w:p>
      <w:pPr>
        <w:pStyle w:val="BodyText"/>
      </w:pPr>
      <w:r>
        <w:t xml:space="preserve">Picardi (2025), according to the abstract in an institutional repository, reconstructs the genesis, the structure and the main theoretical and interpretative problems of the</w:t>
      </w:r>
      <w:r>
        <w:t xml:space="preserve"> </w:t>
      </w:r>
      <w:r>
        <w:rPr>
          <w:iCs/>
          <w:i/>
        </w:rPr>
        <w:t xml:space="preserve">Grundzüge</w:t>
      </w:r>
      <w:r>
        <w:t xml:space="preserve">, with particular attention to historical truth and freedom in history. The chapter itself was not available, so its position on the speculative question cannot be reported. Two further items are signalled by title only. Landenne (2009) is titled as a study of speculation and freedom in the philosophy of history of the</w:t>
      </w:r>
      <w:r>
        <w:t xml:space="preserve"> </w:t>
      </w:r>
      <w:r>
        <w:rPr>
          <w:iCs/>
          <w:i/>
        </w:rPr>
        <w:t xml:space="preserve">Characteristics</w:t>
      </w:r>
      <w:r>
        <w:t xml:space="preserve">. Landenne (2013) is titled as posing the choice between speculative derivation and phenomenological description of historicity in a comparison of Fichte and Husserl; whether it discusses the</w:t>
      </w:r>
      <w:r>
        <w:t xml:space="preserve"> </w:t>
      </w:r>
      <w:r>
        <w:rPr>
          <w:iCs/>
          <w:i/>
        </w:rPr>
        <w:t xml:space="preserve">Grundzüge</w:t>
      </w:r>
      <w:r>
        <w:t xml:space="preserve"> </w:t>
      </w:r>
      <w:r>
        <w:t xml:space="preserve">is not established.</w:t>
      </w:r>
    </w:p>
    <w:bookmarkEnd w:id="32"/>
    <w:bookmarkStart w:id="33" w:name="philosopher-and-historian-the-two-levels"/>
    <w:p>
      <w:pPr>
        <w:pStyle w:val="Heading3"/>
      </w:pPr>
      <w:r>
        <w:t xml:space="preserve">3.2 Philosopher and historian: the two levels</w:t>
      </w:r>
    </w:p>
    <w:p>
      <w:pPr>
        <w:pStyle w:val="FirstParagraph"/>
      </w:pPr>
      <w:r>
        <w:t xml:space="preserve">A second group places the tension inside the text’s own account of historical knowledge. Fusaro (2016) examines the passages of the</w:t>
      </w:r>
      <w:r>
        <w:t xml:space="preserve"> </w:t>
      </w:r>
      <w:r>
        <w:rPr>
          <w:iCs/>
          <w:i/>
        </w:rPr>
        <w:t xml:space="preserve">Grundzüge</w:t>
      </w:r>
      <w:r>
        <w:t xml:space="preserve"> </w:t>
      </w:r>
      <w:r>
        <w:t xml:space="preserve">on historical narrative and historiography. He sets out to show the specific status of</w:t>
      </w:r>
      <w:r>
        <w:t xml:space="preserve"> </w:t>
      </w:r>
      <w:r>
        <w:rPr>
          <w:iCs/>
          <w:i/>
        </w:rPr>
        <w:t xml:space="preserve">Historie</w:t>
      </w:r>
      <w:r>
        <w:t xml:space="preserve">, the differences the text draws between the functions of the</w:t>
      </w:r>
      <w:r>
        <w:t xml:space="preserve"> </w:t>
      </w:r>
      <w:r>
        <w:rPr>
          <w:iCs/>
          <w:i/>
        </w:rPr>
        <w:t xml:space="preserve">Wissenschaftslehrer</w:t>
      </w:r>
      <w:r>
        <w:t xml:space="preserve"> </w:t>
      </w:r>
      <w:r>
        <w:t xml:space="preserve">and of the</w:t>
      </w:r>
      <w:r>
        <w:t xml:space="preserve"> </w:t>
      </w:r>
      <w:r>
        <w:rPr>
          <w:iCs/>
          <w:i/>
        </w:rPr>
        <w:t xml:space="preserve">Historiker</w:t>
      </w:r>
      <w:r>
        <w:t xml:space="preserve">, and the link between them. Philosophical construction and empirical history are here assigned distinct but connected tasks, a division that avoids the choice between deduction and description posed in 3.1.</w:t>
      </w:r>
    </w:p>
    <w:p>
      <w:pPr>
        <w:pStyle w:val="BodyText"/>
      </w:pPr>
      <w:r>
        <w:t xml:space="preserve">Oncina Coves (2019) generalises the point. In his abstract the philosophy of history is</w:t>
      </w:r>
      <w:r>
        <w:t xml:space="preserve"> </w:t>
      </w:r>
      <w:r>
        <w:t xml:space="preserve">“</w:t>
      </w:r>
      <w:r>
        <w:t xml:space="preserve">amphibious,</w:t>
      </w:r>
      <w:r>
        <w:t xml:space="preserve">”</w:t>
      </w:r>
      <w:r>
        <w:t xml:space="preserve"> </w:t>
      </w:r>
      <w:r>
        <w:t xml:space="preserve">standing between the</w:t>
      </w:r>
      <w:r>
        <w:t xml:space="preserve"> </w:t>
      </w:r>
      <w:r>
        <w:rPr>
          <w:iCs/>
          <w:i/>
        </w:rPr>
        <w:t xml:space="preserve">Wissenschaftslehre</w:t>
      </w:r>
      <w:r>
        <w:t xml:space="preserve"> </w:t>
      </w:r>
      <w:r>
        <w:t xml:space="preserve">and historical experience, and Fichte’s version is written over Kant’s as an attempt to understand the historical world as a product of freedom and to place historiography on new foundations. He frames the argument against the conceptual historians Koselleck and Marquard, who discredited the genre by pointing to its ideological pathologies. His chapter is not specific to the</w:t>
      </w:r>
      <w:r>
        <w:t xml:space="preserve"> </w:t>
      </w:r>
      <w:r>
        <w:rPr>
          <w:iCs/>
          <w:i/>
        </w:rPr>
        <w:t xml:space="preserve">Grundzüge</w:t>
      </w:r>
      <w:r>
        <w:t xml:space="preserve">, and the studies taken up here deal with Fichte’s philosophy of history more broadly.</w:t>
      </w:r>
    </w:p>
    <w:p>
      <w:pPr>
        <w:pStyle w:val="BodyText"/>
      </w:pPr>
      <w:r>
        <w:t xml:space="preserve">Reichl (2021) gives the one explicit negative verdict on the project’s success among the sources with abstracts. He asks how history can be grasped systematically for theoretical cognition and argues that Fichte resolves the tension between Herder’s pluralism and Kant’s chiliasm in an innovative manner, but that the deployment of the first principle</w:t>
      </w:r>
      <w:r>
        <w:t xml:space="preserve"> </w:t>
      </w:r>
      <w:r>
        <w:t xml:space="preserve">“</w:t>
      </w:r>
      <w:r>
        <w:t xml:space="preserve">is ultimately unsuccessful in establishing historiography on a firmer scientific foundation.</w:t>
      </w:r>
      <w:r>
        <w:t xml:space="preserve">”</w:t>
      </w:r>
      <w:r>
        <w:t xml:space="preserve"> </w:t>
      </w:r>
      <w:r>
        <w:t xml:space="preserve">Nuzzo (2019), by its title, treats Fichte’s philosophy of history as lying between a priori foundation and material development, and Radrizzani (2020) has a handbook chapter on the philosophy of history. Both are known by title, and their treatment of the</w:t>
      </w:r>
      <w:r>
        <w:t xml:space="preserve"> </w:t>
      </w:r>
      <w:r>
        <w:rPr>
          <w:iCs/>
          <w:i/>
        </w:rPr>
        <w:t xml:space="preserve">Grundzüge</w:t>
      </w:r>
      <w:r>
        <w:t xml:space="preserve"> </w:t>
      </w:r>
      <w:r>
        <w:t xml:space="preserve">is unverified.</w:t>
      </w:r>
    </w:p>
    <w:bookmarkEnd w:id="33"/>
    <w:bookmarkStart w:id="34" w:name="X82e4b1a7b4eb08c1bc0da9d68e182c0af41966e"/>
    <w:p>
      <w:pPr>
        <w:pStyle w:val="Heading3"/>
      </w:pPr>
      <w:r>
        <w:t xml:space="preserve">3.3 Moral-practical readings and the Kant/Hegel axis</w:t>
      </w:r>
    </w:p>
    <w:p>
      <w:pPr>
        <w:pStyle w:val="FirstParagraph"/>
      </w:pPr>
      <w:r>
        <w:t xml:space="preserve">The third reading denies that the world plan is chiefly speculative. Serrano Marín (2020) traces the notion of history in Fichte’s writings before the</w:t>
      </w:r>
      <w:r>
        <w:t xml:space="preserve"> </w:t>
      </w:r>
      <w:r>
        <w:rPr>
          <w:iCs/>
          <w:i/>
        </w:rPr>
        <w:t xml:space="preserve">Characteristics</w:t>
      </w:r>
      <w:r>
        <w:t xml:space="preserve"> </w:t>
      </w:r>
      <w:r>
        <w:t xml:space="preserve">and holds that it is already present in the early texts and coherent with the</w:t>
      </w:r>
      <w:r>
        <w:t xml:space="preserve"> </w:t>
      </w:r>
      <w:r>
        <w:t xml:space="preserve">“</w:t>
      </w:r>
      <w:r>
        <w:t xml:space="preserve">system of freedom.</w:t>
      </w:r>
      <w:r>
        <w:t xml:space="preserve">”</w:t>
      </w:r>
      <w:r>
        <w:t xml:space="preserve"> </w:t>
      </w:r>
      <w:r>
        <w:t xml:space="preserve">He concludes that the division into epochs is conceived from a moral perspective. This, he says, distinguishes it from the label of speculative philosophy of history under which it is usually filed and in which Fichte appears as an intermediary of Hegel. James (2015) is listed with a chapter titled on the future ages of humanity as</w:t>
      </w:r>
      <w:r>
        <w:t xml:space="preserve"> </w:t>
      </w:r>
      <w:r>
        <w:t xml:space="preserve">“</w:t>
      </w:r>
      <w:r>
        <w:t xml:space="preserve">postulates of pure practical reason,</w:t>
      </w:r>
      <w:r>
        <w:t xml:space="preserve">”</w:t>
      </w:r>
      <w:r>
        <w:t xml:space="preserve"> </w:t>
      </w:r>
      <w:r>
        <w:t xml:space="preserve">whose published contents include sections on Fichte’s world plan and on his</w:t>
      </w:r>
      <w:r>
        <w:t xml:space="preserve"> </w:t>
      </w:r>
      <w:r>
        <w:t xml:space="preserve">“</w:t>
      </w:r>
      <w:r>
        <w:t xml:space="preserve">instrumentalization of history.</w:t>
      </w:r>
      <w:r>
        <w:t xml:space="preserve">”</w:t>
      </w:r>
      <w:r>
        <w:t xml:space="preserve"> </w:t>
      </w:r>
      <w:r>
        <w:t xml:space="preserve">According to that listing, the chapter belongs to a study of Fichte’s republic. Ivaldo and Radrizzani (1996) have a title announcing a practical and ethical approach to history in Fichte’s transcendental philosophy, and Picardi (2013) is titled on Kant’s</w:t>
      </w:r>
      <w:r>
        <w:t xml:space="preserve"> </w:t>
      </w:r>
      <w:r>
        <w:t xml:space="preserve">“</w:t>
      </w:r>
      <w:r>
        <w:t xml:space="preserve">guiding thread</w:t>
      </w:r>
      <w:r>
        <w:t xml:space="preserve">”</w:t>
      </w:r>
      <w:r>
        <w:t xml:space="preserve"> </w:t>
      </w:r>
      <w:r>
        <w:t xml:space="preserve">of universal history and its legacy in Fichte. These last two are title-level evidence. Hübner (2011) is a survey of German idealist philosophy of history from Kant to Hegel, also known by title, so the claim that it places Fichte on a continuum between them cannot be checked.</w:t>
      </w:r>
    </w:p>
    <w:p>
      <w:pPr>
        <w:pStyle w:val="BodyText"/>
      </w:pPr>
      <w:r>
        <w:t xml:space="preserve">The Hegelian pole of the triangle is documented from the other direction. Chaput (2025) argues that Hegel’s Jena critique of Fichte’s political thought, written in the same years as the</w:t>
      </w:r>
      <w:r>
        <w:t xml:space="preserve"> </w:t>
      </w:r>
      <w:r>
        <w:rPr>
          <w:iCs/>
          <w:i/>
        </w:rPr>
        <w:t xml:space="preserve">Grundzüge</w:t>
      </w:r>
      <w:r>
        <w:t xml:space="preserve"> </w:t>
      </w:r>
      <w:r>
        <w:t xml:space="preserve">(1801-06), has force when its empirical side is considered. Hegel’s point, in his account, is that a systematic philosophy that includes a doctrine of right must treat the empirical and historical as valid instances for judging a transcendental approach, and that because of his transcendental presuppositions Fichte can escape neither the accusation of formalism nor</w:t>
      </w:r>
      <w:r>
        <w:t xml:space="preserve"> </w:t>
      </w:r>
      <w:r>
        <w:t xml:space="preserve">“</w:t>
      </w:r>
      <w:r>
        <w:t xml:space="preserve">the judgment of history.</w:t>
      </w:r>
      <w:r>
        <w:t xml:space="preserve">”</w:t>
      </w:r>
      <w:r>
        <w:t xml:space="preserve"> </w:t>
      </w:r>
      <w:r>
        <w:t xml:space="preserve">The article concerns the doctrine of right, not the</w:t>
      </w:r>
      <w:r>
        <w:t xml:space="preserve"> </w:t>
      </w:r>
      <w:r>
        <w:rPr>
          <w:iCs/>
          <w:i/>
        </w:rPr>
        <w:t xml:space="preserve">Grundzüge</w:t>
      </w:r>
      <w:r>
        <w:t xml:space="preserve">. Read alongside Reichl, it shows that the question of scientific status is also posed as an objection from outside Fichte’s system. Picardi (2026), finally, places Fichte’s early involvement in the Herder-Kant dispute over the origin of the human race and history in the background of the</w:t>
      </w:r>
      <w:r>
        <w:t xml:space="preserve"> </w:t>
      </w:r>
      <w:r>
        <w:rPr>
          <w:iCs/>
          <w:i/>
        </w:rPr>
        <w:t xml:space="preserve">Staatslehre</w:t>
      </w:r>
      <w:r>
        <w:t xml:space="preserve"> </w:t>
      </w:r>
      <w:r>
        <w:t xml:space="preserve">of 1813. The</w:t>
      </w:r>
      <w:r>
        <w:t xml:space="preserve"> </w:t>
      </w:r>
      <w:r>
        <w:rPr>
          <w:iCs/>
          <w:i/>
        </w:rPr>
        <w:t xml:space="preserve">Grundzüge</w:t>
      </w:r>
      <w:r>
        <w:t xml:space="preserve"> </w:t>
      </w:r>
      <w:r>
        <w:t xml:space="preserve">figure there only in passing, but the study bears on the first epoch, in which the</w:t>
      </w:r>
      <w:r>
        <w:t xml:space="preserve"> </w:t>
      </w:r>
      <w:r>
        <w:rPr>
          <w:iCs/>
          <w:i/>
        </w:rPr>
        <w:t xml:space="preserve">Normalvolk</w:t>
      </w:r>
      <w:r>
        <w:t xml:space="preserve"> </w:t>
      </w:r>
      <w:r>
        <w:t xml:space="preserve">appears. Picardi argues that the</w:t>
      </w:r>
      <w:r>
        <w:t xml:space="preserve"> </w:t>
      </w:r>
      <w:r>
        <w:rPr>
          <w:iCs/>
          <w:i/>
        </w:rPr>
        <w:t xml:space="preserve">Normalvolk</w:t>
      </w:r>
      <w:r>
        <w:t xml:space="preserve">/savages dualism reflects an approach that rejects any fixed division while justifying colonialism, and Section 6 returns to its significance.</w:t>
      </w:r>
    </w:p>
    <w:p>
      <w:pPr>
        <w:pStyle w:val="BodyText"/>
      </w:pPr>
      <w:r>
        <w:t xml:space="preserve">The sources thus support no consensus. They agree that the plan’s status is the central question and divide on how to answer it: derivation from the late system (Rueda Garrido), a two-level division of tasks (Fusaro, Oncina Coves), a moral perspective (Serrano Marín), or a failed attempt to ground historiography scientifically (Reichl). The charge that the plan amounts to a closed teleology, which Hegel’s objection might suggest, is not developed in any verified source focused on the</w:t>
      </w:r>
      <w:r>
        <w:t xml:space="preserve"> </w:t>
      </w:r>
      <w:r>
        <w:rPr>
          <w:iCs/>
          <w:i/>
        </w:rPr>
        <w:t xml:space="preserve">Grundzüge</w:t>
      </w:r>
      <w:r>
        <w:t xml:space="preserve">, and this is a gap. The next section turns from the plan’s form to its content, the critique of the third epoch.</w:t>
      </w:r>
    </w:p>
    <w:bookmarkEnd w:id="34"/>
    <w:bookmarkEnd w:id="35"/>
    <w:bookmarkStart w:id="39" w:name="X4d99f3dcf9fc83af4b7236fda5d8d8e6a1a7d2b"/>
    <w:p>
      <w:pPr>
        <w:pStyle w:val="Heading2"/>
      </w:pPr>
      <w:r>
        <w:t xml:space="preserve">Section 4: The</w:t>
      </w:r>
      <w:r>
        <w:t xml:space="preserve"> </w:t>
      </w:r>
      <w:r>
        <w:t xml:space="preserve">“</w:t>
      </w:r>
      <w:r>
        <w:t xml:space="preserve">Age of Completed Sinfulness</w:t>
      </w:r>
      <w:r>
        <w:t xml:space="preserve">”</w:t>
      </w:r>
      <w:r>
        <w:t xml:space="preserve">: Enlightenment Critique and Diagnosis of Modernity</w:t>
      </w:r>
    </w:p>
    <w:p>
      <w:pPr>
        <w:pStyle w:val="FirstParagraph"/>
      </w:pPr>
      <w:r>
        <w:t xml:space="preserve">The third epoch of the world plan, the</w:t>
      </w:r>
      <w:r>
        <w:t xml:space="preserve"> </w:t>
      </w:r>
      <w:r>
        <w:t xml:space="preserve">“</w:t>
      </w:r>
      <w:r>
        <w:t xml:space="preserve">age of completed sinfulness,</w:t>
      </w:r>
      <w:r>
        <w:t xml:space="preserve">”</w:t>
      </w:r>
      <w:r>
        <w:t xml:space="preserve"> </w:t>
      </w:r>
      <w:r>
        <w:t xml:space="preserve">is the part of the</w:t>
      </w:r>
      <w:r>
        <w:t xml:space="preserve"> </w:t>
      </w:r>
      <w:r>
        <w:rPr>
          <w:iCs/>
          <w:i/>
        </w:rPr>
        <w:t xml:space="preserve">Grundzüge</w:t>
      </w:r>
      <w:r>
        <w:t xml:space="preserve"> </w:t>
      </w:r>
      <w:r>
        <w:t xml:space="preserve">on which several recent studies focus. The question is whether Fichte’s harsh verdict on his own time rejects the Enlightenment or continues it by other means. Studies that treat the text as a diagnosis of modernity answer in different registers: philosophical, social-critical, media-critical, religious. Much of the comparative material is known only through titles or abstracts that do not name the</w:t>
      </w:r>
      <w:r>
        <w:t xml:space="preserve"> </w:t>
      </w:r>
      <w:r>
        <w:rPr>
          <w:iCs/>
          <w:i/>
        </w:rPr>
        <w:t xml:space="preserve">Grundzüge</w:t>
      </w:r>
      <w:r>
        <w:t xml:space="preserve">, and the discussion marks where this is so.</w:t>
      </w:r>
    </w:p>
    <w:bookmarkStart w:id="36" w:name="internal-critique"/>
    <w:p>
      <w:pPr>
        <w:pStyle w:val="Heading3"/>
      </w:pPr>
      <w:r>
        <w:t xml:space="preserve">4.1 Internal critique</w:t>
      </w:r>
    </w:p>
    <w:p>
      <w:pPr>
        <w:pStyle w:val="FirstParagraph"/>
      </w:pPr>
      <w:r>
        <w:t xml:space="preserve">The reading with the most support in the abstracts treats the critique as internal to the Enlightenment. Kloc-Konkołowicz (2017) identifies Fichte’s</w:t>
      </w:r>
      <w:r>
        <w:t xml:space="preserve"> </w:t>
      </w:r>
      <w:r>
        <w:t xml:space="preserve">“</w:t>
      </w:r>
      <w:r>
        <w:t xml:space="preserve">third historical period</w:t>
      </w:r>
      <w:r>
        <w:t xml:space="preserve">”</w:t>
      </w:r>
      <w:r>
        <w:t xml:space="preserve"> </w:t>
      </w:r>
      <w:r>
        <w:t xml:space="preserve">with the age of Enlightenment and reads the lectures as a</w:t>
      </w:r>
      <w:r>
        <w:t xml:space="preserve"> </w:t>
      </w:r>
      <w:r>
        <w:t xml:space="preserve">“</w:t>
      </w:r>
      <w:r>
        <w:t xml:space="preserve">reflective self-critique</w:t>
      </w:r>
      <w:r>
        <w:t xml:space="preserve">”</w:t>
      </w:r>
      <w:r>
        <w:t xml:space="preserve"> </w:t>
      </w:r>
      <w:r>
        <w:t xml:space="preserve">of it. In his abstract the object of Fichte’s criticism is egoism, superficiality and self-interest, and the aim is</w:t>
      </w:r>
      <w:r>
        <w:t xml:space="preserve"> </w:t>
      </w:r>
      <w:r>
        <w:t xml:space="preserve">“</w:t>
      </w:r>
      <w:r>
        <w:t xml:space="preserve">not to refuse it entirely</w:t>
      </w:r>
      <w:r>
        <w:t xml:space="preserve">”</w:t>
      </w:r>
      <w:r>
        <w:t xml:space="preserve"> </w:t>
      </w:r>
      <w:r>
        <w:t xml:space="preserve">but to continue it</w:t>
      </w:r>
      <w:r>
        <w:t xml:space="preserve"> </w:t>
      </w:r>
      <w:r>
        <w:t xml:space="preserve">“</w:t>
      </w:r>
      <w:r>
        <w:t xml:space="preserve">with an increased sense of self-criticism.</w:t>
      </w:r>
      <w:r>
        <w:t xml:space="preserve">”</w:t>
      </w:r>
      <w:r>
        <w:t xml:space="preserve"> </w:t>
      </w:r>
      <w:r>
        <w:t xml:space="preserve">Despite the critique of modernity, Fichte on this account takes neither a conservative, a communitarian nor a collectivist path, and what he intends is an</w:t>
      </w:r>
      <w:r>
        <w:t xml:space="preserve"> </w:t>
      </w:r>
      <w:r>
        <w:t xml:space="preserve">“</w:t>
      </w:r>
      <w:r>
        <w:t xml:space="preserve">enlightenment of Enlightenment.</w:t>
      </w:r>
      <w:r>
        <w:t xml:space="preserve">”</w:t>
      </w:r>
      <w:r>
        <w:t xml:space="preserve"> </w:t>
      </w:r>
      <w:r>
        <w:t xml:space="preserve">Kloc-Konkołowicz adds that the reading allows the arguments to be placed in current debates about religion in civil society and about the values of European integration.</w:t>
      </w:r>
    </w:p>
    <w:p>
      <w:pPr>
        <w:pStyle w:val="BodyText"/>
      </w:pPr>
      <w:r>
        <w:t xml:space="preserve">Solé (2021) reaches a similar conclusion by comparing the</w:t>
      </w:r>
      <w:r>
        <w:t xml:space="preserve"> </w:t>
      </w:r>
      <w:r>
        <w:rPr>
          <w:iCs/>
          <w:i/>
        </w:rPr>
        <w:t xml:space="preserve">Grundzüge</w:t>
      </w:r>
      <w:r>
        <w:t xml:space="preserve"> </w:t>
      </w:r>
      <w:r>
        <w:t xml:space="preserve">with the</w:t>
      </w:r>
      <w:r>
        <w:t xml:space="preserve"> </w:t>
      </w:r>
      <w:r>
        <w:rPr>
          <w:iCs/>
          <w:i/>
        </w:rPr>
        <w:t xml:space="preserve">Zurückforderung der Denkfreiheit</w:t>
      </w:r>
      <w:r>
        <w:t xml:space="preserve"> </w:t>
      </w:r>
      <w:r>
        <w:t xml:space="preserve">(1793). She grants the change in Fichte’s attitude, from fervent defence to harsh criticism, but argues that he continues to adhere to the Kantian programme of emancipation through autonomous reason and radicalises it. Her evidence is the claim for unlimited freedom of expression and the priority of oral over written communication. She suggests that Fichte defends a</w:t>
      </w:r>
      <w:r>
        <w:t xml:space="preserve"> </w:t>
      </w:r>
      <w:r>
        <w:t xml:space="preserve">“</w:t>
      </w:r>
      <w:r>
        <w:t xml:space="preserve">positive</w:t>
      </w:r>
      <w:r>
        <w:t xml:space="preserve">”</w:t>
      </w:r>
      <w:r>
        <w:t xml:space="preserve"> </w:t>
      </w:r>
      <w:r>
        <w:t xml:space="preserve">Enlightenment against the</w:t>
      </w:r>
      <w:r>
        <w:t xml:space="preserve"> </w:t>
      </w:r>
      <w:r>
        <w:t xml:space="preserve">“</w:t>
      </w:r>
      <w:r>
        <w:t xml:space="preserve">negative and empty</w:t>
      </w:r>
      <w:r>
        <w:t xml:space="preserve">”</w:t>
      </w:r>
      <w:r>
        <w:t xml:space="preserve"> </w:t>
      </w:r>
      <w:r>
        <w:t xml:space="preserve">one he rejects. Kloc-Konkołowicz (2020) offers a related concept from the late writings: Enlightenment as the increasing transparency of images, with the state’s coercion justifiable only as education toward insight, so that the properly functioning state strives for its own abolition. This article concerns the late</w:t>
      </w:r>
      <w:r>
        <w:t xml:space="preserve"> </w:t>
      </w:r>
      <w:r>
        <w:rPr>
          <w:iCs/>
          <w:i/>
        </w:rPr>
        <w:t xml:space="preserve">Wissenschaftslehre</w:t>
      </w:r>
      <w:r>
        <w:t xml:space="preserve"> </w:t>
      </w:r>
      <w:r>
        <w:t xml:space="preserve">and treats the</w:t>
      </w:r>
      <w:r>
        <w:t xml:space="preserve"> </w:t>
      </w:r>
      <w:r>
        <w:rPr>
          <w:iCs/>
          <w:i/>
        </w:rPr>
        <w:t xml:space="preserve">Grundzüge</w:t>
      </w:r>
      <w:r>
        <w:t xml:space="preserve"> </w:t>
      </w:r>
      <w:r>
        <w:t xml:space="preserve">separately, so it is evidence of a conception that can be set beside the 1804-05 critique, not of that critique.</w:t>
      </w:r>
    </w:p>
    <w:p>
      <w:pPr>
        <w:pStyle w:val="BodyText"/>
      </w:pPr>
      <w:r>
        <w:t xml:space="preserve">A second line connects the lectures to twentieth-century critical theory. James (2015) argues that the conception of enlightenment in the lectures of 1804-05 is to some extent reproduced in Hegel’s account of the Enlightenment’s struggle with faith in the</w:t>
      </w:r>
      <w:r>
        <w:t xml:space="preserve"> </w:t>
      </w:r>
      <w:r>
        <w:rPr>
          <w:iCs/>
          <w:i/>
        </w:rPr>
        <w:t xml:space="preserve">Phenomenology</w:t>
      </w:r>
      <w:r>
        <w:t xml:space="preserve"> </w:t>
      </w:r>
      <w:r>
        <w:t xml:space="preserve">and in Horkheimer and Adorno’s</w:t>
      </w:r>
      <w:r>
        <w:t xml:space="preserve"> </w:t>
      </w:r>
      <w:r>
        <w:rPr>
          <w:iCs/>
          <w:i/>
        </w:rPr>
        <w:t xml:space="preserve">Dialectic of Enlightenment</w:t>
      </w:r>
      <w:r>
        <w:t xml:space="preserve">. The notion of an unconditional good plays a critical role in Fichte and Hegel, and its absence in Horkheimer and Adorno, he says, raises questions about how successful their critique can be thought to be. James (2025) defends Fichte against Adorno’s charge of extreme identity thinking by distinguishing a transcendental level of inquiry from a historical-empirical one. His abstract does not name the</w:t>
      </w:r>
      <w:r>
        <w:t xml:space="preserve"> </w:t>
      </w:r>
      <w:r>
        <w:rPr>
          <w:iCs/>
          <w:i/>
        </w:rPr>
        <w:t xml:space="preserve">Grundzüge</w:t>
      </w:r>
      <w:r>
        <w:t xml:space="preserve">, and the same holds for James (2016), a Kantian reconstruction of universal history within the</w:t>
      </w:r>
      <w:r>
        <w:t xml:space="preserve"> </w:t>
      </w:r>
      <w:r>
        <w:rPr>
          <w:iCs/>
          <w:i/>
        </w:rPr>
        <w:t xml:space="preserve">Dialectic of Enlightenment</w:t>
      </w:r>
      <w:r>
        <w:t xml:space="preserve"> </w:t>
      </w:r>
      <w:r>
        <w:t xml:space="preserve">that does not mention Fichte. Both bear on the question only as background. López Domínguez (2026) reads the 1813</w:t>
      </w:r>
      <w:r>
        <w:t xml:space="preserve"> </w:t>
      </w:r>
      <w:r>
        <w:rPr>
          <w:iCs/>
          <w:i/>
        </w:rPr>
        <w:t xml:space="preserve">Staatslehre</w:t>
      </w:r>
      <w:r>
        <w:t xml:space="preserve"> </w:t>
      </w:r>
      <w:r>
        <w:t xml:space="preserve">as a defence of Enlightenment ideals. It is a later text, and the abstract does not address the lectures of 1804-05, but it shows that a reading of the late Fichte as Enlightenment-affirming has precedent outside the</w:t>
      </w:r>
      <w:r>
        <w:t xml:space="preserve"> </w:t>
      </w:r>
      <w:r>
        <w:rPr>
          <w:iCs/>
          <w:i/>
        </w:rPr>
        <w:t xml:space="preserve">Grundzüge</w:t>
      </w:r>
      <w:r>
        <w:t xml:space="preserve"> </w:t>
      </w:r>
      <w:r>
        <w:t xml:space="preserve">literature.</w:t>
      </w:r>
    </w:p>
    <w:bookmarkEnd w:id="36"/>
    <w:bookmarkStart w:id="37" w:name="other-accents-of-the-critique"/>
    <w:p>
      <w:pPr>
        <w:pStyle w:val="Heading3"/>
      </w:pPr>
      <w:r>
        <w:t xml:space="preserve">4.2 Other accents of the critique</w:t>
      </w:r>
    </w:p>
    <w:p>
      <w:pPr>
        <w:pStyle w:val="FirstParagraph"/>
      </w:pPr>
      <w:r>
        <w:t xml:space="preserve">Not every study frames the problem as Enlightenment critique. Utteich (2020) treats Lectures 6 and 7, on the interval between the third and fourth ages. In his abstract the third age represents a</w:t>
      </w:r>
      <w:r>
        <w:t xml:space="preserve"> </w:t>
      </w:r>
      <w:r>
        <w:t xml:space="preserve">“</w:t>
      </w:r>
      <w:r>
        <w:t xml:space="preserve">false autonomy</w:t>
      </w:r>
      <w:r>
        <w:t xml:space="preserve">”</w:t>
      </w:r>
      <w:r>
        <w:t xml:space="preserve"> </w:t>
      </w:r>
      <w:r>
        <w:t xml:space="preserve">won by the letter, that is, by printing, against the spirit, whose source in human affairs is oral communication. Fichte, on this account, prepares the transition to the fourth age. This is a media-critical and educational accent. It touches Solé’s point about the priority of oral communication, though Utteich does not make that connection in the abstract.</w:t>
      </w:r>
    </w:p>
    <w:p>
      <w:pPr>
        <w:pStyle w:val="BodyText"/>
      </w:pPr>
      <w:r>
        <w:t xml:space="preserve">Two titles by Fusaro signal a social-critical reading. A 2013 article is titled on the critique of capitalist society in the</w:t>
      </w:r>
      <w:r>
        <w:t xml:space="preserve"> </w:t>
      </w:r>
      <w:r>
        <w:rPr>
          <w:iCs/>
          <w:i/>
        </w:rPr>
        <w:t xml:space="preserve">Grundzüge</w:t>
      </w:r>
      <w:r>
        <w:t xml:space="preserve">, and a 2017 monograph,</w:t>
      </w:r>
      <w:r>
        <w:t xml:space="preserve"> </w:t>
      </w:r>
      <w:r>
        <w:rPr>
          <w:iCs/>
          <w:i/>
        </w:rPr>
        <w:t xml:space="preserve">Fichte e la compiuta peccaminosità</w:t>
      </w:r>
      <w:r>
        <w:t xml:space="preserve">, on the philosophy of history and the critique of the present in the lectures. Both are known by title and metadata only; their arguments cannot be reported.</w:t>
      </w:r>
    </w:p>
    <w:p>
      <w:pPr>
        <w:pStyle w:val="BodyText"/>
      </w:pPr>
      <w:r>
        <w:t xml:space="preserve">Maesschalck (1991) gives a religious accent. In his abstract Fichte criticises the ancient religions, the Christian gnoses and the</w:t>
      </w:r>
      <w:r>
        <w:t xml:space="preserve"> </w:t>
      </w:r>
      <w:r>
        <w:t xml:space="preserve">“</w:t>
      </w:r>
      <w:r>
        <w:t xml:space="preserve">rational gospel</w:t>
      </w:r>
      <w:r>
        <w:t xml:space="preserve">”</w:t>
      </w:r>
      <w:r>
        <w:t xml:space="preserve"> </w:t>
      </w:r>
      <w:r>
        <w:t xml:space="preserve">of modern Protestantism, while claiming for his philosophy the standpoint of authentic Christianity. The new metaphysics and the one true religion share a destiny and should allow spirit to emigrate from</w:t>
      </w:r>
      <w:r>
        <w:t xml:space="preserve"> </w:t>
      </w:r>
      <w:r>
        <w:t xml:space="preserve">“</w:t>
      </w:r>
      <w:r>
        <w:t xml:space="preserve">modern subjectivism.</w:t>
      </w:r>
      <w:r>
        <w:t xml:space="preserve">”</w:t>
      </w:r>
      <w:r>
        <w:t xml:space="preserve"> </w:t>
      </w:r>
      <w:r>
        <w:t xml:space="preserve">The end of modernity is then a common political task of the highest spheres of culture, to give a collective content, as a social creation, to the formal freedom theorised by the Enlightenment. The religious reading thus overlaps with the internal-critique reading while differing about what completes the Enlightenment. Heinrichs (2003) closes with a brief section on the diagnostic relevance of the construction for the present, but the abstract does not state its content. Section 5 turns to the religious claims and their critics.</w:t>
      </w:r>
    </w:p>
    <w:bookmarkEnd w:id="37"/>
    <w:bookmarkStart w:id="38" w:name="comparative-kulturkritik"/>
    <w:p>
      <w:pPr>
        <w:pStyle w:val="Heading3"/>
      </w:pPr>
      <w:r>
        <w:t xml:space="preserve">4.3 Comparative Kulturkritik</w:t>
      </w:r>
    </w:p>
    <w:p>
      <w:pPr>
        <w:pStyle w:val="FirstParagraph"/>
      </w:pPr>
      <w:r>
        <w:t xml:space="preserve">Placing the text among diagnosticians of the age requires comparison, and the verified material is thin. Schwenzfeuer (2020) contrasts Fichte’s Jena lectures on the scholar’s vocation with Schiller’s</w:t>
      </w:r>
      <w:r>
        <w:t xml:space="preserve"> </w:t>
      </w:r>
      <w:r>
        <w:rPr>
          <w:iCs/>
          <w:i/>
        </w:rPr>
        <w:t xml:space="preserve">Letters on the Aesthetic Education of Mankind</w:t>
      </w:r>
      <w:r>
        <w:t xml:space="preserve">. In his abstract Fichte holds that the realisation of humanity requires a society based on division of labour, as a place of reciprocal perfection, whereas Schiller criticised division of labour as fragmentation. The comparison concerns the Jena texts, not the</w:t>
      </w:r>
      <w:r>
        <w:t xml:space="preserve"> </w:t>
      </w:r>
      <w:r>
        <w:rPr>
          <w:iCs/>
          <w:i/>
        </w:rPr>
        <w:t xml:space="preserve">Grundzüge</w:t>
      </w:r>
      <w:r>
        <w:t xml:space="preserve">. Read next to the 1804-05 verdict on the age, it shows how Fichte evaluated social differentiation at the earlier stage, though no located source traces the shift. Roy (2016) is titled on Fichte and Schiller in light of the quarrel over the</w:t>
      </w:r>
      <w:r>
        <w:t xml:space="preserve"> </w:t>
      </w:r>
      <w:r>
        <w:rPr>
          <w:iCs/>
          <w:i/>
        </w:rPr>
        <w:t xml:space="preserve">Horen</w:t>
      </w:r>
      <w:r>
        <w:t xml:space="preserve">, and Bollenbeck (2005) on the constitutive function of cultural criticism in Schiller’s</w:t>
      </w:r>
      <w:r>
        <w:t xml:space="preserve"> </w:t>
      </w:r>
      <w:r>
        <w:rPr>
          <w:iCs/>
          <w:i/>
        </w:rPr>
        <w:t xml:space="preserve">Letters</w:t>
      </w:r>
      <w:r>
        <w:t xml:space="preserve">; both are title-level evidence, and neither is verified as discussing the</w:t>
      </w:r>
      <w:r>
        <w:t xml:space="preserve"> </w:t>
      </w:r>
      <w:r>
        <w:rPr>
          <w:iCs/>
          <w:i/>
        </w:rPr>
        <w:t xml:space="preserve">Grundzüge</w:t>
      </w:r>
      <w:r>
        <w:t xml:space="preserve">.</w:t>
      </w:r>
    </w:p>
    <w:p>
      <w:pPr>
        <w:pStyle w:val="BodyText"/>
      </w:pPr>
      <w:r>
        <w:t xml:space="preserve">Cunha (2017) compares Rousseau’s hypothetical and conditional method with Fichte’s criticism of it, with attention to the critique of Western civilisation, and asks in its title whether Fichte offers a critique of civilisation or of culture. The abstract does not name the</w:t>
      </w:r>
      <w:r>
        <w:t xml:space="preserve"> </w:t>
      </w:r>
      <w:r>
        <w:rPr>
          <w:iCs/>
          <w:i/>
        </w:rPr>
        <w:t xml:space="preserve">Grundzüge</w:t>
      </w:r>
      <w:r>
        <w:t xml:space="preserve">. Habermas’s (1985)</w:t>
      </w:r>
      <w:r>
        <w:t xml:space="preserve"> </w:t>
      </w:r>
      <w:r>
        <w:rPr>
          <w:iCs/>
          <w:i/>
        </w:rPr>
        <w:t xml:space="preserve">Philosophical Discourse of Modernity</w:t>
      </w:r>
      <w:r>
        <w:t xml:space="preserve">, which reconstructs modernity’s self-understanding from Hegel onward, is the framework within which German idealists are often treated as theorists of modernity; its record does not show that it treats the</w:t>
      </w:r>
      <w:r>
        <w:t xml:space="preserve"> </w:t>
      </w:r>
      <w:r>
        <w:rPr>
          <w:iCs/>
          <w:i/>
        </w:rPr>
        <w:t xml:space="preserve">Grundzüge</w:t>
      </w:r>
      <w:r>
        <w:t xml:space="preserve">. Torbidoni (2020) reassesses the Löwith-Blumenberg debate over whether modern philosophy of history is a secularised Christian history of salvation or a</w:t>
      </w:r>
      <w:r>
        <w:t xml:space="preserve"> </w:t>
      </w:r>
      <w:r>
        <w:t xml:space="preserve">“</w:t>
      </w:r>
      <w:r>
        <w:t xml:space="preserve">reoccupation</w:t>
      </w:r>
      <w:r>
        <w:t xml:space="preserve">”</w:t>
      </w:r>
      <w:r>
        <w:t xml:space="preserve"> </w:t>
      </w:r>
      <w:r>
        <w:t xml:space="preserve">of the place of eschatology. This vocabulary could be applied to a five-epoch scheme with a religious telos, but no located work does so for the</w:t>
      </w:r>
      <w:r>
        <w:t xml:space="preserve"> </w:t>
      </w:r>
      <w:r>
        <w:rPr>
          <w:iCs/>
          <w:i/>
        </w:rPr>
        <w:t xml:space="preserve">Grundzüge</w:t>
      </w:r>
      <w:r>
        <w:t xml:space="preserve">, and the gap is noted here without being filled.</w:t>
      </w:r>
    </w:p>
    <w:p>
      <w:pPr>
        <w:pStyle w:val="BodyText"/>
      </w:pPr>
      <w:r>
        <w:t xml:space="preserve">The abstracts thus support an internal-critique reading (Kloc-Konkołowicz, Solé), sometimes extended through Hegel to the Frankfurt School (James), with media-critical (Utteich), religious (Maesschalck) and, by title, social-critical (Fusaro) accents offered as additions or alternatives. The comparisons with Schiller, Rousseau and Adorno mostly concern other Fichtean texts, and a sustained comparison of the</w:t>
      </w:r>
      <w:r>
        <w:t xml:space="preserve"> </w:t>
      </w:r>
      <w:r>
        <w:rPr>
          <w:iCs/>
          <w:i/>
        </w:rPr>
        <w:t xml:space="preserve">Grundzüge</w:t>
      </w:r>
      <w:r>
        <w:t xml:space="preserve"> </w:t>
      </w:r>
      <w:r>
        <w:t xml:space="preserve">itself with these interlocutors is missing. Section 5 takes up the claim, shared by Maesschalck and Heinrichs, that the critique cannot be understood apart from Fichte’s religion and late metaphysics.</w:t>
      </w:r>
    </w:p>
    <w:bookmarkEnd w:id="38"/>
    <w:bookmarkEnd w:id="39"/>
    <w:bookmarkStart w:id="43" w:name="Xeea281f460bdf57049acf8399cc24cfdcea724f"/>
    <w:p>
      <w:pPr>
        <w:pStyle w:val="Heading2"/>
      </w:pPr>
      <w:r>
        <w:t xml:space="preserve">Section 5: Religion, the Late Wissenschaftslehre, and the Johannine Thesis</w:t>
      </w:r>
    </w:p>
    <w:p>
      <w:pPr>
        <w:pStyle w:val="FirstParagraph"/>
      </w:pPr>
      <w:r>
        <w:t xml:space="preserve">Section 4 ended with the claim, shared by Maesschalck (1991) and Heinrichs (2003), that the critique of the age cannot be understood apart from Fichte’s religion and late metaphysics. This section asks how the epoch scheme depends on the late</w:t>
      </w:r>
      <w:r>
        <w:t xml:space="preserve"> </w:t>
      </w:r>
      <w:r>
        <w:rPr>
          <w:iCs/>
          <w:i/>
        </w:rPr>
        <w:t xml:space="preserve">Wissenschaftslehre</w:t>
      </w:r>
      <w:r>
        <w:t xml:space="preserve"> </w:t>
      </w:r>
      <w:r>
        <w:t xml:space="preserve">(WL), whether the religious doctrine of 1804-06 continues or departs from earlier positions, and what the</w:t>
      </w:r>
      <w:r>
        <w:t xml:space="preserve"> </w:t>
      </w:r>
      <w:r>
        <w:t xml:space="preserve">“</w:t>
      </w:r>
      <w:r>
        <w:t xml:space="preserve">Johannine</w:t>
      </w:r>
      <w:r>
        <w:t xml:space="preserve">”</w:t>
      </w:r>
      <w:r>
        <w:t xml:space="preserve"> </w:t>
      </w:r>
      <w:r>
        <w:t xml:space="preserve">Christianity at the end of the scheme implies for the treatment of Judaism. Most items below are not about the</w:t>
      </w:r>
      <w:r>
        <w:t xml:space="preserve"> </w:t>
      </w:r>
      <w:r>
        <w:rPr>
          <w:iCs/>
          <w:i/>
        </w:rPr>
        <w:t xml:space="preserve">Grundzüge</w:t>
      </w:r>
      <w:r>
        <w:t xml:space="preserve"> </w:t>
      </w:r>
      <w:r>
        <w:t xml:space="preserve">itself. Their abstracts concern the 1804 WL, the</w:t>
      </w:r>
      <w:r>
        <w:t xml:space="preserve"> </w:t>
      </w:r>
      <w:r>
        <w:rPr>
          <w:iCs/>
          <w:i/>
        </w:rPr>
        <w:t xml:space="preserve">Anweisung zum seligen Leben</w:t>
      </w:r>
      <w:r>
        <w:t xml:space="preserve"> </w:t>
      </w:r>
      <w:r>
        <w:t xml:space="preserve">or the philosophy of religion generally, so their bearing on the lectures is an inference and is marked as such.</w:t>
      </w:r>
    </w:p>
    <w:bookmarkStart w:id="40" w:name="popular-philosophy-and-the-late-system"/>
    <w:p>
      <w:pPr>
        <w:pStyle w:val="Heading3"/>
      </w:pPr>
      <w:r>
        <w:t xml:space="preserve">5.1 Popular philosophy and the late system</w:t>
      </w:r>
    </w:p>
    <w:p>
      <w:pPr>
        <w:pStyle w:val="FirstParagraph"/>
      </w:pPr>
      <w:r>
        <w:t xml:space="preserve">Two titles frame the question of genre. Traub (1992) is a monograph on Fichte’s</w:t>
      </w:r>
      <w:r>
        <w:t xml:space="preserve"> </w:t>
      </w:r>
      <w:r>
        <w:t xml:space="preserve">“</w:t>
      </w:r>
      <w:r>
        <w:t xml:space="preserve">popular philosophy</w:t>
      </w:r>
      <w:r>
        <w:t xml:space="preserve">”</w:t>
      </w:r>
      <w:r>
        <w:t xml:space="preserve"> </w:t>
      </w:r>
      <w:r>
        <w:t xml:space="preserve">of 1804-06, and Gilli (2007) is titled on the presence of</w:t>
      </w:r>
      <w:r>
        <w:t xml:space="preserve"> </w:t>
      </w:r>
      <w:r>
        <w:rPr>
          <w:iCs/>
          <w:i/>
        </w:rPr>
        <w:t xml:space="preserve">Populärphilosophie</w:t>
      </w:r>
      <w:r>
        <w:t xml:space="preserve"> </w:t>
      </w:r>
      <w:r>
        <w:t xml:space="preserve">in the late work. Neither has an abstract in the located record, so they are cited only as addressing the relation of the Berlin popular texts to the scientific system, without attributing a position to either. Traub (1992) is the only monograph located whose title covers the 1804-06 popular texts as a group.</w:t>
      </w:r>
    </w:p>
    <w:p>
      <w:pPr>
        <w:pStyle w:val="BodyText"/>
      </w:pPr>
      <w:r>
        <w:t xml:space="preserve">Three studies with abstracts bear on that relation. Rueda Garrido (2025) addresses it most directly for the lectures. His abstract, in Croatian, uses the fivefold synthesis of WL 1804-II to examine the</w:t>
      </w:r>
      <w:r>
        <w:t xml:space="preserve"> </w:t>
      </w:r>
      <w:r>
        <w:t xml:space="preserve">“</w:t>
      </w:r>
      <w:r>
        <w:t xml:space="preserve">implicit logical necessity</w:t>
      </w:r>
      <w:r>
        <w:t xml:space="preserve">”</w:t>
      </w:r>
      <w:r>
        <w:t xml:space="preserve"> </w:t>
      </w:r>
      <w:r>
        <w:t xml:space="preserve">of the epochs of the world plan in the</w:t>
      </w:r>
      <w:r>
        <w:t xml:space="preserve"> </w:t>
      </w:r>
      <w:r>
        <w:rPr>
          <w:iCs/>
          <w:i/>
        </w:rPr>
        <w:t xml:space="preserve">Grundzüge</w:t>
      </w:r>
      <w:r>
        <w:t xml:space="preserve"> </w:t>
      </w:r>
      <w:r>
        <w:t xml:space="preserve">and of the worldviews in the</w:t>
      </w:r>
      <w:r>
        <w:t xml:space="preserve"> </w:t>
      </w:r>
      <w:r>
        <w:rPr>
          <w:iCs/>
          <w:i/>
        </w:rPr>
        <w:t xml:space="preserve">Anweisung</w:t>
      </w:r>
      <w:r>
        <w:t xml:space="preserve">. It states that earlier research treats the two works separately and that none establishes a precise correlation between worldviews and epochs. Section 3.1 considered this study as a reconstruction of the a priori plan. Here it is evidence for dependence: if the correlation holds, the epoch scheme rests on the structure of the late WL and not only on a moral or historical argument. Jaenecke (2023) argues from the</w:t>
      </w:r>
      <w:r>
        <w:t xml:space="preserve"> </w:t>
      </w:r>
      <w:r>
        <w:rPr>
          <w:iCs/>
          <w:i/>
        </w:rPr>
        <w:t xml:space="preserve">Anweisung</w:t>
      </w:r>
      <w:r>
        <w:t xml:space="preserve"> </w:t>
      </w:r>
      <w:r>
        <w:t xml:space="preserve">that it gives an independent, self-contained summary of the main results of the late WL, specifically its genetic phenomenology, following the sequence</w:t>
      </w:r>
      <w:r>
        <w:t xml:space="preserve"> </w:t>
      </w:r>
      <w:r>
        <w:t xml:space="preserve">“</w:t>
      </w:r>
      <w:r>
        <w:t xml:space="preserve">Sein – Dasein – Begriff – Ich – Liebe</w:t>
      </w:r>
      <w:r>
        <w:t xml:space="preserve">”</w:t>
      </w:r>
      <w:r>
        <w:t xml:space="preserve"> </w:t>
      </w:r>
      <w:r>
        <w:t xml:space="preserve">(being, existence, concept, I, love). The abstract does not mention the</w:t>
      </w:r>
      <w:r>
        <w:t xml:space="preserve"> </w:t>
      </w:r>
      <w:r>
        <w:rPr>
          <w:iCs/>
          <w:i/>
        </w:rPr>
        <w:t xml:space="preserve">Grundzüge</w:t>
      </w:r>
      <w:r>
        <w:t xml:space="preserve">. It supports the premise that Fichte’s popular texts carry the same metaphysics as the scientific lectures, though not that the lectures do. Nini (2024) considers the 1804 WL as the start of a Berlin period and argues that Fichte’s output from 1804 to 1806</w:t>
      </w:r>
      <w:r>
        <w:t xml:space="preserve"> </w:t>
      </w:r>
      <w:r>
        <w:t xml:space="preserve">“</w:t>
      </w:r>
      <w:r>
        <w:t xml:space="preserve">forms an organic whole</w:t>
      </w:r>
      <w:r>
        <w:t xml:space="preserve">”</w:t>
      </w:r>
      <w:r>
        <w:t xml:space="preserve"> </w:t>
      </w:r>
      <w:r>
        <w:t xml:space="preserve">that remains</w:t>
      </w:r>
      <w:r>
        <w:t xml:space="preserve"> </w:t>
      </w:r>
      <w:r>
        <w:t xml:space="preserve">“</w:t>
      </w:r>
      <w:r>
        <w:t xml:space="preserve">faithful to the insight at the heart of the original philosophy.</w:t>
      </w:r>
      <w:r>
        <w:t xml:space="preserve">”</w:t>
      </w:r>
      <w:r>
        <w:t xml:space="preserve"> </w:t>
      </w:r>
      <w:r>
        <w:t xml:space="preserve">The abstract speaks of the period as a whole and does not single out the</w:t>
      </w:r>
      <w:r>
        <w:t xml:space="preserve"> </w:t>
      </w:r>
      <w:r>
        <w:rPr>
          <w:iCs/>
          <w:i/>
        </w:rPr>
        <w:t xml:space="preserve">Grundzüge</w:t>
      </w:r>
      <w:r>
        <w:t xml:space="preserve">. Di Giovanni’s (2020) chapter, known by title, reads the 1804 WL as a</w:t>
      </w:r>
      <w:r>
        <w:t xml:space="preserve"> </w:t>
      </w:r>
      <w:r>
        <w:t xml:space="preserve">“</w:t>
      </w:r>
      <w:r>
        <w:t xml:space="preserve">transcendental Spinozism</w:t>
      </w:r>
      <w:r>
        <w:t xml:space="preserve">”</w:t>
      </w:r>
      <w:r>
        <w:t xml:space="preserve">. The title shows how the Absolute of the late WL is being interpreted but gives no position on the lectures.</w:t>
      </w:r>
    </w:p>
    <w:p>
      <w:pPr>
        <w:pStyle w:val="BodyText"/>
      </w:pPr>
      <w:r>
        <w:t xml:space="preserve">Schick (2024) enters from the other direction. His abstract reports a view held in several studies that the 1804 WL first affirms contradiction as a productive principle, because the Absolute is no longer identified with self-consciousness. He argues that the logical status of contradiction does not change in 1804 and that its ground remains the I’s relation to its other. This addresses the late WL, not the lectures. It matters here because a break thesis would give the epoch scheme a different systematic base from the early works, and Schick denies the premise.</w:t>
      </w:r>
    </w:p>
    <w:bookmarkEnd w:id="40"/>
    <w:bookmarkStart w:id="41" w:name="continuity-or-turn-in-religion"/>
    <w:p>
      <w:pPr>
        <w:pStyle w:val="Heading3"/>
      </w:pPr>
      <w:r>
        <w:t xml:space="preserve">5.2 Continuity or turn in religion</w:t>
      </w:r>
    </w:p>
    <w:p>
      <w:pPr>
        <w:pStyle w:val="FirstParagraph"/>
      </w:pPr>
      <w:r>
        <w:t xml:space="preserve">The studies of religion converge, in their abstracts, on continuity, but none of them takes the</w:t>
      </w:r>
      <w:r>
        <w:t xml:space="preserve"> </w:t>
      </w:r>
      <w:r>
        <w:rPr>
          <w:iCs/>
          <w:i/>
        </w:rPr>
        <w:t xml:space="preserve">Grundzüge</w:t>
      </w:r>
      <w:r>
        <w:t xml:space="preserve"> </w:t>
      </w:r>
      <w:r>
        <w:t xml:space="preserve">as its object. Wang (2026) asks whether Fichte’s philosophy of religion moved from an early</w:t>
      </w:r>
      <w:r>
        <w:t xml:space="preserve"> </w:t>
      </w:r>
      <w:r>
        <w:t xml:space="preserve">“</w:t>
      </w:r>
      <w:r>
        <w:t xml:space="preserve">moral religion</w:t>
      </w:r>
      <w:r>
        <w:t xml:space="preserve">”</w:t>
      </w:r>
      <w:r>
        <w:t xml:space="preserve"> </w:t>
      </w:r>
      <w:r>
        <w:t xml:space="preserve">to a late</w:t>
      </w:r>
      <w:r>
        <w:t xml:space="preserve"> </w:t>
      </w:r>
      <w:r>
        <w:t xml:space="preserve">“</w:t>
      </w:r>
      <w:r>
        <w:t xml:space="preserve">ontological religion</w:t>
      </w:r>
      <w:r>
        <w:t xml:space="preserve">”</w:t>
      </w:r>
      <w:r>
        <w:t xml:space="preserve"> </w:t>
      </w:r>
      <w:r>
        <w:t xml:space="preserve">of God, being and love. Wang argues that, read through the genetic construction of spiritual freedom in the Jena WL, the shift does not hold: the structure</w:t>
      </w:r>
      <w:r>
        <w:t xml:space="preserve"> </w:t>
      </w:r>
      <w:r>
        <w:t xml:space="preserve">“</w:t>
      </w:r>
      <w:r>
        <w:t xml:space="preserve">God–the finite–faith</w:t>
      </w:r>
      <w:r>
        <w:t xml:space="preserve">”</w:t>
      </w:r>
      <w:r>
        <w:t xml:space="preserve"> </w:t>
      </w:r>
      <w:r>
        <w:t xml:space="preserve">and the structure</w:t>
      </w:r>
      <w:r>
        <w:t xml:space="preserve"> </w:t>
      </w:r>
      <w:r>
        <w:t xml:space="preserve">“</w:t>
      </w:r>
      <w:r>
        <w:t xml:space="preserve">being–image–love</w:t>
      </w:r>
      <w:r>
        <w:t xml:space="preserve">”</w:t>
      </w:r>
      <w:r>
        <w:t xml:space="preserve"> </w:t>
      </w:r>
      <w:r>
        <w:t xml:space="preserve">express one logic. Wang says that other studies take the late themes to transcend and develop the early framework, which keeps the question open in the literature. Asmuth (1999), known only by title, covers philosophy and religion in 1800-1806 and so the period of the lectures, but its argument is not reported. Asmuth (2024) describes the late philosophy of religion as a</w:t>
      </w:r>
      <w:r>
        <w:t xml:space="preserve"> </w:t>
      </w:r>
      <w:r>
        <w:t xml:space="preserve">“</w:t>
      </w:r>
      <w:r>
        <w:t xml:space="preserve">bourgeois</w:t>
      </w:r>
      <w:r>
        <w:t xml:space="preserve">”</w:t>
      </w:r>
      <w:r>
        <w:t xml:space="preserve"> </w:t>
      </w:r>
      <w:r>
        <w:t xml:space="preserve">one that preaches freedom, equality and brotherhood, expects a national upswing modelled on revolutionary France, and presents this as continuing Kant. This ties religion to the political reading in Section 6, though the abstract refers to the late philosophy of religion generally. A review of the</w:t>
      </w:r>
      <w:r>
        <w:t xml:space="preserve"> </w:t>
      </w:r>
      <w:r>
        <w:rPr>
          <w:iCs/>
          <w:i/>
        </w:rPr>
        <w:t xml:space="preserve">Cambridge Companion</w:t>
      </w:r>
      <w:r>
        <w:t xml:space="preserve"> </w:t>
      </w:r>
      <w:r>
        <w:t xml:space="preserve">reports that Zöller’s chapter suggests, against the narrative of a turn from Kantian transcendentalism to metaphysics and theology,</w:t>
      </w:r>
      <w:r>
        <w:t xml:space="preserve"> </w:t>
      </w:r>
      <w:r>
        <w:t xml:space="preserve">“</w:t>
      </w:r>
      <w:r>
        <w:t xml:space="preserve">a more seamless and complex development</w:t>
      </w:r>
      <w:r>
        <w:t xml:space="preserve">”</w:t>
      </w:r>
      <w:r>
        <w:t xml:space="preserve"> </w:t>
      </w:r>
      <w:r>
        <w:t xml:space="preserve">(James and Zöller 2016). This is the reviewer’s summary of the chapter, not a quotation from it.</w:t>
      </w:r>
    </w:p>
    <w:p>
      <w:pPr>
        <w:pStyle w:val="BodyText"/>
      </w:pPr>
      <w:r>
        <w:t xml:space="preserve">Two recent items extend the question to the political and theological uses of the late doctrine. Wittekind (2024) places Fichte in the</w:t>
      </w:r>
      <w:r>
        <w:t xml:space="preserve"> </w:t>
      </w:r>
      <w:r>
        <w:rPr>
          <w:iCs/>
          <w:i/>
        </w:rPr>
        <w:t xml:space="preserve">Sattelzeit</w:t>
      </w:r>
      <w:r>
        <w:t xml:space="preserve"> </w:t>
      </w:r>
      <w:r>
        <w:t xml:space="preserve">and describes his theories of religion as attempts to determine the function of religion in modern society, transformed from a Kantian moral theology into a unified philosophy of mind. He adds that this alternative to Hegel and Schelling has been taken up by Protestant theology only at a small number of points, though intensively. Rametta (2026) argues that the 1813</w:t>
      </w:r>
      <w:r>
        <w:t xml:space="preserve"> </w:t>
      </w:r>
      <w:r>
        <w:rPr>
          <w:iCs/>
          <w:i/>
        </w:rPr>
        <w:t xml:space="preserve">Staatslehre</w:t>
      </w:r>
      <w:r>
        <w:t xml:space="preserve"> </w:t>
      </w:r>
      <w:r>
        <w:t xml:space="preserve">introduces Christ as the</w:t>
      </w:r>
      <w:r>
        <w:t xml:space="preserve"> </w:t>
      </w:r>
      <w:r>
        <w:t xml:space="preserve">“</w:t>
      </w:r>
      <w:r>
        <w:t xml:space="preserve">absolute historical fact</w:t>
      </w:r>
      <w:r>
        <w:t xml:space="preserve">”</w:t>
      </w:r>
      <w:r>
        <w:t xml:space="preserve"> </w:t>
      </w:r>
      <w:r>
        <w:t xml:space="preserve">that makes possible a move from pre-modern political theology, based on miracles and coercion, to a</w:t>
      </w:r>
      <w:r>
        <w:t xml:space="preserve"> </w:t>
      </w:r>
      <w:r>
        <w:t xml:space="preserve">“</w:t>
      </w:r>
      <w:r>
        <w:t xml:space="preserve">post-Christian</w:t>
      </w:r>
      <w:r>
        <w:t xml:space="preserve">”</w:t>
      </w:r>
      <w:r>
        <w:t xml:space="preserve"> </w:t>
      </w:r>
      <w:r>
        <w:t xml:space="preserve">order of freedom and rational self-determination. It concerns a later text. Its relevance is that the late Fichte gave Christ a function in the philosophy of history, which invites comparison with the</w:t>
      </w:r>
      <w:r>
        <w:t xml:space="preserve"> </w:t>
      </w:r>
      <w:r>
        <w:rPr>
          <w:iCs/>
          <w:i/>
        </w:rPr>
        <w:t xml:space="preserve">Grundzüge</w:t>
      </w:r>
      <w:r>
        <w:t xml:space="preserve">’s own fifth epoch. Whether the lectures anticipate that function is not addressed in the abstract.</w:t>
      </w:r>
    </w:p>
    <w:bookmarkEnd w:id="41"/>
    <w:bookmarkStart w:id="42" w:name="johannine-christianity-and-judaism"/>
    <w:p>
      <w:pPr>
        <w:pStyle w:val="Heading3"/>
      </w:pPr>
      <w:r>
        <w:t xml:space="preserve">5.3 Johannine Christianity and Judaism</w:t>
      </w:r>
    </w:p>
    <w:p>
      <w:pPr>
        <w:pStyle w:val="FirstParagraph"/>
      </w:pPr>
      <w:r>
        <w:t xml:space="preserve">The religious claims of the lectures are the object of Maesschalck (1991), summarised in Section 4.2. Fichte criticises ancient religions, Christian gnoses and the</w:t>
      </w:r>
      <w:r>
        <w:t xml:space="preserve"> </w:t>
      </w:r>
      <w:r>
        <w:t xml:space="preserve">“</w:t>
      </w:r>
      <w:r>
        <w:t xml:space="preserve">rational gospel</w:t>
      </w:r>
      <w:r>
        <w:t xml:space="preserve">”</w:t>
      </w:r>
      <w:r>
        <w:t xml:space="preserve"> </w:t>
      </w:r>
      <w:r>
        <w:t xml:space="preserve">of modern Protestantism while claiming the standpoint of authentic Christianity, and conceives human action in terms of a divine plan of realising love among human beings. Folkers (2008), a title on the Gospel of John in the</w:t>
      </w:r>
      <w:r>
        <w:t xml:space="preserve"> </w:t>
      </w:r>
      <w:r>
        <w:rPr>
          <w:iCs/>
          <w:i/>
        </w:rPr>
        <w:t xml:space="preserve">Anweisung</w:t>
      </w:r>
      <w:r>
        <w:t xml:space="preserve">, and Seyler’s (2014) commentary on that text indicate where the Johannine thesis is worked out, but their arguments are not available. The Johannine reading therefore rests in the located record on Maesschalck and on the abstracts below.</w:t>
      </w:r>
    </w:p>
    <w:p>
      <w:pPr>
        <w:pStyle w:val="BodyText"/>
      </w:pPr>
      <w:r>
        <w:t xml:space="preserve">Ben-Yehoshua (2025) draws the Judaism question from this religious doctrine. His abstract notes that debates about chauvinism in the</w:t>
      </w:r>
      <w:r>
        <w:t xml:space="preserve"> </w:t>
      </w:r>
      <w:r>
        <w:rPr>
          <w:iCs/>
          <w:i/>
        </w:rPr>
        <w:t xml:space="preserve">Reden</w:t>
      </w:r>
      <w:r>
        <w:t xml:space="preserve"> </w:t>
      </w:r>
      <w:r>
        <w:t xml:space="preserve">often stress Fichte’s adherence to liberal and cosmopolitan ideals. He argues that these ideals implicitly contain a devaluation of Judaism, and reads the</w:t>
      </w:r>
      <w:r>
        <w:t xml:space="preserve"> </w:t>
      </w:r>
      <w:r>
        <w:rPr>
          <w:iCs/>
          <w:i/>
        </w:rPr>
        <w:t xml:space="preserve">Reden</w:t>
      </w:r>
      <w:r>
        <w:t xml:space="preserve"> </w:t>
      </w:r>
      <w:r>
        <w:t xml:space="preserve">in the context of the</w:t>
      </w:r>
      <w:r>
        <w:t xml:space="preserve"> </w:t>
      </w:r>
      <w:r>
        <w:rPr>
          <w:iCs/>
          <w:i/>
        </w:rPr>
        <w:t xml:space="preserve">Grundzüge</w:t>
      </w:r>
      <w:r>
        <w:t xml:space="preserve"> </w:t>
      </w:r>
      <w:r>
        <w:t xml:space="preserve">and the</w:t>
      </w:r>
      <w:r>
        <w:t xml:space="preserve"> </w:t>
      </w:r>
      <w:r>
        <w:rPr>
          <w:iCs/>
          <w:i/>
        </w:rPr>
        <w:t xml:space="preserve">Anweisung</w:t>
      </w:r>
      <w:r>
        <w:t xml:space="preserve">, which</w:t>
      </w:r>
      <w:r>
        <w:t xml:space="preserve"> </w:t>
      </w:r>
      <w:r>
        <w:t xml:space="preserve">“</w:t>
      </w:r>
      <w:r>
        <w:t xml:space="preserve">contain several statements about Judaism.</w:t>
      </w:r>
      <w:r>
        <w:t xml:space="preserve">”</w:t>
      </w:r>
      <w:r>
        <w:t xml:space="preserve"> </w:t>
      </w:r>
      <w:r>
        <w:t xml:space="preserve">The anti-Jewish content of the distinction between</w:t>
      </w:r>
      <w:r>
        <w:t xml:space="preserve"> </w:t>
      </w:r>
      <w:r>
        <w:t xml:space="preserve">“</w:t>
      </w:r>
      <w:r>
        <w:t xml:space="preserve">Johannine</w:t>
      </w:r>
      <w:r>
        <w:t xml:space="preserve">”</w:t>
      </w:r>
      <w:r>
        <w:t xml:space="preserve"> </w:t>
      </w:r>
      <w:r>
        <w:t xml:space="preserve">and</w:t>
      </w:r>
      <w:r>
        <w:t xml:space="preserve"> </w:t>
      </w:r>
      <w:r>
        <w:t xml:space="preserve">“</w:t>
      </w:r>
      <w:r>
        <w:t xml:space="preserve">Pauline Christianity</w:t>
      </w:r>
      <w:r>
        <w:t xml:space="preserve">”</w:t>
      </w:r>
      <w:r>
        <w:t xml:space="preserve"> </w:t>
      </w:r>
      <w:r>
        <w:t xml:space="preserve">recurs, he says, in the opposition of</w:t>
      </w:r>
      <w:r>
        <w:t xml:space="preserve"> </w:t>
      </w:r>
      <w:r>
        <w:t xml:space="preserve">“</w:t>
      </w:r>
      <w:r>
        <w:t xml:space="preserve">Germanness</w:t>
      </w:r>
      <w:r>
        <w:t xml:space="preserve">”</w:t>
      </w:r>
      <w:r>
        <w:t xml:space="preserve"> </w:t>
      </w:r>
      <w:r>
        <w:t xml:space="preserve">and</w:t>
      </w:r>
      <w:r>
        <w:t xml:space="preserve"> </w:t>
      </w:r>
      <w:r>
        <w:t xml:space="preserve">“</w:t>
      </w:r>
      <w:r>
        <w:t xml:space="preserve">Foreignism</w:t>
      </w:r>
      <w:r>
        <w:t xml:space="preserve">”</w:t>
      </w:r>
      <w:r>
        <w:t xml:space="preserve"> </w:t>
      </w:r>
      <w:r>
        <w:t xml:space="preserve">and is</w:t>
      </w:r>
      <w:r>
        <w:t xml:space="preserve"> </w:t>
      </w:r>
      <w:r>
        <w:t xml:space="preserve">“</w:t>
      </w:r>
      <w:r>
        <w:t xml:space="preserve">transferred from a religious to an early nationalist discourse.</w:t>
      </w:r>
      <w:r>
        <w:t xml:space="preserve">”</w:t>
      </w:r>
      <w:r>
        <w:t xml:space="preserve"> </w:t>
      </w:r>
      <w:r>
        <w:t xml:space="preserve">If this holds, the religious scheme of the lectures is not neutral background to the nationalism of 1808 but a source of its categories. Bernasconi (2020) supports a related claim from a different direction. His abstract reports that Saul Ascher accused Fichte of inventing a new form of anti-Judaism, and argues that Kant used cosmopolitanism as a tool against Jews. Its object is Kant and Fichte’s attack on Jews generally, not the lectures. It still shows that contemporary critics and later historians connected Fichte’s universalism with exclusion. Titles document further scholarship on the subject: Fuchs (1990) on Fichte’s position toward Judaism, Traub (2003) on his relation to Judaism and nationalism, and the Becker-Voigts exchange on Jewish reception of Fichte’s idea of the nation (Becker 2000; Voigts 2001). None has an abstract, and none is verified as discussing the</w:t>
      </w:r>
      <w:r>
        <w:t xml:space="preserve"> </w:t>
      </w:r>
      <w:r>
        <w:rPr>
          <w:iCs/>
          <w:i/>
        </w:rPr>
        <w:t xml:space="preserve">Grundzüge</w:t>
      </w:r>
      <w:r>
        <w:t xml:space="preserve">.</w:t>
      </w:r>
    </w:p>
    <w:p>
      <w:pPr>
        <w:pStyle w:val="BodyText"/>
      </w:pPr>
      <w:r>
        <w:t xml:space="preserve">This is the principal objection to the universalist readings in Section 4 and Section 6. The internal-critique reading of Kloc-Konkołowicz and Solé interprets the religious telos as a continuation of Enlightenment, and Maesschalck takes the</w:t>
      </w:r>
      <w:r>
        <w:t xml:space="preserve"> </w:t>
      </w:r>
      <w:r>
        <w:t xml:space="preserve">“</w:t>
      </w:r>
      <w:r>
        <w:t xml:space="preserve">emigration</w:t>
      </w:r>
      <w:r>
        <w:t xml:space="preserve">”</w:t>
      </w:r>
      <w:r>
        <w:t xml:space="preserve"> </w:t>
      </w:r>
      <w:r>
        <w:t xml:space="preserve">from modern subjectivism to be a collective political task. Ben-Yehoshua’s reading would make the same telos the point at which exclusion enters, and it is supported by one abstract about the</w:t>
      </w:r>
      <w:r>
        <w:t xml:space="preserve"> </w:t>
      </w:r>
      <w:r>
        <w:rPr>
          <w:iCs/>
          <w:i/>
        </w:rPr>
        <w:t xml:space="preserve">Reden</w:t>
      </w:r>
      <w:r>
        <w:t xml:space="preserve">. Whether the</w:t>
      </w:r>
      <w:r>
        <w:t xml:space="preserve"> </w:t>
      </w:r>
      <w:r>
        <w:rPr>
          <w:iCs/>
          <w:i/>
        </w:rPr>
        <w:t xml:space="preserve">Grundzüge</w:t>
      </w:r>
      <w:r>
        <w:t xml:space="preserve"> </w:t>
      </w:r>
      <w:r>
        <w:t xml:space="preserve">alone, rather than the</w:t>
      </w:r>
      <w:r>
        <w:t xml:space="preserve"> </w:t>
      </w:r>
      <w:r>
        <w:rPr>
          <w:iCs/>
          <w:i/>
        </w:rPr>
        <w:t xml:space="preserve">Reden</w:t>
      </w:r>
      <w:r>
        <w:t xml:space="preserve"> </w:t>
      </w:r>
      <w:r>
        <w:t xml:space="preserve">read with it, justifies the claim is a question for the lectures’ own text. The religion of the lectures is thus claimed for continuity with Fichte’s earlier philosophy and for a universal Christianity, and it is also charged with a hidden devaluation of Judaism. Section 6 turns to the political form these claims take.</w:t>
      </w:r>
    </w:p>
    <w:bookmarkEnd w:id="42"/>
    <w:bookmarkEnd w:id="43"/>
    <w:bookmarkStart w:id="47" w:name="X3568fcdab3d90868d08593fbf4f75d2bdba814d"/>
    <w:p>
      <w:pPr>
        <w:pStyle w:val="Heading2"/>
      </w:pPr>
      <w:r>
        <w:t xml:space="preserve">Section 6: State, Nation and Cosmopolitanism: Universalism and Its Critics</w:t>
      </w:r>
    </w:p>
    <w:p>
      <w:pPr>
        <w:pStyle w:val="FirstParagraph"/>
      </w:pPr>
      <w:r>
        <w:t xml:space="preserve">Section 5 ended with the charge that the religious telos of the lectures carries a hidden exclusion. This section turns to its political form: what the located literature says about the state in the</w:t>
      </w:r>
      <w:r>
        <w:t xml:space="preserve"> </w:t>
      </w:r>
      <w:r>
        <w:rPr>
          <w:iCs/>
          <w:i/>
        </w:rPr>
        <w:t xml:space="preserve">Grundzüge</w:t>
      </w:r>
      <w:r>
        <w:t xml:space="preserve">, whether the lectures supply a universalist frame for the nationalism of the</w:t>
      </w:r>
      <w:r>
        <w:t xml:space="preserve"> </w:t>
      </w:r>
      <w:r>
        <w:rPr>
          <w:iCs/>
          <w:i/>
        </w:rPr>
        <w:t xml:space="preserve">Reden an die deutsche Nation</w:t>
      </w:r>
      <w:r>
        <w:t xml:space="preserve"> </w:t>
      </w:r>
      <w:r>
        <w:t xml:space="preserve">(1808), and how critics have responded. Almost no item treats the lectures’ own account of the state, and most of the nationalism debate concerns the</w:t>
      </w:r>
      <w:r>
        <w:t xml:space="preserve"> </w:t>
      </w:r>
      <w:r>
        <w:rPr>
          <w:iCs/>
          <w:i/>
        </w:rPr>
        <w:t xml:space="preserve">Reden</w:t>
      </w:r>
      <w:r>
        <w:t xml:space="preserve">, so the bearing on the</w:t>
      </w:r>
      <w:r>
        <w:t xml:space="preserve"> </w:t>
      </w:r>
      <w:r>
        <w:rPr>
          <w:iCs/>
          <w:i/>
        </w:rPr>
        <w:t xml:space="preserve">Grundzüge</w:t>
      </w:r>
      <w:r>
        <w:t xml:space="preserve"> </w:t>
      </w:r>
      <w:r>
        <w:t xml:space="preserve">is often inferred and is marked as such.</w:t>
      </w:r>
    </w:p>
    <w:bookmarkStart w:id="44" w:name="the-state-in-and-around-the-grundzüge"/>
    <w:p>
      <w:pPr>
        <w:pStyle w:val="Heading3"/>
      </w:pPr>
      <w:r>
        <w:t xml:space="preserve">6.1 The state in and around the</w:t>
      </w:r>
      <w:r>
        <w:t xml:space="preserve"> </w:t>
      </w:r>
      <w:r>
        <w:rPr>
          <w:iCs/>
          <w:i/>
        </w:rPr>
        <w:t xml:space="preserve">Grundzüge</w:t>
      </w:r>
    </w:p>
    <w:p>
      <w:pPr>
        <w:pStyle w:val="FirstParagraph"/>
      </w:pPr>
      <w:r>
        <w:t xml:space="preserve">Gaudio (2019) is the only item located whose title announces a treatment of the state in the</w:t>
      </w:r>
      <w:r>
        <w:t xml:space="preserve"> </w:t>
      </w:r>
      <w:r>
        <w:rPr>
          <w:iCs/>
          <w:i/>
        </w:rPr>
        <w:t xml:space="preserve">Grundzüge</w:t>
      </w:r>
      <w:r>
        <w:t xml:space="preserve">, a chapter on the genesis and concept of the state in the lectures. No abstract was retrievable, so its argument cannot be reported. Schottky (1991), a reply in a debate on</w:t>
      </w:r>
      <w:r>
        <w:t xml:space="preserve"> </w:t>
      </w:r>
      <w:r>
        <w:rPr>
          <w:iCs/>
          <w:i/>
        </w:rPr>
        <w:t xml:space="preserve">Rechtsstaat</w:t>
      </w:r>
      <w:r>
        <w:t xml:space="preserve"> </w:t>
      </w:r>
      <w:r>
        <w:t xml:space="preserve">and</w:t>
      </w:r>
      <w:r>
        <w:t xml:space="preserve"> </w:t>
      </w:r>
      <w:r>
        <w:rPr>
          <w:iCs/>
          <w:i/>
        </w:rPr>
        <w:t xml:space="preserve">Kulturstaat</w:t>
      </w:r>
      <w:r>
        <w:t xml:space="preserve">, and Zöller (2011), titled on the state and the</w:t>
      </w:r>
      <w:r>
        <w:t xml:space="preserve"> </w:t>
      </w:r>
      <w:r>
        <w:rPr>
          <w:iCs/>
          <w:i/>
        </w:rPr>
        <w:t xml:space="preserve">Reich</w:t>
      </w:r>
      <w:r>
        <w:t xml:space="preserve"> </w:t>
      </w:r>
      <w:r>
        <w:t xml:space="preserve">in Fichte’s political philosophy of history, concern Fichte’s state more broadly and are not verified as discussing the lectures.</w:t>
      </w:r>
    </w:p>
    <w:p>
      <w:pPr>
        <w:pStyle w:val="BodyText"/>
      </w:pPr>
      <w:r>
        <w:t xml:space="preserve">The abstracts concern neighbouring texts. Kloc-Konkołowicz (2020), on the late writings, argues that state coercion is justifiable only as education toward insight, so that a properly functioning state strives for its own abolition. Nakhimovsky (2011) reads the</w:t>
      </w:r>
      <w:r>
        <w:t xml:space="preserve"> </w:t>
      </w:r>
      <w:r>
        <w:rPr>
          <w:iCs/>
          <w:i/>
        </w:rPr>
        <w:t xml:space="preserve">Closed Commercial State</w:t>
      </w:r>
      <w:r>
        <w:t xml:space="preserve"> </w:t>
      </w:r>
      <w:r>
        <w:t xml:space="preserve">as a sequel to Rousseau’s and Kant’s writings on perpetual peace: Europe could become a peaceful federation of constitutional republics only if economic life were disentangled from competition between states, through a planned and largely self-sufficient national economy. Acosta (2019) argues that Fichte, who restricts historical progress to the spiritual dimension, advocates the total repression of the unsociable inclinations that Kant treats as a motor of progress. Kildyushov (2022) reconstructs Hegel’s rejection of the total police regulation that Fichte proposed in the late eighteenth century. These studies tie Fichte’s state to an educational or peace-securing aim, and differ over whether this is emancipatory (Kloc-Konkołowicz) or repressive (Acosta; Hegel as reconstructed by Kildyushov). None takes the 1804-05 lectures as its object, and none says whether the five-epoch scheme implies a particular state form.</w:t>
      </w:r>
    </w:p>
    <w:bookmarkEnd w:id="44"/>
    <w:bookmarkStart w:id="45" w:name="universalism-nation-and-the-reden"/>
    <w:p>
      <w:pPr>
        <w:pStyle w:val="Heading3"/>
      </w:pPr>
      <w:r>
        <w:t xml:space="preserve">6.2 Universalism, nation and the</w:t>
      </w:r>
      <w:r>
        <w:t xml:space="preserve"> </w:t>
      </w:r>
      <w:r>
        <w:rPr>
          <w:iCs/>
          <w:i/>
        </w:rPr>
        <w:t xml:space="preserve">Reden</w:t>
      </w:r>
    </w:p>
    <w:p>
      <w:pPr>
        <w:pStyle w:val="FirstParagraph"/>
      </w:pPr>
      <w:r>
        <w:t xml:space="preserve">Ries (2018) makes the thesis that links the lectures most directly to the nation. His abstract holds that the centre of Fichte’s thinking is</w:t>
      </w:r>
      <w:r>
        <w:t xml:space="preserve"> </w:t>
      </w:r>
      <w:r>
        <w:t xml:space="preserve">“</w:t>
      </w:r>
      <w:r>
        <w:t xml:space="preserve">not nationalism but universalism,</w:t>
      </w:r>
      <w:r>
        <w:t xml:space="preserve">”</w:t>
      </w:r>
      <w:r>
        <w:t xml:space="preserve"> </w:t>
      </w:r>
      <w:r>
        <w:t xml:space="preserve">that Fichte developed this concept in the</w:t>
      </w:r>
      <w:r>
        <w:t xml:space="preserve"> </w:t>
      </w:r>
      <w:r>
        <w:rPr>
          <w:iCs/>
          <w:i/>
        </w:rPr>
        <w:t xml:space="preserve">Grundzüge</w:t>
      </w:r>
      <w:r>
        <w:t xml:space="preserve"> </w:t>
      </w:r>
      <w:r>
        <w:t xml:space="preserve">(1804-05) shortly before the</w:t>
      </w:r>
      <w:r>
        <w:t xml:space="preserve"> </w:t>
      </w:r>
      <w:r>
        <w:rPr>
          <w:iCs/>
          <w:i/>
        </w:rPr>
        <w:t xml:space="preserve">Reden</w:t>
      </w:r>
      <w:r>
        <w:t xml:space="preserve">, and that his nationalism</w:t>
      </w:r>
      <w:r>
        <w:t xml:space="preserve"> </w:t>
      </w:r>
      <w:r>
        <w:t xml:space="preserve">“</w:t>
      </w:r>
      <w:r>
        <w:t xml:space="preserve">was merely a means for highlighting his universalistic and cosmopolitan project.</w:t>
      </w:r>
      <w:r>
        <w:t xml:space="preserve">”</w:t>
      </w:r>
      <w:r>
        <w:t xml:space="preserve"> </w:t>
      </w:r>
      <w:r>
        <w:t xml:space="preserve">The abstract does not show how the lectures ground the thesis. Radrizzani (2022), translator of the</w:t>
      </w:r>
      <w:r>
        <w:t xml:space="preserve"> </w:t>
      </w:r>
      <w:r>
        <w:rPr>
          <w:iCs/>
          <w:i/>
        </w:rPr>
        <w:t xml:space="preserve">Grundzüge</w:t>
      </w:r>
      <w:r>
        <w:t xml:space="preserve"> </w:t>
      </w:r>
      <w:r>
        <w:t xml:space="preserve">into French, argues from Fichte’s Masonic commitments and the Berlin texts that he</w:t>
      </w:r>
      <w:r>
        <w:t xml:space="preserve"> </w:t>
      </w:r>
      <w:r>
        <w:t xml:space="preserve">“</w:t>
      </w:r>
      <w:r>
        <w:t xml:space="preserve">remains faithful to his republican and universalist views,</w:t>
      </w:r>
      <w:r>
        <w:t xml:space="preserve">”</w:t>
      </w:r>
      <w:r>
        <w:t xml:space="preserve"> </w:t>
      </w:r>
      <w:r>
        <w:t xml:space="preserve">while acknowledging that the nationalist register, strategic and rhetorical, is</w:t>
      </w:r>
      <w:r>
        <w:t xml:space="preserve"> </w:t>
      </w:r>
      <w:r>
        <w:t xml:space="preserve">“</w:t>
      </w:r>
      <w:r>
        <w:t xml:space="preserve">fundamentally foreign</w:t>
      </w:r>
      <w:r>
        <w:t xml:space="preserve">”</w:t>
      </w:r>
      <w:r>
        <w:t xml:space="preserve"> </w:t>
      </w:r>
      <w:r>
        <w:t xml:space="preserve">to him. Maesschalck (1996), according to the summary in its record, argues that Fichte envisaged a</w:t>
      </w:r>
      <w:r>
        <w:t xml:space="preserve"> </w:t>
      </w:r>
      <w:r>
        <w:t xml:space="preserve">“</w:t>
      </w:r>
      <w:r>
        <w:t xml:space="preserve">deterritorialized</w:t>
      </w:r>
      <w:r>
        <w:t xml:space="preserve">”</w:t>
      </w:r>
      <w:r>
        <w:t xml:space="preserve"> </w:t>
      </w:r>
      <w:r>
        <w:t xml:space="preserve">patriotism based on the multicultural construction of a common political identity, beyond both</w:t>
      </w:r>
      <w:r>
        <w:t xml:space="preserve"> </w:t>
      </w:r>
      <w:r>
        <w:t xml:space="preserve">“</w:t>
      </w:r>
      <w:r>
        <w:t xml:space="preserve">angelic</w:t>
      </w:r>
      <w:r>
        <w:t xml:space="preserve">”</w:t>
      </w:r>
      <w:r>
        <w:t xml:space="preserve"> </w:t>
      </w:r>
      <w:r>
        <w:t xml:space="preserve">cosmopolitanism and messianic cultural regeneration. Abizadeh (2005), on whether Fichte was an ethnic nationalist, and Neuhann (2025), introducing new perspectives on the</w:t>
      </w:r>
      <w:r>
        <w:t xml:space="preserve"> </w:t>
      </w:r>
      <w:r>
        <w:rPr>
          <w:iCs/>
          <w:i/>
        </w:rPr>
        <w:t xml:space="preserve">Reden</w:t>
      </w:r>
      <w:r>
        <w:t xml:space="preserve">, are known by title only.</w:t>
      </w:r>
    </w:p>
    <w:p>
      <w:pPr>
        <w:pStyle w:val="BodyText"/>
      </w:pPr>
      <w:r>
        <w:t xml:space="preserve">Other abstracts complicate this reading. James (2025) presents a</w:t>
      </w:r>
      <w:r>
        <w:t xml:space="preserve"> </w:t>
      </w:r>
      <w:r>
        <w:t xml:space="preserve">“</w:t>
      </w:r>
      <w:r>
        <w:t xml:space="preserve">cosmopolitan nationalism</w:t>
      </w:r>
      <w:r>
        <w:t xml:space="preserve">”</w:t>
      </w:r>
      <w:r>
        <w:t xml:space="preserve"> </w:t>
      </w:r>
      <w:r>
        <w:t xml:space="preserve">in Herder and Fichte: the nation is a natural unit able to resist the expansionist monarchical state (which Fichte links to</w:t>
      </w:r>
      <w:r>
        <w:t xml:space="preserve"> </w:t>
      </w:r>
      <w:r>
        <w:t xml:space="preserve">“</w:t>
      </w:r>
      <w:r>
        <w:t xml:space="preserve">universal monarchy</w:t>
      </w:r>
      <w:r>
        <w:t xml:space="preserve">”</w:t>
      </w:r>
      <w:r>
        <w:t xml:space="preserve">), and a community of peoples promises world peace. Fichte’s justification by an</w:t>
      </w:r>
      <w:r>
        <w:t xml:space="preserve"> </w:t>
      </w:r>
      <w:r>
        <w:rPr>
          <w:iCs/>
          <w:i/>
        </w:rPr>
        <w:t xml:space="preserve">Ursprache</w:t>
      </w:r>
      <w:r>
        <w:t xml:space="preserve">, however, implies the exclusion of at least one nation, which James calls a paradox. Goddard (2012), working from the seventh address, reads the</w:t>
      </w:r>
      <w:r>
        <w:t xml:space="preserve"> </w:t>
      </w:r>
      <w:r>
        <w:rPr>
          <w:iCs/>
          <w:i/>
        </w:rPr>
        <w:t xml:space="preserve">Urvolk</w:t>
      </w:r>
      <w:r>
        <w:t xml:space="preserve"> </w:t>
      </w:r>
      <w:r>
        <w:t xml:space="preserve">as</w:t>
      </w:r>
      <w:r>
        <w:t xml:space="preserve"> </w:t>
      </w:r>
      <w:r>
        <w:t xml:space="preserve">“</w:t>
      </w:r>
      <w:r>
        <w:t xml:space="preserve">genetic</w:t>
      </w:r>
      <w:r>
        <w:t xml:space="preserve">”</w:t>
      </w:r>
      <w:r>
        <w:t xml:space="preserve"> </w:t>
      </w:r>
      <w:r>
        <w:t xml:space="preserve">and not factual or historical, constituted by the symbolic practices through which a people forms itself. Bazzan (2026) treats the</w:t>
      </w:r>
      <w:r>
        <w:t xml:space="preserve"> </w:t>
      </w:r>
      <w:r>
        <w:t xml:space="preserve">“</w:t>
      </w:r>
      <w:r>
        <w:t xml:space="preserve">rhetoric of summons</w:t>
      </w:r>
      <w:r>
        <w:t xml:space="preserve">”</w:t>
      </w:r>
      <w:r>
        <w:t xml:space="preserve"> </w:t>
      </w:r>
      <w:r>
        <w:t xml:space="preserve">as the structural principle of the</w:t>
      </w:r>
      <w:r>
        <w:t xml:space="preserve"> </w:t>
      </w:r>
      <w:r>
        <w:rPr>
          <w:iCs/>
          <w:i/>
        </w:rPr>
        <w:t xml:space="preserve">Reden</w:t>
      </w:r>
      <w:r>
        <w:t xml:space="preserve"> </w:t>
      </w:r>
      <w:r>
        <w:t xml:space="preserve">and the writings of 1807-13 as political intervention culminating in the</w:t>
      </w:r>
      <w:r>
        <w:t xml:space="preserve"> </w:t>
      </w:r>
      <w:r>
        <w:rPr>
          <w:iCs/>
          <w:i/>
        </w:rPr>
        <w:t xml:space="preserve">Zwingherr</w:t>
      </w:r>
      <w:r>
        <w:t xml:space="preserve">. Ben-Yehoshua (2025, Section 5.3) reads the</w:t>
      </w:r>
      <w:r>
        <w:t xml:space="preserve"> </w:t>
      </w:r>
      <w:r>
        <w:rPr>
          <w:iCs/>
          <w:i/>
        </w:rPr>
        <w:t xml:space="preserve">Reden</w:t>
      </w:r>
      <w:r>
        <w:t xml:space="preserve"> </w:t>
      </w:r>
      <w:r>
        <w:t xml:space="preserve">in the context of the</w:t>
      </w:r>
      <w:r>
        <w:t xml:space="preserve"> </w:t>
      </w:r>
      <w:r>
        <w:rPr>
          <w:iCs/>
          <w:i/>
        </w:rPr>
        <w:t xml:space="preserve">Grundzüge</w:t>
      </w:r>
      <w:r>
        <w:t xml:space="preserve"> </w:t>
      </w:r>
      <w:r>
        <w:t xml:space="preserve">and locates the exclusion in the lectures’ religious categories, where Ries locates the universalism. Picardi (2026) adds, from the 1813</w:t>
      </w:r>
      <w:r>
        <w:t xml:space="preserve"> </w:t>
      </w:r>
      <w:r>
        <w:rPr>
          <w:iCs/>
          <w:i/>
        </w:rPr>
        <w:t xml:space="preserve">Staatslehre</w:t>
      </w:r>
      <w:r>
        <w:t xml:space="preserve">, that the</w:t>
      </w:r>
      <w:r>
        <w:t xml:space="preserve"> </w:t>
      </w:r>
      <w:r>
        <w:rPr>
          <w:iCs/>
          <w:i/>
        </w:rPr>
        <w:t xml:space="preserve">Normalvolk</w:t>
      </w:r>
      <w:r>
        <w:t xml:space="preserve">/savages dualism rejects any fixed division of humanity while justifying colonialism and leaving non-European</w:t>
      </w:r>
      <w:r>
        <w:t xml:space="preserve"> </w:t>
      </w:r>
      <w:r>
        <w:t xml:space="preserve">“</w:t>
      </w:r>
      <w:r>
        <w:t xml:space="preserve">savages</w:t>
      </w:r>
      <w:r>
        <w:t xml:space="preserve">”</w:t>
      </w:r>
      <w:r>
        <w:t xml:space="preserve"> </w:t>
      </w:r>
      <w:r>
        <w:t xml:space="preserve">as a</w:t>
      </w:r>
      <w:r>
        <w:t xml:space="preserve"> </w:t>
      </w:r>
      <w:r>
        <w:t xml:space="preserve">“</w:t>
      </w:r>
      <w:r>
        <w:t xml:space="preserve">margin</w:t>
      </w:r>
      <w:r>
        <w:t xml:space="preserve">”</w:t>
      </w:r>
      <w:r>
        <w:t xml:space="preserve"> </w:t>
      </w:r>
      <w:r>
        <w:t xml:space="preserve">and</w:t>
      </w:r>
      <w:r>
        <w:t xml:space="preserve"> </w:t>
      </w:r>
      <w:r>
        <w:t xml:space="preserve">“</w:t>
      </w:r>
      <w:r>
        <w:t xml:space="preserve">exception</w:t>
      </w:r>
      <w:r>
        <w:t xml:space="preserve">”</w:t>
      </w:r>
      <w:r>
        <w:t xml:space="preserve"> </w:t>
      </w:r>
      <w:r>
        <w:t xml:space="preserve">in history. It concerns a later text, but it bears on whether the universal aim is open to all peoples.</w:t>
      </w:r>
    </w:p>
    <w:p>
      <w:pPr>
        <w:pStyle w:val="BodyText"/>
      </w:pPr>
      <w:r>
        <w:t xml:space="preserve">The disagreement is thus between readings that treat universalism as the governing aim, with nationalism instrumental or reconfigured (Ries, Radrizzani, Maesschalck), and readings that find the universal aim implemented through exclusionary categories (James, Ben-Yehoshua, Picardi). Both mainly work from the</w:t>
      </w:r>
      <w:r>
        <w:t xml:space="preserve"> </w:t>
      </w:r>
      <w:r>
        <w:rPr>
          <w:iCs/>
          <w:i/>
        </w:rPr>
        <w:t xml:space="preserve">Reden</w:t>
      </w:r>
      <w:r>
        <w:t xml:space="preserve">, and only Ries and Ben-Yehoshua name the</w:t>
      </w:r>
      <w:r>
        <w:t xml:space="preserve"> </w:t>
      </w:r>
      <w:r>
        <w:rPr>
          <w:iCs/>
          <w:i/>
        </w:rPr>
        <w:t xml:space="preserve">Grundzüge</w:t>
      </w:r>
      <w:r>
        <w:t xml:space="preserve"> </w:t>
      </w:r>
      <w:r>
        <w:t xml:space="preserve">in their abstracts. The lectures are invoked on both sides without having been tested directly on the question.</w:t>
      </w:r>
    </w:p>
    <w:bookmarkEnd w:id="45"/>
    <w:bookmarkStart w:id="46" w:name="X73f9cd78546b1800615b1125bc689ceb67b60f6"/>
    <w:p>
      <w:pPr>
        <w:pStyle w:val="Heading3"/>
      </w:pPr>
      <w:r>
        <w:t xml:space="preserve">6.3 Liberal critics and the proto-totalitarian charge</w:t>
      </w:r>
    </w:p>
    <w:p>
      <w:pPr>
        <w:pStyle w:val="FirstParagraph"/>
      </w:pPr>
      <w:r>
        <w:t xml:space="preserve">A further strand would place the lectures within the liberal critique of romantic and historicist politics. The located literature does not support that placement. Berlin’s</w:t>
      </w:r>
      <w:r>
        <w:t xml:space="preserve"> </w:t>
      </w:r>
      <w:r>
        <w:rPr>
          <w:iCs/>
          <w:i/>
        </w:rPr>
        <w:t xml:space="preserve">Roots of Romanticism</w:t>
      </w:r>
      <w:r>
        <w:t xml:space="preserve"> </w:t>
      </w:r>
      <w:r>
        <w:t xml:space="preserve">(1999) and</w:t>
      </w:r>
      <w:r>
        <w:t xml:space="preserve"> </w:t>
      </w:r>
      <w:r>
        <w:rPr>
          <w:iCs/>
          <w:i/>
        </w:rPr>
        <w:t xml:space="preserve">Freedom and its Betrayal</w:t>
      </w:r>
      <w:r>
        <w:t xml:space="preserve"> </w:t>
      </w:r>
      <w:r>
        <w:t xml:space="preserve">(2002) are in the record without abstracts. The record for the former reports, citing Sweet (2000), that Berlin treats Fichte as a central figure in a genealogy of romantic voluntarism, and Sweet’s article is titled on Berlin’s treatment of Fichte and German Romanticism. Berlin’s engagement with the</w:t>
      </w:r>
      <w:r>
        <w:t xml:space="preserve"> </w:t>
      </w:r>
      <w:r>
        <w:rPr>
          <w:iCs/>
          <w:i/>
        </w:rPr>
        <w:t xml:space="preserve">Grundzüge</w:t>
      </w:r>
      <w:r>
        <w:t xml:space="preserve"> </w:t>
      </w:r>
      <w:r>
        <w:t xml:space="preserve">is unverified, and no claim about the text is attributed to him here. For Popper and Talmon the located record contains no verified link to Fichte or the lectures, so they are not discussed. The located literature thus contains no critique of the</w:t>
      </w:r>
      <w:r>
        <w:t xml:space="preserve"> </w:t>
      </w:r>
      <w:r>
        <w:rPr>
          <w:iCs/>
          <w:i/>
        </w:rPr>
        <w:t xml:space="preserve">Grundzüge</w:t>
      </w:r>
      <w:r>
        <w:t xml:space="preserve"> </w:t>
      </w:r>
      <w:r>
        <w:t xml:space="preserve">from the liberal tradition.</w:t>
      </w:r>
    </w:p>
    <w:p>
      <w:pPr>
        <w:pStyle w:val="BodyText"/>
      </w:pPr>
      <w:r>
        <w:t xml:space="preserve">Two verified studies respond to the wider image of an illiberal Fichte. Phillips (2025) assesses Fichte’s views on the economy, Germany and anti-Semitism against scholarship on fascism (Griffin, Eatwell, Sternhell) and concludes that he was not a proto-fascist, though aspects of his writing and style appealed to fascists. Tyler (2015) argues that Green, Caird, Wallace and Bosanquet rejected the</w:t>
      </w:r>
      <w:r>
        <w:t xml:space="preserve"> </w:t>
      </w:r>
      <w:r>
        <w:t xml:space="preserve">“</w:t>
      </w:r>
      <w:r>
        <w:t xml:space="preserve">Fichtean centralism</w:t>
      </w:r>
      <w:r>
        <w:t xml:space="preserve">”</w:t>
      </w:r>
      <w:r>
        <w:t xml:space="preserve"> </w:t>
      </w:r>
      <w:r>
        <w:t xml:space="preserve">for which they were condemned, on grounds that</w:t>
      </w:r>
      <w:r>
        <w:t xml:space="preserve"> </w:t>
      </w:r>
      <w:r>
        <w:t xml:space="preserve">“</w:t>
      </w:r>
      <w:r>
        <w:t xml:space="preserve">retain force in contemporary debates between Fichte scholars.</w:t>
      </w:r>
      <w:r>
        <w:t xml:space="preserve">”</w:t>
      </w:r>
      <w:r>
        <w:t xml:space="preserve"> </w:t>
      </w:r>
      <w:r>
        <w:t xml:space="preserve">Neither is verified as concerned with the lectures. James (2026), on the</w:t>
      </w:r>
      <w:r>
        <w:t xml:space="preserve"> </w:t>
      </w:r>
      <w:r>
        <w:rPr>
          <w:iCs/>
          <w:i/>
        </w:rPr>
        <w:t xml:space="preserve">Zwingherr</w:t>
      </w:r>
      <w:r>
        <w:t xml:space="preserve"> </w:t>
      </w:r>
      <w:r>
        <w:t xml:space="preserve">and Rousseau’s lawgiver, is known by title only; whether it touches the lectures’ themes of compulsion and education would have to be checked in the text.</w:t>
      </w:r>
    </w:p>
    <w:p>
      <w:pPr>
        <w:pStyle w:val="BodyText"/>
      </w:pPr>
      <w:r>
        <w:t xml:space="preserve">In sum, the universalist reading is stated by Ries and Radrizzani, the exclusion critique by James and Ben-Yehoshua, and the liberal indictment has no verified application to the</w:t>
      </w:r>
      <w:r>
        <w:t xml:space="preserve"> </w:t>
      </w:r>
      <w:r>
        <w:rPr>
          <w:iCs/>
          <w:i/>
        </w:rPr>
        <w:t xml:space="preserve">Grundzüge</w:t>
      </w:r>
      <w:r>
        <w:t xml:space="preserve">. A study of the lectures’ own account of state and nation, which Gaudio’s chapter may offer, is what the debate lacks.</w:t>
      </w:r>
    </w:p>
    <w:bookmarkEnd w:id="46"/>
    <w:bookmarkEnd w:id="47"/>
    <w:bookmarkStart w:id="48" w:name="conclusion"/>
    <w:p>
      <w:pPr>
        <w:pStyle w:val="Heading2"/>
      </w:pPr>
      <w:r>
        <w:t xml:space="preserve">Conclusion</w:t>
      </w:r>
    </w:p>
    <w:p>
      <w:pPr>
        <w:pStyle w:val="FirstParagraph"/>
      </w:pPr>
      <w:r>
        <w:t xml:space="preserve">The literature centrally devoted to the</w:t>
      </w:r>
      <w:r>
        <w:t xml:space="preserve"> </w:t>
      </w:r>
      <w:r>
        <w:rPr>
          <w:iCs/>
          <w:i/>
        </w:rPr>
        <w:t xml:space="preserve">Grundzüge</w:t>
      </w:r>
      <w:r>
        <w:t xml:space="preserve"> </w:t>
      </w:r>
      <w:r>
        <w:t xml:space="preserve">is small. The located core consists of Heinrichs (2003), Maesschalck (1991), Kloc-Konkołowicz (2017), Solé (2021), Fusaro (2016), Utteich (2020) and Rueda Garrido (2025), supplemented by items known only by title or repository abstract: Picardi (2025), Landenne (2009), Gaudio (2019), and Fusaro’s (2013; 2017) studies. Radrizzani’s French translation (Fichte 1990) belongs with this core as infrastructure. This work is written in German, French, Italian, Spanish and English, and most of it dates from after 1990.</w:t>
      </w:r>
    </w:p>
    <w:p>
      <w:pPr>
        <w:pStyle w:val="BodyText"/>
      </w:pPr>
      <w:r>
        <w:t xml:space="preserve">Part I found no documented nineteenth-century debate about the text. An 1807 review exists (Patsch 1995), the text circulated through I. H. Fichte’s edition and, in English, through Smith’s translation (first imprint unconfirmed), and the commemorative literature is known by title as concerned with the state and the nation. The twentieth-century appropriations documented in the located sources, from the First World War to National Socialism, concern the national Fichte, and the role of the</w:t>
      </w:r>
      <w:r>
        <w:t xml:space="preserve"> </w:t>
      </w:r>
      <w:r>
        <w:rPr>
          <w:iCs/>
          <w:i/>
        </w:rPr>
        <w:t xml:space="preserve">Grundzüge</w:t>
      </w:r>
      <w:r>
        <w:t xml:space="preserve"> </w:t>
      </w:r>
      <w:r>
        <w:t xml:space="preserve">in them is unverified. What the postwar decades supplied was infrastructure: the Medicus text, the 1991 critical edition, bibliographies and translations. The evidence is consistent with a text read, where it was read, through the</w:t>
      </w:r>
      <w:r>
        <w:t xml:space="preserve"> </w:t>
      </w:r>
      <w:r>
        <w:rPr>
          <w:iCs/>
          <w:i/>
        </w:rPr>
        <w:t xml:space="preserve">Reden</w:t>
      </w:r>
      <w:r>
        <w:t xml:space="preserve">, but that is an inference from absence.</w:t>
      </w:r>
    </w:p>
    <w:p>
      <w:pPr>
        <w:pStyle w:val="BodyText"/>
      </w:pPr>
      <w:r>
        <w:t xml:space="preserve">Part II identified four debates. On the world plan, readings divide among speculative derivation from the late</w:t>
      </w:r>
      <w:r>
        <w:t xml:space="preserve"> </w:t>
      </w:r>
      <w:r>
        <w:rPr>
          <w:iCs/>
          <w:i/>
        </w:rPr>
        <w:t xml:space="preserve">Wissenschaftslehre</w:t>
      </w:r>
      <w:r>
        <w:t xml:space="preserve"> </w:t>
      </w:r>
      <w:r>
        <w:t xml:space="preserve">(Rueda Garrido 2025), a two-level arrangement of philosopher and historian (Fusaro 2016; Oncina Coves 2019), a moral-practical perspective (Serrano Marín 2020), and a failed attempt to ground historiography scientifically (Reichl 2021). On the critique of the age, several studies read it as internal to the Enlightenment (Kloc-Konkołowicz 2017; Solé 2021). On religion, the abstracts favour continuity with earlier positions (Wang 2026; Nini 2024), while Ben-Yehoshua (2025) argues that the Johannine/Pauline distinction carries a devaluation of Judaism into later nationalist categories. On state and nation, Ries (2018) and Radrizzani (2022) treat universalism as the governing aim, whereas James (2025) and Picardi (2026) find exclusions in the universal project. Heinrichs (2003) reports that the coherence of the construction proved unexpectedly controversial. These readings are largely not tested against one another, and several draw on the</w:t>
      </w:r>
      <w:r>
        <w:t xml:space="preserve"> </w:t>
      </w:r>
      <w:r>
        <w:rPr>
          <w:iCs/>
          <w:i/>
        </w:rPr>
        <w:t xml:space="preserve">Reden</w:t>
      </w:r>
      <w:r>
        <w:t xml:space="preserve"> </w:t>
      </w:r>
      <w:r>
        <w:t xml:space="preserve">or on later texts, not on the lectures.</w:t>
      </w:r>
    </w:p>
    <w:p>
      <w:pPr>
        <w:pStyle w:val="BodyText"/>
      </w:pPr>
      <w:r>
        <w:t xml:space="preserve">The review leaves the following gaps. No verified nineteenth-century engagement with the text by Hegel or Schlegel was found, and the documentary corpus of contemporaries’ reports (Jacobs 2013) was not examined. Stolzenberg and Rudolph (2010), a volume on Fichte’s philosophy in the nineteenth and twentieth centuries, is known only by title, as are the reception studies of Danz (2012) and Heinz (1997). No study of the lecture transcripts against the printed text was located. No work applies secularization theory to the</w:t>
      </w:r>
      <w:r>
        <w:t xml:space="preserve"> </w:t>
      </w:r>
      <w:r>
        <w:rPr>
          <w:iCs/>
          <w:i/>
        </w:rPr>
        <w:t xml:space="preserve">Grundzüge</w:t>
      </w:r>
      <w:r>
        <w:t xml:space="preserve">, although Torbidoni (2020) supplies the vocabulary. No dedicated study of the</w:t>
      </w:r>
      <w:r>
        <w:t xml:space="preserve"> </w:t>
      </w:r>
      <w:r>
        <w:rPr>
          <w:iCs/>
          <w:i/>
        </w:rPr>
        <w:t xml:space="preserve">Normalvolk</w:t>
      </w:r>
      <w:r>
        <w:t xml:space="preserve"> </w:t>
      </w:r>
      <w:r>
        <w:t xml:space="preserve">in the lectures, or of the Johannine/Pauline contrast in the</w:t>
      </w:r>
      <w:r>
        <w:t xml:space="preserve"> </w:t>
      </w:r>
      <w:r>
        <w:rPr>
          <w:iCs/>
          <w:i/>
        </w:rPr>
        <w:t xml:space="preserve">Grundzüge</w:t>
      </w:r>
      <w:r>
        <w:t xml:space="preserve"> </w:t>
      </w:r>
      <w:r>
        <w:t xml:space="preserve">itself, was found, and the claim of a closed teleology is not developed in any verified source. The state in the lectures rests on a single chapter title (Gaudio 2019). Finally, the dating of Smith’s translation needs checking against library catalogues, and no English-language monograph on the text was located.</w:t>
      </w:r>
    </w:p>
    <w:bookmarkEnd w:id="48"/>
    <w:bookmarkStart w:id="50" w:name="references"/>
    <w:p>
      <w:pPr>
        <w:pStyle w:val="Heading2"/>
      </w:pPr>
      <w:r>
        <w:t xml:space="preserve">References</w:t>
      </w:r>
    </w:p>
    <w:p>
      <w:pPr>
        <w:pStyle w:val="FirstParagraph"/>
      </w:pPr>
      <w:r>
        <w:t xml:space="preserve">Abizadeh, Arash. 2005.</w:t>
      </w:r>
      <w:r>
        <w:t xml:space="preserve"> </w:t>
      </w:r>
      <w:r>
        <w:t xml:space="preserve">“</w:t>
      </w:r>
      <w:r>
        <w:t xml:space="preserve">Was Fichte an ethnic nationalist? On cultural nationalism and its double.</w:t>
      </w:r>
      <w:r>
        <w:t xml:space="preserve">”</w:t>
      </w:r>
      <w:r>
        <w:t xml:space="preserve"> </w:t>
      </w:r>
      <w:r>
        <w:rPr>
          <w:iCs/>
          <w:i/>
        </w:rPr>
        <w:t xml:space="preserve">History of Political Thought</w:t>
      </w:r>
      <w:r>
        <w:t xml:space="preserve"> </w:t>
      </w:r>
      <w:r>
        <w:t xml:space="preserve">26.</w:t>
      </w:r>
    </w:p>
    <w:p>
      <w:pPr>
        <w:pStyle w:val="BodyText"/>
      </w:pPr>
      <w:r>
        <w:t xml:space="preserve">Acosta, Emiliano. 2019.</w:t>
      </w:r>
      <w:r>
        <w:t xml:space="preserve"> </w:t>
      </w:r>
      <w:r>
        <w:t xml:space="preserve">“</w:t>
      </w:r>
      <w:r>
        <w:t xml:space="preserve">Nature and perpetual peace in Kant and Fichte’s cosmopolitanism.</w:t>
      </w:r>
      <w:r>
        <w:t xml:space="preserve">”</w:t>
      </w:r>
    </w:p>
    <w:p>
      <w:pPr>
        <w:pStyle w:val="BodyText"/>
      </w:pPr>
      <w:r>
        <w:t xml:space="preserve">Aichele, Alexander. 2007.</w:t>
      </w:r>
      <w:r>
        <w:t xml:space="preserve"> </w:t>
      </w:r>
      <w:r>
        <w:t xml:space="preserve">“</w:t>
      </w:r>
      <w:r>
        <w:t xml:space="preserve">Singend sterben — mit Fichte nach Langemarck: Authentischer Fichteanismus im Ersten Weltkrieg.</w:t>
      </w:r>
      <w:r>
        <w:t xml:space="preserve">”</w:t>
      </w:r>
      <w:r>
        <w:t xml:space="preserve"> </w:t>
      </w:r>
      <w:r>
        <w:t xml:space="preserve">https://doi.org/10.1007/bf03375767</w:t>
      </w:r>
    </w:p>
    <w:p>
      <w:pPr>
        <w:pStyle w:val="BodyText"/>
      </w:pPr>
      <w:r>
        <w:t xml:space="preserve">Alessiato, Elena. 2020.</w:t>
      </w:r>
      <w:r>
        <w:t xml:space="preserve"> </w:t>
      </w:r>
      <w:r>
        <w:t xml:space="preserve">“</w:t>
      </w:r>
      <w:r>
        <w:t xml:space="preserve">Fichte im Wilhelminischen Reich: Idealisiertes Bild, patriotische Vorbildhaftigkeit und nationale Bildung.</w:t>
      </w:r>
      <w:r>
        <w:t xml:space="preserve">”</w:t>
      </w:r>
    </w:p>
    <w:p>
      <w:pPr>
        <w:pStyle w:val="BodyText"/>
      </w:pPr>
      <w:r>
        <w:t xml:space="preserve">Anderson, Eugene N. 1934.</w:t>
      </w:r>
      <w:r>
        <w:t xml:space="preserve"> </w:t>
      </w:r>
      <w:r>
        <w:t xml:space="preserve">“</w:t>
      </w:r>
      <w:r>
        <w:t xml:space="preserve">Johann Gottlieb Fichte: A study of his political writings with special reference to his nationalism. Helmuth Carol Engelbrecht.</w:t>
      </w:r>
      <w:r>
        <w:t xml:space="preserve">”</w:t>
      </w:r>
      <w:r>
        <w:t xml:space="preserve"> </w:t>
      </w:r>
      <w:r>
        <w:rPr>
          <w:iCs/>
          <w:i/>
        </w:rPr>
        <w:t xml:space="preserve">The Journal of Modern History</w:t>
      </w:r>
      <w:r>
        <w:t xml:space="preserve"> </w:t>
      </w:r>
      <w:r>
        <w:t xml:space="preserve">6: 86–87. https://doi.org/10.1086/236106</w:t>
      </w:r>
    </w:p>
    <w:p>
      <w:pPr>
        <w:pStyle w:val="BodyText"/>
      </w:pPr>
      <w:r>
        <w:t xml:space="preserve">Andrews, Kit. 2012.</w:t>
      </w:r>
      <w:r>
        <w:t xml:space="preserve"> </w:t>
      </w:r>
      <w:r>
        <w:t xml:space="preserve">“</w:t>
      </w:r>
      <w:r>
        <w:t xml:space="preserve">Fichte, Carlyle and the British Literary Reception of German Idealism.</w:t>
      </w:r>
      <w:r>
        <w:t xml:space="preserve">”</w:t>
      </w:r>
      <w:r>
        <w:t xml:space="preserve"> </w:t>
      </w:r>
      <w:r>
        <w:rPr>
          <w:iCs/>
          <w:i/>
        </w:rPr>
        <w:t xml:space="preserve">Literature Compass</w:t>
      </w:r>
      <w:r>
        <w:t xml:space="preserve"> </w:t>
      </w:r>
      <w:r>
        <w:t xml:space="preserve">9: 721–732. https://doi.org/10.1111/j.1741-4113.2012.00917.x</w:t>
      </w:r>
    </w:p>
    <w:p>
      <w:pPr>
        <w:pStyle w:val="BodyText"/>
      </w:pPr>
      <w:r>
        <w:t xml:space="preserve">Asmuth, Christoph. 1999.</w:t>
      </w:r>
      <w:r>
        <w:t xml:space="preserve"> </w:t>
      </w:r>
      <w:r>
        <w:t xml:space="preserve">“</w:t>
      </w:r>
      <w:r>
        <w:t xml:space="preserve">Das Begreifen des Unbegreiflichen : Philosophie und Religion bei Johann Gottlieb Fichte 1800-1806.</w:t>
      </w:r>
      <w:r>
        <w:t xml:space="preserve">”</w:t>
      </w:r>
    </w:p>
    <w:p>
      <w:pPr>
        <w:pStyle w:val="BodyText"/>
      </w:pPr>
      <w:r>
        <w:t xml:space="preserve">Asmuth, Christoph. 2024.</w:t>
      </w:r>
      <w:r>
        <w:t xml:space="preserve"> </w:t>
      </w:r>
      <w:r>
        <w:t xml:space="preserve">“</w:t>
      </w:r>
      <w:r>
        <w:t xml:space="preserve">Revolution and Nation: Johann Gottlieb Fichte’s Late Philosophy of Religion.</w:t>
      </w:r>
      <w:r>
        <w:t xml:space="preserve">”</w:t>
      </w:r>
      <w:r>
        <w:t xml:space="preserve"> </w:t>
      </w:r>
      <w:r>
        <w:rPr>
          <w:iCs/>
          <w:i/>
        </w:rPr>
        <w:t xml:space="preserve">Religions</w:t>
      </w:r>
      <w:r>
        <w:t xml:space="preserve"> </w:t>
      </w:r>
      <w:r>
        <w:t xml:space="preserve">15.</w:t>
      </w:r>
    </w:p>
    <w:p>
      <w:pPr>
        <w:pStyle w:val="BodyText"/>
      </w:pPr>
      <w:r>
        <w:t xml:space="preserve">Baumgartner, Hans Michael, and Wilhelm G. Jacobs. 1968.</w:t>
      </w:r>
      <w:r>
        <w:t xml:space="preserve"> </w:t>
      </w:r>
      <w:r>
        <w:t xml:space="preserve">“</w:t>
      </w:r>
      <w:r>
        <w:t xml:space="preserve">J.G. Fichte: Bibliographie.</w:t>
      </w:r>
      <w:r>
        <w:t xml:space="preserve">”</w:t>
      </w:r>
    </w:p>
    <w:p>
      <w:pPr>
        <w:pStyle w:val="BodyText"/>
      </w:pPr>
      <w:r>
        <w:t xml:space="preserve">Bazzan, Marco Rampazzo. 2026.</w:t>
      </w:r>
      <w:r>
        <w:t xml:space="preserve"> </w:t>
      </w:r>
      <w:r>
        <w:t xml:space="preserve">“</w:t>
      </w:r>
      <w:r>
        <w:t xml:space="preserve">Summons and Counter-Summons: Machiavelli, Rhetoric, and Political Intervention in Fichte’s Later Thought (1807–1813).</w:t>
      </w:r>
      <w:r>
        <w:t xml:space="preserve">”</w:t>
      </w:r>
      <w:r>
        <w:t xml:space="preserve"> </w:t>
      </w:r>
      <w:r>
        <w:rPr>
          <w:iCs/>
          <w:i/>
        </w:rPr>
        <w:t xml:space="preserve">Open Philosophy</w:t>
      </w:r>
      <w:r>
        <w:t xml:space="preserve"> </w:t>
      </w:r>
      <w:r>
        <w:t xml:space="preserve">9 (1). https://doi.org/10.1515/opphil-2025-0110</w:t>
      </w:r>
    </w:p>
    <w:p>
      <w:pPr>
        <w:pStyle w:val="BodyText"/>
      </w:pPr>
      <w:r>
        <w:t xml:space="preserve">Becker, Hans Joachim. 2000.</w:t>
      </w:r>
      <w:r>
        <w:t xml:space="preserve"> </w:t>
      </w:r>
      <w:r>
        <w:t xml:space="preserve">“</w:t>
      </w:r>
      <w:r>
        <w:t xml:space="preserve">Fichtes Idee der Nation und das Judentum: den vergessenen Generationen der jüdischen Fichte-Rezeption.</w:t>
      </w:r>
      <w:r>
        <w:t xml:space="preserve">”</w:t>
      </w:r>
    </w:p>
    <w:p>
      <w:pPr>
        <w:pStyle w:val="BodyText"/>
      </w:pPr>
      <w:r>
        <w:t xml:space="preserve">Becker, Hans Joachim. 2003.</w:t>
      </w:r>
      <w:r>
        <w:t xml:space="preserve"> </w:t>
      </w:r>
      <w:r>
        <w:t xml:space="preserve">“</w:t>
      </w:r>
      <w:r>
        <w:t xml:space="preserve">Fichte und das Judentum — das Judentum und Fichte.</w:t>
      </w:r>
      <w:r>
        <w:t xml:space="preserve">”</w:t>
      </w:r>
    </w:p>
    <w:p>
      <w:pPr>
        <w:pStyle w:val="BodyText"/>
      </w:pPr>
      <w:r>
        <w:t xml:space="preserve">Ben-Yehoshua, Joël. 2025.</w:t>
      </w:r>
      <w:r>
        <w:t xml:space="preserve"> </w:t>
      </w:r>
      <w:r>
        <w:t xml:space="preserve">“</w:t>
      </w:r>
      <w:r>
        <w:t xml:space="preserve">Germanness and Judaism in Fichte’s Reden an die deutsche Nation.</w:t>
      </w:r>
      <w:r>
        <w:t xml:space="preserve">”</w:t>
      </w:r>
      <w:r>
        <w:t xml:space="preserve"> </w:t>
      </w:r>
      <w:r>
        <w:rPr>
          <w:iCs/>
          <w:i/>
        </w:rPr>
        <w:t xml:space="preserve">Deutsche Zeitschrift für Philosophie</w:t>
      </w:r>
      <w:r>
        <w:t xml:space="preserve"> </w:t>
      </w:r>
      <w:r>
        <w:t xml:space="preserve">73 (1): 101–116. https://doi.org/10.1515/dzph-2025-0007</w:t>
      </w:r>
    </w:p>
    <w:p>
      <w:pPr>
        <w:pStyle w:val="BodyText"/>
      </w:pPr>
      <w:r>
        <w:t xml:space="preserve">Ben-Yehoshua, Joël. 2025.</w:t>
      </w:r>
      <w:r>
        <w:t xml:space="preserve"> </w:t>
      </w:r>
      <w:r>
        <w:t xml:space="preserve">“</w:t>
      </w:r>
      <w:r>
        <w:t xml:space="preserve">Kant, Fichte, and the Jews in Poland: A Case Study of a Cliche.</w:t>
      </w:r>
      <w:r>
        <w:t xml:space="preserve">”</w:t>
      </w:r>
    </w:p>
    <w:p>
      <w:pPr>
        <w:pStyle w:val="BodyText"/>
      </w:pPr>
      <w:r>
        <w:t xml:space="preserve">Bergmann, Ernst. 1933.</w:t>
      </w:r>
      <w:r>
        <w:t xml:space="preserve"> </w:t>
      </w:r>
      <w:r>
        <w:t xml:space="preserve">“</w:t>
      </w:r>
      <w:r>
        <w:t xml:space="preserve">Fichte und der Nationalsozialismus.</w:t>
      </w:r>
      <w:r>
        <w:t xml:space="preserve">”</w:t>
      </w:r>
    </w:p>
    <w:p>
      <w:pPr>
        <w:pStyle w:val="BodyText"/>
      </w:pPr>
      <w:r>
        <w:t xml:space="preserve">Bergner, Dieter. 1962.</w:t>
      </w:r>
      <w:r>
        <w:t xml:space="preserve"> </w:t>
      </w:r>
      <w:r>
        <w:t xml:space="preserve">“</w:t>
      </w:r>
      <w:r>
        <w:t xml:space="preserve">Die Deutsche Demokratische Republik würdigt Johann Gottlieb Fichte.</w:t>
      </w:r>
      <w:r>
        <w:t xml:space="preserve">”</w:t>
      </w:r>
      <w:r>
        <w:t xml:space="preserve"> </w:t>
      </w:r>
      <w:r>
        <w:t xml:space="preserve">https://doi.org/10.1524/dzph.1962.10.4.417</w:t>
      </w:r>
    </w:p>
    <w:p>
      <w:pPr>
        <w:pStyle w:val="BodyText"/>
      </w:pPr>
      <w:r>
        <w:t xml:space="preserve">Berlin, Isaiah. 1999.</w:t>
      </w:r>
      <w:r>
        <w:t xml:space="preserve"> </w:t>
      </w:r>
      <w:r>
        <w:t xml:space="preserve">“</w:t>
      </w:r>
      <w:r>
        <w:t xml:space="preserve">The Roots of Romanticism.</w:t>
      </w:r>
      <w:r>
        <w:t xml:space="preserve">”</w:t>
      </w:r>
    </w:p>
    <w:p>
      <w:pPr>
        <w:pStyle w:val="BodyText"/>
      </w:pPr>
      <w:r>
        <w:t xml:space="preserve">Bernasconi, Robert. 2020.</w:t>
      </w:r>
      <w:r>
        <w:t xml:space="preserve"> </w:t>
      </w:r>
      <w:r>
        <w:t xml:space="preserve">“</w:t>
      </w:r>
      <w:r>
        <w:t xml:space="preserve">Saul Ascher’s Critique of Fichte’s Novel Form of Anti-Judaism.</w:t>
      </w:r>
      <w:r>
        <w:t xml:space="preserve">”</w:t>
      </w:r>
      <w:r>
        <w:t xml:space="preserve"> </w:t>
      </w:r>
      <w:r>
        <w:rPr>
          <w:iCs/>
          <w:i/>
        </w:rPr>
        <w:t xml:space="preserve">Eco-ethica</w:t>
      </w:r>
      <w:r>
        <w:t xml:space="preserve"> </w:t>
      </w:r>
      <w:r>
        <w:t xml:space="preserve">9.</w:t>
      </w:r>
    </w:p>
    <w:p>
      <w:pPr>
        <w:pStyle w:val="BodyText"/>
      </w:pPr>
      <w:r>
        <w:t xml:space="preserve">Bollenbeck, Georg. 2005.</w:t>
      </w:r>
      <w:r>
        <w:t xml:space="preserve"> </w:t>
      </w:r>
      <w:r>
        <w:t xml:space="preserve">“</w:t>
      </w:r>
      <w:r>
        <w:t xml:space="preserve">Die konstitutive Funktion der Kulturkritik für Schillers Briefe „Über die ästhetische Erziehung“.</w:t>
      </w:r>
      <w:r>
        <w:t xml:space="preserve">”</w:t>
      </w:r>
    </w:p>
    <w:p>
      <w:pPr>
        <w:pStyle w:val="BodyText"/>
      </w:pPr>
      <w:r>
        <w:t xml:space="preserve">Breazeale, Daniel. 1976.</w:t>
      </w:r>
      <w:r>
        <w:t xml:space="preserve"> </w:t>
      </w:r>
      <w:r>
        <w:t xml:space="preserve">“</w:t>
      </w:r>
      <w:r>
        <w:t xml:space="preserve">English Translations of Fichte, Schelling, and Hegel.</w:t>
      </w:r>
      <w:r>
        <w:t xml:space="preserve">”</w:t>
      </w:r>
      <w:r>
        <w:t xml:space="preserve"> </w:t>
      </w:r>
      <w:r>
        <w:rPr>
          <w:iCs/>
          <w:i/>
        </w:rPr>
        <w:t xml:space="preserve">Idealistic Studies</w:t>
      </w:r>
      <w:r>
        <w:t xml:space="preserve"> </w:t>
      </w:r>
      <w:r>
        <w:t xml:space="preserve">6.</w:t>
      </w:r>
    </w:p>
    <w:p>
      <w:pPr>
        <w:pStyle w:val="BodyText"/>
      </w:pPr>
      <w:r>
        <w:t xml:space="preserve">Buhr, Manfred. 1988.</w:t>
      </w:r>
      <w:r>
        <w:t xml:space="preserve"> </w:t>
      </w:r>
      <w:r>
        <w:t xml:space="preserve">“</w:t>
      </w:r>
      <w:r>
        <w:t xml:space="preserve">Zum Komplex Geschichte der Philosophie und ideologischer Klassenkampf.</w:t>
      </w:r>
      <w:r>
        <w:t xml:space="preserve">”</w:t>
      </w:r>
      <w:r>
        <w:t xml:space="preserve"> </w:t>
      </w:r>
      <w:r>
        <w:t xml:space="preserve">https://doi.org/10.1524/dzph.1988.36.6.516</w:t>
      </w:r>
    </w:p>
    <w:p>
      <w:pPr>
        <w:pStyle w:val="BodyText"/>
      </w:pPr>
      <w:r>
        <w:t xml:space="preserve">Chaput, Emmanuel. 2025.</w:t>
      </w:r>
      <w:r>
        <w:t xml:space="preserve"> </w:t>
      </w:r>
      <w:r>
        <w:t xml:space="preserve">“</w:t>
      </w:r>
      <w:r>
        <w:t xml:space="preserve">‘</w:t>
      </w:r>
      <w:r>
        <w:t xml:space="preserve">Die Weltgeschichte ist das Weltgericht</w:t>
      </w:r>
      <w:r>
        <w:t xml:space="preserve">’</w:t>
      </w:r>
      <w:r>
        <w:t xml:space="preserve">: Hegel’s Early Critique of Fichte’s Doctrine of Right (Jena 1801-1806).</w:t>
      </w:r>
      <w:r>
        <w:t xml:space="preserve">”</w:t>
      </w:r>
      <w:r>
        <w:t xml:space="preserve"> </w:t>
      </w:r>
      <w:r>
        <w:rPr>
          <w:iCs/>
          <w:i/>
        </w:rPr>
        <w:t xml:space="preserve">History of Political Thought</w:t>
      </w:r>
      <w:r>
        <w:t xml:space="preserve"> </w:t>
      </w:r>
      <w:r>
        <w:t xml:space="preserve">46 (3): 501–526. https://doi.org/10.53765/20512988.46.3.501</w:t>
      </w:r>
    </w:p>
    <w:p>
      <w:pPr>
        <w:pStyle w:val="BodyText"/>
      </w:pPr>
      <w:r>
        <w:t xml:space="preserve">Cunha, João Geraldo Martins da. 2017.</w:t>
      </w:r>
      <w:r>
        <w:t xml:space="preserve"> </w:t>
      </w:r>
      <w:r>
        <w:t xml:space="preserve">“</w:t>
      </w:r>
      <w:r>
        <w:t xml:space="preserve">Fichte leitor de Rousseau: crítica da civilização ou crítica da cultura?</w:t>
      </w:r>
      <w:r>
        <w:t xml:space="preserve">”</w:t>
      </w:r>
      <w:r>
        <w:t xml:space="preserve"> </w:t>
      </w:r>
      <w:r>
        <w:rPr>
          <w:iCs/>
          <w:i/>
        </w:rPr>
        <w:t xml:space="preserve">Cadernos de Filosofia Alemã: Crítica e Modernidade</w:t>
      </w:r>
      <w:r>
        <w:t xml:space="preserve"> </w:t>
      </w:r>
      <w:r>
        <w:t xml:space="preserve">22.</w:t>
      </w:r>
    </w:p>
    <w:p>
      <w:pPr>
        <w:pStyle w:val="BodyText"/>
      </w:pPr>
      <w:r>
        <w:t xml:space="preserve">Danz, Christian. 2012.</w:t>
      </w:r>
      <w:r>
        <w:t xml:space="preserve"> </w:t>
      </w:r>
      <w:r>
        <w:t xml:space="preserve">“</w:t>
      </w:r>
      <w:r>
        <w:t xml:space="preserve">Theologischer Neuidealismus. Zur Rezeption der Geschichtsphilosophie Fichtes bei Friedrich Gogarten, Paul Tillich und Emanuel Hirsch.</w:t>
      </w:r>
      <w:r>
        <w:t xml:space="preserve">”</w:t>
      </w:r>
      <w:r>
        <w:t xml:space="preserve"> </w:t>
      </w:r>
      <w:r>
        <w:t xml:space="preserve">https://doi.org/10.5840/fichte20123653</w:t>
      </w:r>
    </w:p>
    <w:p>
      <w:pPr>
        <w:pStyle w:val="BodyText"/>
      </w:pPr>
      <w:r>
        <w:t xml:space="preserve">Deutscher Nationalverein. 1862.</w:t>
      </w:r>
      <w:r>
        <w:t xml:space="preserve"> </w:t>
      </w:r>
      <w:r>
        <w:t xml:space="preserve">“</w:t>
      </w:r>
      <w:r>
        <w:t xml:space="preserve">Die Fichte-Feier der Berliner Mitglieder des National-Vereins, 19 Mai 1862, ein Erinnerungsblatt.</w:t>
      </w:r>
      <w:r>
        <w:t xml:space="preserve">”</w:t>
      </w:r>
    </w:p>
    <w:p>
      <w:pPr>
        <w:pStyle w:val="BodyText"/>
      </w:pPr>
      <w:r>
        <w:t xml:space="preserve">di Giovanni, George. 2020.</w:t>
      </w:r>
      <w:r>
        <w:t xml:space="preserve"> </w:t>
      </w:r>
      <w:r>
        <w:t xml:space="preserve">“</w:t>
      </w:r>
      <w:r>
        <w:t xml:space="preserve">The Transcendental Spinozism of Fichte’s 1804 Wissenschaftslehre.</w:t>
      </w:r>
      <w:r>
        <w:t xml:space="preserve">”</w:t>
      </w:r>
      <w:r>
        <w:t xml:space="preserve"> </w:t>
      </w:r>
      <w:r>
        <w:t xml:space="preserve">In The Bloomsbury Handbook of Fichte (Bloomsbury Publishing), pp. 197–215.</w:t>
      </w:r>
    </w:p>
    <w:p>
      <w:pPr>
        <w:pStyle w:val="BodyText"/>
      </w:pPr>
      <w:r>
        <w:t xml:space="preserve">Doyé, Sabine. 1993.</w:t>
      </w:r>
      <w:r>
        <w:t xml:space="preserve"> </w:t>
      </w:r>
      <w:r>
        <w:t xml:space="preserve">“</w:t>
      </w:r>
      <w:r>
        <w:t xml:space="preserve">J.G. Fichte-Bibliographie (1968–1992/93).</w:t>
      </w:r>
      <w:r>
        <w:t xml:space="preserve">”</w:t>
      </w:r>
    </w:p>
    <w:p>
      <w:pPr>
        <w:pStyle w:val="BodyText"/>
      </w:pPr>
      <w:r>
        <w:t xml:space="preserve">Eldridge, Richard. 2013.</w:t>
      </w:r>
      <w:r>
        <w:t xml:space="preserve"> </w:t>
      </w:r>
      <w:r>
        <w:t xml:space="preserve">“</w:t>
      </w:r>
      <w:r>
        <w:t xml:space="preserve">Idealism in nineteenth-century British and American literature.</w:t>
      </w:r>
      <w:r>
        <w:t xml:space="preserve">”</w:t>
      </w:r>
      <w:r>
        <w:t xml:space="preserve"> </w:t>
      </w:r>
      <w:r>
        <w:t xml:space="preserve">https://doi.org/10.1017/cbo9781139626699.007</w:t>
      </w:r>
    </w:p>
    <w:p>
      <w:pPr>
        <w:pStyle w:val="BodyText"/>
      </w:pPr>
      <w:r>
        <w:t xml:space="preserve">Ferraguto, Federico. 2019.</w:t>
      </w:r>
      <w:r>
        <w:t xml:space="preserve"> </w:t>
      </w:r>
      <w:r>
        <w:t xml:space="preserve">“</w:t>
      </w:r>
      <w:r>
        <w:t xml:space="preserve">Sacrifício e individualidade: Lask leitor de Fichte.</w:t>
      </w:r>
      <w:r>
        <w:t xml:space="preserve">”</w:t>
      </w:r>
      <w:r>
        <w:t xml:space="preserve"> </w:t>
      </w:r>
      <w:r>
        <w:t xml:space="preserve">https://doi.org/10.1590/0101-3173.2019.v42n4.07.p125</w:t>
      </w:r>
    </w:p>
    <w:p>
      <w:pPr>
        <w:pStyle w:val="BodyText"/>
      </w:pPr>
      <w:r>
        <w:t xml:space="preserve">Fichte, Immanuel Hermann. 1845.</w:t>
      </w:r>
      <w:r>
        <w:t xml:space="preserve"> </w:t>
      </w:r>
      <w:r>
        <w:t xml:space="preserve">“</w:t>
      </w:r>
      <w:r>
        <w:t xml:space="preserve">Fichtes Werke.</w:t>
      </w:r>
      <w:r>
        <w:t xml:space="preserve">”</w:t>
      </w:r>
    </w:p>
    <w:p>
      <w:pPr>
        <w:pStyle w:val="BodyText"/>
      </w:pPr>
      <w:r>
        <w:t xml:space="preserve">Fichte, Immanuel Hermann. 1862.</w:t>
      </w:r>
      <w:r>
        <w:t xml:space="preserve"> </w:t>
      </w:r>
      <w:r>
        <w:t xml:space="preserve">“</w:t>
      </w:r>
      <w:r>
        <w:t xml:space="preserve">Johann Gottlieb Fichte’s Leben und literarischer Briefwechsel.</w:t>
      </w:r>
      <w:r>
        <w:t xml:space="preserve">”</w:t>
      </w:r>
    </w:p>
    <w:p>
      <w:pPr>
        <w:pStyle w:val="BodyText"/>
      </w:pPr>
      <w:r>
        <w:t xml:space="preserve">Fichte, Johann Gottlieb, and William Smith. 1873.</w:t>
      </w:r>
      <w:r>
        <w:t xml:space="preserve"> </w:t>
      </w:r>
      <w:r>
        <w:t xml:space="preserve">“</w:t>
      </w:r>
      <w:r>
        <w:t xml:space="preserve">Johann Gottlieb Fichte’s Popular Works: The Nature of the Scholar, the Vocation of Man, the Doctrine of Religion.</w:t>
      </w:r>
      <w:r>
        <w:t xml:space="preserve">”</w:t>
      </w:r>
    </w:p>
    <w:p>
      <w:pPr>
        <w:pStyle w:val="BodyText"/>
      </w:pPr>
      <w:r>
        <w:t xml:space="preserve">Fichte, Johann Gottlieb. 1956.</w:t>
      </w:r>
      <w:r>
        <w:t xml:space="preserve"> </w:t>
      </w:r>
      <w:r>
        <w:t xml:space="preserve">“</w:t>
      </w:r>
      <w:r>
        <w:t xml:space="preserve">Die Grundzüge des gegenwärtigen Zeitalters: Neudruck auf der Grundlage der zweiten von Fritz Medicus hrsg. Aufl. von 1922, mit Einleitung und Sachregister von Alwin Diemer.</w:t>
      </w:r>
      <w:r>
        <w:t xml:space="preserve">”</w:t>
      </w:r>
    </w:p>
    <w:p>
      <w:pPr>
        <w:pStyle w:val="BodyText"/>
      </w:pPr>
      <w:r>
        <w:t xml:space="preserve">Fichte, Johann Gottlieb. 1976.</w:t>
      </w:r>
      <w:r>
        <w:t xml:space="preserve"> </w:t>
      </w:r>
      <w:r>
        <w:t xml:space="preserve">“</w:t>
      </w:r>
      <w:r>
        <w:t xml:space="preserve">Los caracteres de la Edad Contemporánea.</w:t>
      </w:r>
      <w:r>
        <w:t xml:space="preserve">”</w:t>
      </w:r>
    </w:p>
    <w:p>
      <w:pPr>
        <w:pStyle w:val="BodyText"/>
      </w:pPr>
      <w:r>
        <w:t xml:space="preserve">Fichte, Johann Gottlieb. 1978.</w:t>
      </w:r>
      <w:r>
        <w:t xml:space="preserve"> </w:t>
      </w:r>
      <w:r>
        <w:t xml:space="preserve">“</w:t>
      </w:r>
      <w:r>
        <w:t xml:space="preserve">Die Grundzüge des gegenwärtigen Zeitalters (1806).</w:t>
      </w:r>
      <w:r>
        <w:t xml:space="preserve">”</w:t>
      </w:r>
      <w:r>
        <w:t xml:space="preserve"> </w:t>
      </w:r>
      <w:r>
        <w:t xml:space="preserve">https://doi.org/10.28937/978-3-7873-2604-4</w:t>
      </w:r>
    </w:p>
    <w:p>
      <w:pPr>
        <w:pStyle w:val="BodyText"/>
      </w:pPr>
      <w:r>
        <w:t xml:space="preserve">Fichte, Johann Gottlieb. 1990.</w:t>
      </w:r>
      <w:r>
        <w:t xml:space="preserve"> </w:t>
      </w:r>
      <w:r>
        <w:t xml:space="preserve">“</w:t>
      </w:r>
      <w:r>
        <w:t xml:space="preserve">Le Caractère de l’époque actuelle.</w:t>
      </w:r>
      <w:r>
        <w:t xml:space="preserve">”</w:t>
      </w:r>
    </w:p>
    <w:p>
      <w:pPr>
        <w:pStyle w:val="BodyText"/>
      </w:pPr>
      <w:r>
        <w:t xml:space="preserve">Fichte, Johann Gottlieb. 1991.</w:t>
      </w:r>
      <w:r>
        <w:t xml:space="preserve"> </w:t>
      </w:r>
      <w:r>
        <w:t xml:space="preserve">“</w:t>
      </w:r>
      <w:r>
        <w:t xml:space="preserve">Gesamtausgabe der Bayerischen Akademie der Wissenschaften, Reihe I: Werke, Band 8: Werke 1801–1806.</w:t>
      </w:r>
      <w:r>
        <w:t xml:space="preserve">”</w:t>
      </w:r>
      <w:r>
        <w:t xml:space="preserve"> </w:t>
      </w:r>
      <w:hyperlink r:id="rId49">
        <w:r>
          <w:rPr>
            <w:rStyle w:val="Hyperlink"/>
          </w:rPr>
          <w:t xml:space="preserve">https://www.frommann-holzboog.de/editionen/1202/12021/120210810?lang=en-gb</w:t>
        </w:r>
      </w:hyperlink>
      <w:r>
        <w:t xml:space="preserve">.</w:t>
      </w:r>
    </w:p>
    <w:p>
      <w:pPr>
        <w:pStyle w:val="BodyText"/>
      </w:pPr>
      <w:r>
        <w:t xml:space="preserve">Fischer, Kuno. 1973.</w:t>
      </w:r>
      <w:r>
        <w:t xml:space="preserve"> </w:t>
      </w:r>
      <w:r>
        <w:t xml:space="preserve">“</w:t>
      </w:r>
      <w:r>
        <w:t xml:space="preserve">Fichtes Leben, Werke und Lehre.</w:t>
      </w:r>
      <w:r>
        <w:t xml:space="preserve">”</w:t>
      </w:r>
    </w:p>
    <w:p>
      <w:pPr>
        <w:pStyle w:val="BodyText"/>
      </w:pPr>
      <w:r>
        <w:t xml:space="preserve">Folkers, Horst. 2008.</w:t>
      </w:r>
      <w:r>
        <w:t xml:space="preserve"> </w:t>
      </w:r>
      <w:r>
        <w:t xml:space="preserve">“</w:t>
      </w:r>
      <w:r>
        <w:t xml:space="preserve">Das Johannesevangelium in Fichtes „Anweisung zum seligen Leben“.</w:t>
      </w:r>
      <w:r>
        <w:t xml:space="preserve">”</w:t>
      </w:r>
    </w:p>
    <w:p>
      <w:pPr>
        <w:pStyle w:val="BodyText"/>
      </w:pPr>
      <w:r>
        <w:t xml:space="preserve">Fuchs, Erich. 1990.</w:t>
      </w:r>
      <w:r>
        <w:t xml:space="preserve"> </w:t>
      </w:r>
      <w:r>
        <w:t xml:space="preserve">“</w:t>
      </w:r>
      <w:r>
        <w:t xml:space="preserve">Fichtes Einfluss auf seine Studenten in Berlin zum Beginn der Befreiungskriege.</w:t>
      </w:r>
      <w:r>
        <w:t xml:space="preserve">”</w:t>
      </w:r>
    </w:p>
    <w:p>
      <w:pPr>
        <w:pStyle w:val="BodyText"/>
      </w:pPr>
      <w:r>
        <w:t xml:space="preserve">Fuchs, Erich. 1990.</w:t>
      </w:r>
      <w:r>
        <w:t xml:space="preserve"> </w:t>
      </w:r>
      <w:r>
        <w:t xml:space="preserve">“</w:t>
      </w:r>
      <w:r>
        <w:t xml:space="preserve">Fichtes Stellung zum Judentum.</w:t>
      </w:r>
      <w:r>
        <w:t xml:space="preserve">”</w:t>
      </w:r>
    </w:p>
    <w:p>
      <w:pPr>
        <w:pStyle w:val="BodyText"/>
      </w:pPr>
      <w:r>
        <w:t xml:space="preserve">Fusaro, Diego. 2013.</w:t>
      </w:r>
      <w:r>
        <w:t xml:space="preserve"> </w:t>
      </w:r>
      <w:r>
        <w:t xml:space="preserve">“</w:t>
      </w:r>
      <w:r>
        <w:t xml:space="preserve">La compiuta peccaminosità. La critica della società capitalistica nei</w:t>
      </w:r>
      <w:r>
        <w:t xml:space="preserve">”</w:t>
      </w:r>
      <w:r>
        <w:t xml:space="preserve">Grundzüge” di Fichte.”</w:t>
      </w:r>
    </w:p>
    <w:p>
      <w:pPr>
        <w:pStyle w:val="BodyText"/>
      </w:pPr>
      <w:r>
        <w:t xml:space="preserve">Fusaro, Diego. 2016.</w:t>
      </w:r>
      <w:r>
        <w:t xml:space="preserve"> </w:t>
      </w:r>
      <w:r>
        <w:t xml:space="preserve">“</w:t>
      </w:r>
      <w:r>
        <w:t xml:space="preserve">Science of knowledge and historical experience.</w:t>
      </w:r>
      <w:r>
        <w:t xml:space="preserve">”</w:t>
      </w:r>
      <w:r>
        <w:t xml:space="preserve"> </w:t>
      </w:r>
      <w:r>
        <w:t xml:space="preserve">https://doi.org/10.15633/ss.1767</w:t>
      </w:r>
    </w:p>
    <w:p>
      <w:pPr>
        <w:pStyle w:val="BodyText"/>
      </w:pPr>
      <w:r>
        <w:t xml:space="preserve">Fusaro, Diego. 2017.</w:t>
      </w:r>
      <w:r>
        <w:t xml:space="preserve"> </w:t>
      </w:r>
      <w:r>
        <w:t xml:space="preserve">“</w:t>
      </w:r>
      <w:r>
        <w:t xml:space="preserve">Fichte e la compiuta peccaminosità: filosofia della storia e critica del presente nei «Grundzüge».</w:t>
      </w:r>
      <w:r>
        <w:t xml:space="preserve">”</w:t>
      </w:r>
    </w:p>
    <w:p>
      <w:pPr>
        <w:pStyle w:val="BodyText"/>
      </w:pPr>
      <w:r>
        <w:t xml:space="preserve">Gaudio, Mariano. 2019.</w:t>
      </w:r>
      <w:r>
        <w:t xml:space="preserve"> </w:t>
      </w:r>
      <w:r>
        <w:t xml:space="preserve">“</w:t>
      </w:r>
      <w:r>
        <w:t xml:space="preserve">Genesis and concept of State in Fichte’s Die Grundzüge.</w:t>
      </w:r>
      <w:r>
        <w:t xml:space="preserve">”</w:t>
      </w:r>
    </w:p>
    <w:p>
      <w:pPr>
        <w:pStyle w:val="BodyText"/>
      </w:pPr>
      <w:r>
        <w:t xml:space="preserve">Gilli, Franco. 2007.</w:t>
      </w:r>
      <w:r>
        <w:t xml:space="preserve"> </w:t>
      </w:r>
      <w:r>
        <w:t xml:space="preserve">“</w:t>
      </w:r>
      <w:r>
        <w:t xml:space="preserve">Die Präsenz der</w:t>
      </w:r>
      <w:r>
        <w:t xml:space="preserve"> </w:t>
      </w:r>
      <w:r>
        <w:t xml:space="preserve">‘</w:t>
      </w:r>
      <w:r>
        <w:t xml:space="preserve">Populärphilosophie</w:t>
      </w:r>
      <w:r>
        <w:t xml:space="preserve">’</w:t>
      </w:r>
      <w:r>
        <w:t xml:space="preserve"> </w:t>
      </w:r>
      <w:r>
        <w:t xml:space="preserve">im Spätwerk Fichtes.</w:t>
      </w:r>
      <w:r>
        <w:t xml:space="preserve">”</w:t>
      </w:r>
      <w:r>
        <w:t xml:space="preserve"> </w:t>
      </w:r>
      <w:r>
        <w:rPr>
          <w:iCs/>
          <w:i/>
        </w:rPr>
        <w:t xml:space="preserve">Fichte-Studien</w:t>
      </w:r>
      <w:r>
        <w:t xml:space="preserve"> </w:t>
      </w:r>
      <w:r>
        <w:t xml:space="preserve">31.</w:t>
      </w:r>
    </w:p>
    <w:p>
      <w:pPr>
        <w:pStyle w:val="BodyText"/>
      </w:pPr>
      <w:r>
        <w:t xml:space="preserve">Goddard, Jean-Christophe. 2012.</w:t>
      </w:r>
      <w:r>
        <w:t xml:space="preserve"> </w:t>
      </w:r>
      <w:r>
        <w:t xml:space="preserve">“</w:t>
      </w:r>
      <w:r>
        <w:t xml:space="preserve">Fichte or the permanent Aboriginal Revolution.</w:t>
      </w:r>
      <w:r>
        <w:t xml:space="preserve">”</w:t>
      </w:r>
    </w:p>
    <w:p>
      <w:pPr>
        <w:pStyle w:val="BodyText"/>
      </w:pPr>
      <w:r>
        <w:t xml:space="preserve">Graf, Friedrich Wilhelm, and Alf Christophersen. 2004.</w:t>
      </w:r>
      <w:r>
        <w:t xml:space="preserve"> </w:t>
      </w:r>
      <w:r>
        <w:t xml:space="preserve">“</w:t>
      </w:r>
      <w:r>
        <w:t xml:space="preserve">Neukantianismus, Fichte- und Schellingrenaissance: Paul Tillich und sein philosophischer Lehrer Fritz Medicus.</w:t>
      </w:r>
      <w:r>
        <w:t xml:space="preserve">”</w:t>
      </w:r>
      <w:r>
        <w:t xml:space="preserve"> </w:t>
      </w:r>
      <w:r>
        <w:t xml:space="preserve">https://doi.org/10.1515/znth.11.1.52</w:t>
      </w:r>
    </w:p>
    <w:p>
      <w:pPr>
        <w:pStyle w:val="BodyText"/>
      </w:pPr>
      <w:r>
        <w:t xml:space="preserve">Habermas, Jürgen. 1985.</w:t>
      </w:r>
      <w:r>
        <w:t xml:space="preserve"> </w:t>
      </w:r>
      <w:r>
        <w:t xml:space="preserve">“</w:t>
      </w:r>
      <w:r>
        <w:t xml:space="preserve">The Philosophical Discourse of Modernity.</w:t>
      </w:r>
      <w:r>
        <w:t xml:space="preserve">”</w:t>
      </w:r>
    </w:p>
    <w:p>
      <w:pPr>
        <w:pStyle w:val="BodyText"/>
      </w:pPr>
      <w:r>
        <w:t xml:space="preserve">Haym, Rudolf. 1861.</w:t>
      </w:r>
      <w:r>
        <w:t xml:space="preserve"> </w:t>
      </w:r>
      <w:r>
        <w:t xml:space="preserve">“</w:t>
      </w:r>
      <w:r>
        <w:t xml:space="preserve">Eine Erinnerung an Johann Gottlieb Fichte.</w:t>
      </w:r>
      <w:r>
        <w:t xml:space="preserve">”</w:t>
      </w:r>
    </w:p>
    <w:p>
      <w:pPr>
        <w:pStyle w:val="BodyText"/>
      </w:pPr>
      <w:r>
        <w:t xml:space="preserve">Heinrichs, Johannes. 2003.</w:t>
      </w:r>
      <w:r>
        <w:t xml:space="preserve"> </w:t>
      </w:r>
      <w:r>
        <w:t xml:space="preserve">“</w:t>
      </w:r>
      <w:r>
        <w:t xml:space="preserve">Die Mitte der Zeit als Tiefpunkt einer Parabel.</w:t>
      </w:r>
      <w:r>
        <w:t xml:space="preserve">”</w:t>
      </w:r>
      <w:r>
        <w:t xml:space="preserve"> </w:t>
      </w:r>
      <w:r>
        <w:rPr>
          <w:iCs/>
          <w:i/>
        </w:rPr>
        <w:t xml:space="preserve">Fichte-Studien</w:t>
      </w:r>
      <w:r>
        <w:t xml:space="preserve"> </w:t>
      </w:r>
      <w:r>
        <w:t xml:space="preserve">23. https://doi.org/10.5840/fichte20032370</w:t>
      </w:r>
    </w:p>
    <w:p>
      <w:pPr>
        <w:pStyle w:val="BodyText"/>
      </w:pPr>
      <w:r>
        <w:t xml:space="preserve">Heinz, Marion. 1997.</w:t>
      </w:r>
      <w:r>
        <w:t xml:space="preserve"> </w:t>
      </w:r>
      <w:r>
        <w:t xml:space="preserve">“</w:t>
      </w:r>
      <w:r>
        <w:t xml:space="preserve">Die Fichte-Rezeption in der südwestdeutschen Schule des Neukantianismus.</w:t>
      </w:r>
      <w:r>
        <w:t xml:space="preserve">”</w:t>
      </w:r>
      <w:r>
        <w:t xml:space="preserve"> </w:t>
      </w:r>
      <w:r>
        <w:t xml:space="preserve">https://doi.org/10.5840/fichte1997136</w:t>
      </w:r>
    </w:p>
    <w:p>
      <w:pPr>
        <w:pStyle w:val="BodyText"/>
      </w:pPr>
      <w:r>
        <w:t xml:space="preserve">Heinz, Marion, and Rainer Schäfer. 2010.</w:t>
      </w:r>
      <w:r>
        <w:t xml:space="preserve"> </w:t>
      </w:r>
      <w:r>
        <w:t xml:space="preserve">“</w:t>
      </w:r>
      <w:r>
        <w:t xml:space="preserve">Die Fichte-Rezeption im Nationalsozialismus am Beispiel Bauchs und Gehlens.</w:t>
      </w:r>
      <w:r>
        <w:t xml:space="preserve">”</w:t>
      </w:r>
      <w:r>
        <w:t xml:space="preserve"> </w:t>
      </w:r>
      <w:r>
        <w:t xml:space="preserve">https://doi.org/10.5840/fichte20103513</w:t>
      </w:r>
    </w:p>
    <w:p>
      <w:pPr>
        <w:pStyle w:val="BodyText"/>
      </w:pPr>
      <w:r>
        <w:t xml:space="preserve">Henrich, Dieter. 1967.</w:t>
      </w:r>
      <w:r>
        <w:t xml:space="preserve"> </w:t>
      </w:r>
      <w:r>
        <w:t xml:space="preserve">“</w:t>
      </w:r>
      <w:r>
        <w:t xml:space="preserve">Fichtes ursprüngliche Einsicht.</w:t>
      </w:r>
      <w:r>
        <w:t xml:space="preserve">”</w:t>
      </w:r>
    </w:p>
    <w:p>
      <w:pPr>
        <w:pStyle w:val="BodyText"/>
      </w:pPr>
      <w:r>
        <w:t xml:space="preserve">Henrich, Dieter. 2019.</w:t>
      </w:r>
      <w:r>
        <w:t xml:space="preserve"> </w:t>
      </w:r>
      <w:r>
        <w:t xml:space="preserve">“</w:t>
      </w:r>
      <w:r>
        <w:t xml:space="preserve">Dies Ich, das viel besagt.</w:t>
      </w:r>
      <w:r>
        <w:t xml:space="preserve">”</w:t>
      </w:r>
    </w:p>
    <w:p>
      <w:pPr>
        <w:pStyle w:val="BodyText"/>
      </w:pPr>
      <w:r>
        <w:t xml:space="preserve">Hübner, Dietmar. 2011.</w:t>
      </w:r>
      <w:r>
        <w:t xml:space="preserve"> </w:t>
      </w:r>
      <w:r>
        <w:t xml:space="preserve">“</w:t>
      </w:r>
      <w:r>
        <w:t xml:space="preserve">Die Geschichtsphilosophie des deutschen Idealismus: Kant - Fichte - Schelling - Hegel.</w:t>
      </w:r>
      <w:r>
        <w:t xml:space="preserve">”</w:t>
      </w:r>
    </w:p>
    <w:p>
      <w:pPr>
        <w:pStyle w:val="BodyText"/>
      </w:pPr>
      <w:r>
        <w:t xml:space="preserve">Ivaldo, M., and I. Radrizzani. 1996.</w:t>
      </w:r>
      <w:r>
        <w:t xml:space="preserve"> </w:t>
      </w:r>
      <w:r>
        <w:t xml:space="preserve">“</w:t>
      </w:r>
      <w:r>
        <w:t xml:space="preserve">L’approche pratique et éthique de l’histoire dans la philosophie transcendantale de Fichte.</w:t>
      </w:r>
      <w:r>
        <w:t xml:space="preserve">”</w:t>
      </w:r>
    </w:p>
    <w:p>
      <w:pPr>
        <w:pStyle w:val="BodyText"/>
      </w:pPr>
      <w:r>
        <w:t xml:space="preserve">Jacobs, Wilhelm G. 2013.</w:t>
      </w:r>
      <w:r>
        <w:t xml:space="preserve"> </w:t>
      </w:r>
      <w:r>
        <w:t xml:space="preserve">“</w:t>
      </w:r>
      <w:r>
        <w:t xml:space="preserve">Erich Fuchs (Hg.), J. G. Fichte im Gespräch. Berichte der Zeitgenossen. Bd. 7: Nachträge zu den Bänden 1–5, 1792–1862 (= Specula, Bd. 7).</w:t>
      </w:r>
      <w:r>
        <w:t xml:space="preserve">”</w:t>
      </w:r>
      <w:r>
        <w:t xml:space="preserve"> </w:t>
      </w:r>
      <w:r>
        <w:rPr>
          <w:iCs/>
          <w:i/>
        </w:rPr>
        <w:t xml:space="preserve">Philosophisches Jahrbuch</w:t>
      </w:r>
      <w:r>
        <w:t xml:space="preserve">. https://doi.org/10.5771/0031-8183-2013-2-423</w:t>
      </w:r>
    </w:p>
    <w:p>
      <w:pPr>
        <w:pStyle w:val="BodyText"/>
      </w:pPr>
      <w:r>
        <w:t xml:space="preserve">Jaenecke, Jan Niklas. 2023.</w:t>
      </w:r>
      <w:r>
        <w:t xml:space="preserve"> </w:t>
      </w:r>
      <w:r>
        <w:t xml:space="preserve">“</w:t>
      </w:r>
      <w:r>
        <w:t xml:space="preserve">Fichtes Darstellung der genetischen Phänomenologie in der Anweisung zum seligen Leben.</w:t>
      </w:r>
      <w:r>
        <w:t xml:space="preserve">”</w:t>
      </w:r>
      <w:r>
        <w:t xml:space="preserve"> </w:t>
      </w:r>
      <w:r>
        <w:rPr>
          <w:iCs/>
          <w:i/>
        </w:rPr>
        <w:t xml:space="preserve">Fichte Studien</w:t>
      </w:r>
      <w:r>
        <w:t xml:space="preserve"> </w:t>
      </w:r>
      <w:r>
        <w:t xml:space="preserve">52.</w:t>
      </w:r>
    </w:p>
    <w:p>
      <w:pPr>
        <w:pStyle w:val="BodyText"/>
      </w:pPr>
      <w:r>
        <w:t xml:space="preserve">James, David. 2015.</w:t>
      </w:r>
      <w:r>
        <w:t xml:space="preserve"> </w:t>
      </w:r>
      <w:r>
        <w:t xml:space="preserve">“</w:t>
      </w:r>
      <w:r>
        <w:t xml:space="preserve">Fichte’s philosophy of history: the future ages of humanity as postulates of pure practical reason.</w:t>
      </w:r>
      <w:r>
        <w:t xml:space="preserve">”</w:t>
      </w:r>
      <w:r>
        <w:t xml:space="preserve"> </w:t>
      </w:r>
      <w:r>
        <w:t xml:space="preserve">https://doi.org/10.1017/CBO9781316275719.005</w:t>
      </w:r>
    </w:p>
    <w:p>
      <w:pPr>
        <w:pStyle w:val="BodyText"/>
      </w:pPr>
      <w:r>
        <w:t xml:space="preserve">James, David. 2015.</w:t>
      </w:r>
      <w:r>
        <w:t xml:space="preserve"> </w:t>
      </w:r>
      <w:r>
        <w:t xml:space="preserve">“</w:t>
      </w:r>
      <w:r>
        <w:t xml:space="preserve">Enlightenment and the Unconditional Good: From Fichte to the Frankfurt School.</w:t>
      </w:r>
      <w:r>
        <w:t xml:space="preserve">”</w:t>
      </w:r>
    </w:p>
    <w:p>
      <w:pPr>
        <w:pStyle w:val="BodyText"/>
      </w:pPr>
      <w:r>
        <w:t xml:space="preserve">James, David, and Günter Zöller, eds. 2016.</w:t>
      </w:r>
      <w:r>
        <w:t xml:space="preserve"> </w:t>
      </w:r>
      <w:r>
        <w:t xml:space="preserve">“</w:t>
      </w:r>
      <w:r>
        <w:t xml:space="preserve">The Cambridge Companion to Fichte.</w:t>
      </w:r>
      <w:r>
        <w:t xml:space="preserve">”</w:t>
      </w:r>
    </w:p>
    <w:p>
      <w:pPr>
        <w:pStyle w:val="BodyText"/>
      </w:pPr>
      <w:r>
        <w:t xml:space="preserve">James, David. 2016.</w:t>
      </w:r>
      <w:r>
        <w:t xml:space="preserve"> </w:t>
      </w:r>
      <w:r>
        <w:t xml:space="preserve">“</w:t>
      </w:r>
      <w:r>
        <w:t xml:space="preserve">Self-mastery and universal history.</w:t>
      </w:r>
      <w:r>
        <w:t xml:space="preserve">”</w:t>
      </w:r>
    </w:p>
    <w:p>
      <w:pPr>
        <w:pStyle w:val="BodyText"/>
      </w:pPr>
      <w:r>
        <w:t xml:space="preserve">James, David. 2025.</w:t>
      </w:r>
      <w:r>
        <w:t xml:space="preserve"> </w:t>
      </w:r>
      <w:r>
        <w:t xml:space="preserve">“</w:t>
      </w:r>
      <w:r>
        <w:t xml:space="preserve">Adorno’s Critique of Fichte’s Idealism: An Appraisal.</w:t>
      </w:r>
      <w:r>
        <w:t xml:space="preserve">”</w:t>
      </w:r>
      <w:r>
        <w:t xml:space="preserve"> </w:t>
      </w:r>
      <w:r>
        <w:rPr>
          <w:iCs/>
          <w:i/>
        </w:rPr>
        <w:t xml:space="preserve">Archiv für Geschichte der Philosophie</w:t>
      </w:r>
      <w:r>
        <w:t xml:space="preserve">.</w:t>
      </w:r>
    </w:p>
    <w:p>
      <w:pPr>
        <w:pStyle w:val="BodyText"/>
      </w:pPr>
      <w:r>
        <w:t xml:space="preserve">James, David. 2025.</w:t>
      </w:r>
      <w:r>
        <w:t xml:space="preserve"> </w:t>
      </w:r>
      <w:r>
        <w:t xml:space="preserve">“</w:t>
      </w:r>
      <w:r>
        <w:t xml:space="preserve">Universalmonarchie, Ursprache und das Paradoxon des kosmopolitischen Nationalismus bei Herder und Fichte.</w:t>
      </w:r>
      <w:r>
        <w:t xml:space="preserve">”</w:t>
      </w:r>
      <w:r>
        <w:t xml:space="preserve"> </w:t>
      </w:r>
      <w:r>
        <w:rPr>
          <w:iCs/>
          <w:i/>
        </w:rPr>
        <w:t xml:space="preserve">Fichte Studien</w:t>
      </w:r>
      <w:r>
        <w:t xml:space="preserve"> </w:t>
      </w:r>
      <w:r>
        <w:t xml:space="preserve">54 (1): 173–192. https://doi.org/10.1163/18795811-05401008</w:t>
      </w:r>
    </w:p>
    <w:p>
      <w:pPr>
        <w:pStyle w:val="BodyText"/>
      </w:pPr>
      <w:r>
        <w:t xml:space="preserve">James, David. 2026.</w:t>
      </w:r>
      <w:r>
        <w:t xml:space="preserve"> </w:t>
      </w:r>
      <w:r>
        <w:t xml:space="preserve">“</w:t>
      </w:r>
      <w:r>
        <w:t xml:space="preserve">Coercion versus Persuasion: Fichte’s Zwingherr and Rousseau’s Lawgiver.</w:t>
      </w:r>
      <w:r>
        <w:t xml:space="preserve">”</w:t>
      </w:r>
      <w:r>
        <w:t xml:space="preserve"> </w:t>
      </w:r>
      <w:r>
        <w:rPr>
          <w:iCs/>
          <w:i/>
        </w:rPr>
        <w:t xml:space="preserve">Fichte Studien</w:t>
      </w:r>
      <w:r>
        <w:t xml:space="preserve"> </w:t>
      </w:r>
      <w:r>
        <w:t xml:space="preserve">54.</w:t>
      </w:r>
    </w:p>
    <w:p>
      <w:pPr>
        <w:pStyle w:val="BodyText"/>
      </w:pPr>
      <w:r>
        <w:t xml:space="preserve">Kain, Philip J. 1983.</w:t>
      </w:r>
      <w:r>
        <w:t xml:space="preserve"> </w:t>
      </w:r>
      <w:r>
        <w:t xml:space="preserve">“</w:t>
      </w:r>
      <w:r>
        <w:t xml:space="preserve">Fichte, Marx, and the German Philosophical Tradition (review).</w:t>
      </w:r>
      <w:r>
        <w:t xml:space="preserve">”</w:t>
      </w:r>
      <w:r>
        <w:t xml:space="preserve"> </w:t>
      </w:r>
      <w:r>
        <w:rPr>
          <w:iCs/>
          <w:i/>
        </w:rPr>
        <w:t xml:space="preserve">Journal of the History of Philosophy</w:t>
      </w:r>
      <w:r>
        <w:t xml:space="preserve"> </w:t>
      </w:r>
      <w:r>
        <w:t xml:space="preserve">21: 116–117. https://doi.org/10.1353/hph.1983.0026</w:t>
      </w:r>
    </w:p>
    <w:p>
      <w:pPr>
        <w:pStyle w:val="BodyText"/>
      </w:pPr>
      <w:r>
        <w:t xml:space="preserve">Kildyushov, O. V. 2022.</w:t>
      </w:r>
      <w:r>
        <w:t xml:space="preserve"> </w:t>
      </w:r>
      <w:r>
        <w:t xml:space="preserve">“</w:t>
      </w:r>
      <w:r>
        <w:t xml:space="preserve">The police state as a symptom: German classical philosophy and modern biopolitics (Hegel vs Fichte).</w:t>
      </w:r>
      <w:r>
        <w:t xml:space="preserve">”</w:t>
      </w:r>
      <w:r>
        <w:t xml:space="preserve"> </w:t>
      </w:r>
      <w:r>
        <w:rPr>
          <w:iCs/>
          <w:i/>
        </w:rPr>
        <w:t xml:space="preserve">RUDN Journal of Sociology</w:t>
      </w:r>
      <w:r>
        <w:t xml:space="preserve"> </w:t>
      </w:r>
      <w:r>
        <w:t xml:space="preserve">22 (3): 503–517. https://doi.org/10.22363/2313-2272-2022-22-3-503-517</w:t>
      </w:r>
    </w:p>
    <w:p>
      <w:pPr>
        <w:pStyle w:val="BodyText"/>
      </w:pPr>
      <w:r>
        <w:t xml:space="preserve">Kloc-Konkołowicz, Jakub. 2017.</w:t>
      </w:r>
      <w:r>
        <w:t xml:space="preserve"> </w:t>
      </w:r>
      <w:r>
        <w:t xml:space="preserve">“</w:t>
      </w:r>
      <w:r>
        <w:t xml:space="preserve">»Wir alle werden im Egoismus erzeugt und geboren…«: Fichtes Grundzüge des gegenwärtigen Zeitalters als Selbstreflexive Kritik der Moderne.</w:t>
      </w:r>
      <w:r>
        <w:t xml:space="preserve">”</w:t>
      </w:r>
    </w:p>
    <w:p>
      <w:pPr>
        <w:pStyle w:val="BodyText"/>
      </w:pPr>
      <w:r>
        <w:t xml:space="preserve">Kloc-Konkołowicz, Jakub. 2020.</w:t>
      </w:r>
      <w:r>
        <w:t xml:space="preserve"> </w:t>
      </w:r>
      <w:r>
        <w:t xml:space="preserve">“</w:t>
      </w:r>
      <w:r>
        <w:t xml:space="preserve">Fichtes Begriff der Aufklärung als der wachsenden Klarheit der Bilder. Das Konzept des Bildes und seine praktisch-politischen Implikationen.</w:t>
      </w:r>
      <w:r>
        <w:t xml:space="preserve">”</w:t>
      </w:r>
    </w:p>
    <w:p>
      <w:pPr>
        <w:pStyle w:val="BodyText"/>
      </w:pPr>
      <w:r>
        <w:t xml:space="preserve">Landenne, Quentin. 2009.</w:t>
      </w:r>
      <w:r>
        <w:t xml:space="preserve"> </w:t>
      </w:r>
      <w:r>
        <w:t xml:space="preserve">“</w:t>
      </w:r>
      <w:r>
        <w:t xml:space="preserve">Speculation and Freedom in the Philosophy of History in the Characteristics of the Present Age by J. G. Fichte (1804-1805).</w:t>
      </w:r>
      <w:r>
        <w:t xml:space="preserve">”</w:t>
      </w:r>
    </w:p>
    <w:p>
      <w:pPr>
        <w:pStyle w:val="BodyText"/>
      </w:pPr>
      <w:r>
        <w:t xml:space="preserve">Landenne, Quentin. 2013.</w:t>
      </w:r>
      <w:r>
        <w:t xml:space="preserve"> </w:t>
      </w:r>
      <w:r>
        <w:t xml:space="preserve">“</w:t>
      </w:r>
      <w:r>
        <w:t xml:space="preserve">Spekulative Ableitung und/oder phänomenologische Beschreibung der Geschichtlichkeit? Fichtes und Husserls transzendentale Geschichtsphilosophie.</w:t>
      </w:r>
      <w:r>
        <w:t xml:space="preserve">”</w:t>
      </w:r>
      <w:r>
        <w:t xml:space="preserve"> </w:t>
      </w:r>
      <w:r>
        <w:rPr>
          <w:iCs/>
          <w:i/>
        </w:rPr>
        <w:t xml:space="preserve">Fichte-Studien</w:t>
      </w:r>
      <w:r>
        <w:t xml:space="preserve"> </w:t>
      </w:r>
      <w:r>
        <w:t xml:space="preserve">37. https://doi.org/10.5840/fichte20133732</w:t>
      </w:r>
    </w:p>
    <w:p>
      <w:pPr>
        <w:pStyle w:val="BodyText"/>
      </w:pPr>
      <w:r>
        <w:t xml:space="preserve">López Domínguez, Virginia. 2026.</w:t>
      </w:r>
      <w:r>
        <w:t xml:space="preserve"> </w:t>
      </w:r>
      <w:r>
        <w:t xml:space="preserve">“</w:t>
      </w:r>
      <w:r>
        <w:t xml:space="preserve">The Doctrine of the State or the Christian Social Utopia as Fichte’s Last Political Legacy.</w:t>
      </w:r>
      <w:r>
        <w:t xml:space="preserve">”</w:t>
      </w:r>
      <w:r>
        <w:t xml:space="preserve"> </w:t>
      </w:r>
      <w:r>
        <w:rPr>
          <w:iCs/>
          <w:i/>
        </w:rPr>
        <w:t xml:space="preserve">Fichte Studien</w:t>
      </w:r>
      <w:r>
        <w:t xml:space="preserve"> </w:t>
      </w:r>
      <w:r>
        <w:t xml:space="preserve">54 (2): 348–362. https://doi.org/10.1163/18795811-05401019</w:t>
      </w:r>
    </w:p>
    <w:p>
      <w:pPr>
        <w:pStyle w:val="BodyText"/>
      </w:pPr>
      <w:r>
        <w:t xml:space="preserve">Maesschalck, Marc. 1991.</w:t>
      </w:r>
      <w:r>
        <w:t xml:space="preserve"> </w:t>
      </w:r>
      <w:r>
        <w:t xml:space="preserve">“</w:t>
      </w:r>
      <w:r>
        <w:t xml:space="preserve">La religion dans les Grundzüge de Fichte.</w:t>
      </w:r>
      <w:r>
        <w:t xml:space="preserve">”</w:t>
      </w:r>
      <w:r>
        <w:t xml:space="preserve"> </w:t>
      </w:r>
      <w:r>
        <w:rPr>
          <w:iCs/>
          <w:i/>
        </w:rPr>
        <w:t xml:space="preserve">Revue Philosophique de Louvain</w:t>
      </w:r>
      <w:r>
        <w:t xml:space="preserve">.</w:t>
      </w:r>
    </w:p>
    <w:p>
      <w:pPr>
        <w:pStyle w:val="BodyText"/>
      </w:pPr>
      <w:r>
        <w:t xml:space="preserve">Maesschalck, Marc. 1996.</w:t>
      </w:r>
      <w:r>
        <w:t xml:space="preserve"> </w:t>
      </w:r>
      <w:r>
        <w:t xml:space="preserve">“</w:t>
      </w:r>
      <w:r>
        <w:t xml:space="preserve">Fichte et la question nationale.</w:t>
      </w:r>
      <w:r>
        <w:t xml:space="preserve">”</w:t>
      </w:r>
      <w:r>
        <w:t xml:space="preserve"> </w:t>
      </w:r>
      <w:r>
        <w:rPr>
          <w:iCs/>
          <w:i/>
        </w:rPr>
        <w:t xml:space="preserve">Archives de Philosophie</w:t>
      </w:r>
      <w:r>
        <w:t xml:space="preserve"> </w:t>
      </w:r>
      <w:r>
        <w:t xml:space="preserve">59.</w:t>
      </w:r>
    </w:p>
    <w:p>
      <w:pPr>
        <w:pStyle w:val="BodyText"/>
      </w:pPr>
      <w:r>
        <w:t xml:space="preserve">Nakhimovsky, Isaac. 2011.</w:t>
      </w:r>
      <w:r>
        <w:t xml:space="preserve"> </w:t>
      </w:r>
      <w:r>
        <w:t xml:space="preserve">“</w:t>
      </w:r>
      <w:r>
        <w:t xml:space="preserve">The Closed Commercial State.</w:t>
      </w:r>
      <w:r>
        <w:t xml:space="preserve">”</w:t>
      </w:r>
    </w:p>
    <w:p>
      <w:pPr>
        <w:pStyle w:val="BodyText"/>
      </w:pPr>
      <w:r>
        <w:t xml:space="preserve">Neuhann, Esther. 2025.</w:t>
      </w:r>
      <w:r>
        <w:t xml:space="preserve"> </w:t>
      </w:r>
      <w:r>
        <w:t xml:space="preserve">“</w:t>
      </w:r>
      <w:r>
        <w:t xml:space="preserve">In Focus: New Perspectives on Fichte’s Reden an die deutsche Nation (1808).</w:t>
      </w:r>
      <w:r>
        <w:t xml:space="preserve">”</w:t>
      </w:r>
      <w:r>
        <w:t xml:space="preserve"> </w:t>
      </w:r>
      <w:r>
        <w:rPr>
          <w:iCs/>
          <w:i/>
        </w:rPr>
        <w:t xml:space="preserve">Deutsche Zeitschrift für Philosophie</w:t>
      </w:r>
      <w:r>
        <w:t xml:space="preserve"> </w:t>
      </w:r>
      <w:r>
        <w:t xml:space="preserve">73 (1): 64–69. https://doi.org/10.1515/dzph-2025-0004</w:t>
      </w:r>
    </w:p>
    <w:p>
      <w:pPr>
        <w:pStyle w:val="BodyText"/>
      </w:pPr>
      <w:r>
        <w:t xml:space="preserve">Nini, Matthew. 2024.</w:t>
      </w:r>
      <w:r>
        <w:t xml:space="preserve"> </w:t>
      </w:r>
      <w:r>
        <w:t xml:space="preserve">“</w:t>
      </w:r>
      <w:r>
        <w:t xml:space="preserve">Fichte in Berlin.</w:t>
      </w:r>
      <w:r>
        <w:t xml:space="preserve">”</w:t>
      </w:r>
    </w:p>
    <w:p>
      <w:pPr>
        <w:pStyle w:val="BodyText"/>
      </w:pPr>
      <w:r>
        <w:t xml:space="preserve">Norton, William J. 1931.</w:t>
      </w:r>
      <w:r>
        <w:t xml:space="preserve"> </w:t>
      </w:r>
      <w:r>
        <w:t xml:space="preserve">“</w:t>
      </w:r>
      <w:r>
        <w:t xml:space="preserve">L’Evolution et la Structure de la Doctrine de la Science Chez Fichte.</w:t>
      </w:r>
      <w:r>
        <w:t xml:space="preserve">”</w:t>
      </w:r>
    </w:p>
    <w:p>
      <w:pPr>
        <w:pStyle w:val="BodyText"/>
      </w:pPr>
      <w:r>
        <w:t xml:space="preserve">Nuzzo, Angelica. 2019.</w:t>
      </w:r>
      <w:r>
        <w:t xml:space="preserve"> </w:t>
      </w:r>
      <w:r>
        <w:t xml:space="preserve">“</w:t>
      </w:r>
      <w:r>
        <w:t xml:space="preserve">Fichte’s Philosophy of History: Between A Priori Foundation and Material Development.</w:t>
      </w:r>
      <w:r>
        <w:t xml:space="preserve">”</w:t>
      </w:r>
    </w:p>
    <w:p>
      <w:pPr>
        <w:pStyle w:val="BodyText"/>
      </w:pPr>
      <w:r>
        <w:t xml:space="preserve">Oncina Coves, Faustino. 2019.</w:t>
      </w:r>
      <w:r>
        <w:t xml:space="preserve"> </w:t>
      </w:r>
      <w:r>
        <w:t xml:space="preserve">“</w:t>
      </w:r>
      <w:r>
        <w:t xml:space="preserve">Philosophy of history and politics in Fichte.</w:t>
      </w:r>
      <w:r>
        <w:t xml:space="preserve">”</w:t>
      </w:r>
    </w:p>
    <w:p>
      <w:pPr>
        <w:pStyle w:val="BodyText"/>
      </w:pPr>
      <w:r>
        <w:t xml:space="preserve">Pareyson, Luigi. 1976.</w:t>
      </w:r>
      <w:r>
        <w:t xml:space="preserve"> </w:t>
      </w:r>
      <w:r>
        <w:t xml:space="preserve">“</w:t>
      </w:r>
      <w:r>
        <w:t xml:space="preserve">Fichte: il sistema della libertà.</w:t>
      </w:r>
      <w:r>
        <w:t xml:space="preserve">”</w:t>
      </w:r>
    </w:p>
    <w:p>
      <w:pPr>
        <w:pStyle w:val="BodyText"/>
      </w:pPr>
      <w:r>
        <w:t xml:space="preserve">Patsch, H. 1995.</w:t>
      </w:r>
      <w:r>
        <w:t xml:space="preserve"> </w:t>
      </w:r>
      <w:r>
        <w:t xml:space="preserve">“</w:t>
      </w:r>
      <w:r>
        <w:t xml:space="preserve">Rezension von Jobann Gottlieb Fichte: Die Grundzüge des gegenwärtigen Zeitalters (1807).</w:t>
      </w:r>
      <w:r>
        <w:t xml:space="preserve">”</w:t>
      </w:r>
      <w:r>
        <w:t xml:space="preserve"> </w:t>
      </w:r>
      <w:r>
        <w:t xml:space="preserve">https://doi.org/10.1515/9783110867879.119</w:t>
      </w:r>
    </w:p>
    <w:p>
      <w:pPr>
        <w:pStyle w:val="BodyText"/>
      </w:pPr>
      <w:r>
        <w:t xml:space="preserve">Phillips, Rory Lawrence. 2025.</w:t>
      </w:r>
      <w:r>
        <w:t xml:space="preserve"> </w:t>
      </w:r>
      <w:r>
        <w:t xml:space="preserve">“</w:t>
      </w:r>
      <w:r>
        <w:t xml:space="preserve">Was Fichte a Proto-Fascist?</w:t>
      </w:r>
      <w:r>
        <w:t xml:space="preserve">”</w:t>
      </w:r>
      <w:r>
        <w:t xml:space="preserve"> </w:t>
      </w:r>
      <w:r>
        <w:rPr>
          <w:iCs/>
          <w:i/>
        </w:rPr>
        <w:t xml:space="preserve">The European Legacy</w:t>
      </w:r>
      <w:r>
        <w:t xml:space="preserve"> </w:t>
      </w:r>
      <w:r>
        <w:t xml:space="preserve">30: 539–558. https://doi.org/10.1080/10848770.2025.2500229</w:t>
      </w:r>
    </w:p>
    <w:p>
      <w:pPr>
        <w:pStyle w:val="BodyText"/>
      </w:pPr>
      <w:r>
        <w:t xml:space="preserve">Picardi, Roberta. 2009.</w:t>
      </w:r>
      <w:r>
        <w:t xml:space="preserve"> </w:t>
      </w:r>
      <w:r>
        <w:t xml:space="preserve">“</w:t>
      </w:r>
      <w:r>
        <w:t xml:space="preserve">Il concetto e la storia. La filosofia della storia di J. G. Fichte.</w:t>
      </w:r>
      <w:r>
        <w:t xml:space="preserve">”</w:t>
      </w:r>
    </w:p>
    <w:p>
      <w:pPr>
        <w:pStyle w:val="BodyText"/>
      </w:pPr>
      <w:r>
        <w:t xml:space="preserve">Picardi, Roberta. 2013.</w:t>
      </w:r>
      <w:r>
        <w:t xml:space="preserve"> </w:t>
      </w:r>
      <w:r>
        <w:t xml:space="preserve">“</w:t>
      </w:r>
      <w:r>
        <w:t xml:space="preserve">The ``Guiding Thread’’ of Universal History: Kant’s Legacy in Fichte’s Philosophy of History.</w:t>
      </w:r>
      <w:r>
        <w:t xml:space="preserve">”</w:t>
      </w:r>
      <w:r>
        <w:t xml:space="preserve"> </w:t>
      </w:r>
      <w:r>
        <w:t xml:space="preserve">https://doi.org/10.1515/9783110246490.4677</w:t>
      </w:r>
    </w:p>
    <w:p>
      <w:pPr>
        <w:pStyle w:val="BodyText"/>
      </w:pPr>
      <w:r>
        <w:t xml:space="preserve">Picardi, Roberta. 2025.</w:t>
      </w:r>
      <w:r>
        <w:t xml:space="preserve"> </w:t>
      </w:r>
      <w:r>
        <w:t xml:space="preserve">“</w:t>
      </w:r>
      <w:r>
        <w:t xml:space="preserve">Die Grundzüge des gegenwärtigen Zeitalters (1806).</w:t>
      </w:r>
      <w:r>
        <w:t xml:space="preserve">”</w:t>
      </w:r>
    </w:p>
    <w:p>
      <w:pPr>
        <w:pStyle w:val="BodyText"/>
      </w:pPr>
      <w:r>
        <w:t xml:space="preserve">Picardi, Roberta. 2026.</w:t>
      </w:r>
      <w:r>
        <w:t xml:space="preserve"> </w:t>
      </w:r>
      <w:r>
        <w:t xml:space="preserve">“</w:t>
      </w:r>
      <w:r>
        <w:t xml:space="preserve">First Human Beings, Orangutangs and Urgeschlechter: Fichte and the Debates on the Origins of Human Race and History.</w:t>
      </w:r>
      <w:r>
        <w:t xml:space="preserve">”</w:t>
      </w:r>
      <w:r>
        <w:t xml:space="preserve"> </w:t>
      </w:r>
      <w:r>
        <w:rPr>
          <w:iCs/>
          <w:i/>
        </w:rPr>
        <w:t xml:space="preserve">Fichte-Studien</w:t>
      </w:r>
      <w:r>
        <w:t xml:space="preserve"> </w:t>
      </w:r>
      <w:r>
        <w:t xml:space="preserve">54. https://doi.org/10.1163/18795811-05401018</w:t>
      </w:r>
    </w:p>
    <w:p>
      <w:pPr>
        <w:pStyle w:val="BodyText"/>
      </w:pPr>
      <w:r>
        <w:t xml:space="preserve">Quétier, Jean. 2025.</w:t>
      </w:r>
      <w:r>
        <w:t xml:space="preserve"> </w:t>
      </w:r>
      <w:r>
        <w:t xml:space="preserve">“</w:t>
      </w:r>
      <w:r>
        <w:t xml:space="preserve">Le Fichte de Jaurès vu par les socialistes allemands.</w:t>
      </w:r>
      <w:r>
        <w:t xml:space="preserve">”</w:t>
      </w:r>
      <w:r>
        <w:t xml:space="preserve"> </w:t>
      </w:r>
      <w:r>
        <w:rPr>
          <w:iCs/>
          <w:i/>
        </w:rPr>
        <w:t xml:space="preserve">Actuel Marx</w:t>
      </w:r>
      <w:r>
        <w:t xml:space="preserve">. https://doi.org/10.3917/amx.078.0027</w:t>
      </w:r>
    </w:p>
    <w:p>
      <w:pPr>
        <w:pStyle w:val="BodyText"/>
      </w:pPr>
      <w:r>
        <w:t xml:space="preserve">Radrizzani, Ives. 2009.</w:t>
      </w:r>
      <w:r>
        <w:t xml:space="preserve"> </w:t>
      </w:r>
      <w:r>
        <w:t xml:space="preserve">“</w:t>
      </w:r>
      <w:r>
        <w:t xml:space="preserve">Die Erlanger Vorlesungen «Über das Wesen des Gelehrten»: Eine «neue und verbesserte Ausgabe» der «Bestimmung des Gelehrten»?</w:t>
      </w:r>
      <w:r>
        <w:t xml:space="preserve">”</w:t>
      </w:r>
      <w:r>
        <w:t xml:space="preserve"> </w:t>
      </w:r>
      <w:r>
        <w:rPr>
          <w:iCs/>
          <w:i/>
        </w:rPr>
        <w:t xml:space="preserve">Fichte Studien</w:t>
      </w:r>
      <w:r>
        <w:t xml:space="preserve"> </w:t>
      </w:r>
      <w:r>
        <w:t xml:space="preserve">34.</w:t>
      </w:r>
    </w:p>
    <w:p>
      <w:pPr>
        <w:pStyle w:val="BodyText"/>
      </w:pPr>
      <w:r>
        <w:t xml:space="preserve">Radrizzani, Ives. 2020.</w:t>
      </w:r>
      <w:r>
        <w:t xml:space="preserve"> </w:t>
      </w:r>
      <w:r>
        <w:t xml:space="preserve">“</w:t>
      </w:r>
      <w:r>
        <w:t xml:space="preserve">Fichte’s Philosophy of History.</w:t>
      </w:r>
      <w:r>
        <w:t xml:space="preserve">”</w:t>
      </w:r>
      <w:r>
        <w:t xml:space="preserve"> </w:t>
      </w:r>
      <w:r>
        <w:t xml:space="preserve">In The Bloomsbury Handbook of Fichte, Bloomsbury Publishing Plc, pp. 277–291. https://doi.org/10.5040/9781350036642.ch-015</w:t>
      </w:r>
    </w:p>
    <w:p>
      <w:pPr>
        <w:pStyle w:val="BodyText"/>
      </w:pPr>
      <w:r>
        <w:t xml:space="preserve">Radrizzani, Ives. 2022.</w:t>
      </w:r>
      <w:r>
        <w:t xml:space="preserve"> </w:t>
      </w:r>
      <w:r>
        <w:t xml:space="preserve">“</w:t>
      </w:r>
      <w:r>
        <w:t xml:space="preserve">Fichte, penseur romantique de la nation-génie ou champion des Lumières ?</w:t>
      </w:r>
      <w:r>
        <w:t xml:space="preserve">”</w:t>
      </w:r>
      <w:r>
        <w:t xml:space="preserve"> </w:t>
      </w:r>
      <w:r>
        <w:t xml:space="preserve">https://doi.org/10.3917/rphi.231.0037</w:t>
      </w:r>
    </w:p>
    <w:p>
      <w:pPr>
        <w:pStyle w:val="BodyText"/>
      </w:pPr>
      <w:r>
        <w:t xml:space="preserve">Rametta, Gaetano. 2026.</w:t>
      </w:r>
      <w:r>
        <w:t xml:space="preserve"> </w:t>
      </w:r>
      <w:r>
        <w:t xml:space="preserve">“</w:t>
      </w:r>
      <w:r>
        <w:t xml:space="preserve">“Wissenschaftslehre</w:t>
      </w:r>
      <w:r>
        <w:t xml:space="preserve">”</w:t>
      </w:r>
      <w:r>
        <w:t xml:space="preserve"> </w:t>
      </w:r>
      <w:r>
        <w:t xml:space="preserve">and</w:t>
      </w:r>
      <w:r>
        <w:t xml:space="preserve"> </w:t>
      </w:r>
      <w:r>
        <w:t xml:space="preserve">“</w:t>
      </w:r>
      <w:r>
        <w:t xml:space="preserve">Staatslehre</w:t>
      </w:r>
      <w:r>
        <w:t xml:space="preserve">”</w:t>
      </w:r>
      <w:r>
        <w:t xml:space="preserve"> </w:t>
      </w:r>
      <w:r>
        <w:t xml:space="preserve">in Fichte’s Late Works.”</w:t>
      </w:r>
      <w:r>
        <w:t xml:space="preserve"> </w:t>
      </w:r>
      <w:r>
        <w:rPr>
          <w:iCs/>
          <w:i/>
        </w:rPr>
        <w:t xml:space="preserve">Fichte Studien</w:t>
      </w:r>
      <w:r>
        <w:t xml:space="preserve"> </w:t>
      </w:r>
      <w:r>
        <w:t xml:space="preserve">54. https://doi.org/10.1163/18795811-05401016</w:t>
      </w:r>
    </w:p>
    <w:p>
      <w:pPr>
        <w:pStyle w:val="BodyText"/>
      </w:pPr>
      <w:r>
        <w:t xml:space="preserve">Raulet, Gérard. 2020.</w:t>
      </w:r>
      <w:r>
        <w:t xml:space="preserve"> </w:t>
      </w:r>
      <w:r>
        <w:t xml:space="preserve">“</w:t>
      </w:r>
      <w:r>
        <w:t xml:space="preserve">Elena Alessiato: Lo spirito e la maschera. La ricezione politica di Fichte in Germania nel tempo della Prima Guerra Mondiale.</w:t>
      </w:r>
      <w:r>
        <w:t xml:space="preserve">”</w:t>
      </w:r>
    </w:p>
    <w:p>
      <w:pPr>
        <w:pStyle w:val="BodyText"/>
      </w:pPr>
      <w:r>
        <w:t xml:space="preserve">Reichl, Pavel. 2021.</w:t>
      </w:r>
      <w:r>
        <w:t xml:space="preserve"> </w:t>
      </w:r>
      <w:r>
        <w:t xml:space="preserve">“</w:t>
      </w:r>
      <w:r>
        <w:t xml:space="preserve">The Role of First Principles in Fichte’s Philosophy of History.</w:t>
      </w:r>
      <w:r>
        <w:t xml:space="preserve">”</w:t>
      </w:r>
    </w:p>
    <w:p>
      <w:pPr>
        <w:pStyle w:val="BodyText"/>
      </w:pPr>
      <w:r>
        <w:t xml:space="preserve">Ries, Klaus. 2018.</w:t>
      </w:r>
      <w:r>
        <w:t xml:space="preserve"> </w:t>
      </w:r>
      <w:r>
        <w:t xml:space="preserve">“</w:t>
      </w:r>
      <w:r>
        <w:t xml:space="preserve">Mythos Fichte: Die Reden an die deutsche Nation als universalistischer Appell.</w:t>
      </w:r>
      <w:r>
        <w:t xml:space="preserve">”</w:t>
      </w:r>
    </w:p>
    <w:p>
      <w:pPr>
        <w:pStyle w:val="BodyText"/>
      </w:pPr>
      <w:r>
        <w:t xml:space="preserve">Rockmore, Tom. 1980.</w:t>
      </w:r>
      <w:r>
        <w:t xml:space="preserve"> </w:t>
      </w:r>
      <w:r>
        <w:t xml:space="preserve">“</w:t>
      </w:r>
      <w:r>
        <w:t xml:space="preserve">Fichte, Marx, and the German Philosophical Tradition.</w:t>
      </w:r>
      <w:r>
        <w:t xml:space="preserve">”</w:t>
      </w:r>
    </w:p>
    <w:p>
      <w:pPr>
        <w:pStyle w:val="BodyText"/>
      </w:pPr>
      <w:r>
        <w:t xml:space="preserve">Rodríguez, Juan José. 2025.</w:t>
      </w:r>
      <w:r>
        <w:t xml:space="preserve"> </w:t>
      </w:r>
      <w:r>
        <w:t xml:space="preserve">“</w:t>
      </w:r>
      <w:r>
        <w:t xml:space="preserve">Schelling contra Fichte: The Thesis on Being before and after 1806.</w:t>
      </w:r>
      <w:r>
        <w:t xml:space="preserve">”</w:t>
      </w:r>
    </w:p>
    <w:p>
      <w:pPr>
        <w:pStyle w:val="BodyText"/>
      </w:pPr>
      <w:r>
        <w:t xml:space="preserve">Roy, Manuel. 2016.</w:t>
      </w:r>
      <w:r>
        <w:t xml:space="preserve"> </w:t>
      </w:r>
      <w:r>
        <w:t xml:space="preserve">“</w:t>
      </w:r>
      <w:r>
        <w:t xml:space="preserve">Fichte et Schiller: La fonction de l’art dans la pensée de Fichte à la lumière de la querelle des Heures.</w:t>
      </w:r>
      <w:r>
        <w:t xml:space="preserve">”</w:t>
      </w:r>
      <w:r>
        <w:t xml:space="preserve"> </w:t>
      </w:r>
      <w:r>
        <w:rPr>
          <w:iCs/>
          <w:i/>
        </w:rPr>
        <w:t xml:space="preserve">Fichte-Studien</w:t>
      </w:r>
      <w:r>
        <w:t xml:space="preserve"> </w:t>
      </w:r>
      <w:r>
        <w:t xml:space="preserve">43.</w:t>
      </w:r>
    </w:p>
    <w:p>
      <w:pPr>
        <w:pStyle w:val="BodyText"/>
      </w:pPr>
      <w:r>
        <w:t xml:space="preserve">Rueda Garrido, Daniel. 2025.</w:t>
      </w:r>
      <w:r>
        <w:t xml:space="preserve"> </w:t>
      </w:r>
      <w:r>
        <w:t xml:space="preserve">“</w:t>
      </w:r>
      <w:r>
        <w:t xml:space="preserve">Correspondences Between Fichte’s Worldviews and World Ages Based on the Fivefold Synthesis of WL-1804-II.</w:t>
      </w:r>
      <w:r>
        <w:t xml:space="preserve">”</w:t>
      </w:r>
      <w:r>
        <w:t xml:space="preserve"> </w:t>
      </w:r>
      <w:r>
        <w:rPr>
          <w:iCs/>
          <w:i/>
        </w:rPr>
        <w:t xml:space="preserve">Synthesis philosophica</w:t>
      </w:r>
      <w:r>
        <w:t xml:space="preserve"> </w:t>
      </w:r>
      <w:r>
        <w:t xml:space="preserve">40. https://doi.org/10.21464/sp40202</w:t>
      </w:r>
    </w:p>
    <w:p>
      <w:pPr>
        <w:pStyle w:val="BodyText"/>
      </w:pPr>
      <w:r>
        <w:t xml:space="preserve">Schelling, Friedrich Wilhelm Joseph von. 1806.</w:t>
      </w:r>
      <w:r>
        <w:t xml:space="preserve"> </w:t>
      </w:r>
      <w:r>
        <w:t xml:space="preserve">“</w:t>
      </w:r>
      <w:r>
        <w:t xml:space="preserve">Darlegung des wahren Verhältnisses der Naturphilosophie zu der verbesserten Fichte’schen Lehre.</w:t>
      </w:r>
      <w:r>
        <w:t xml:space="preserve">”</w:t>
      </w:r>
    </w:p>
    <w:p>
      <w:pPr>
        <w:pStyle w:val="BodyText"/>
      </w:pPr>
      <w:r>
        <w:t xml:space="preserve">Schick, Stefan. 2024.</w:t>
      </w:r>
      <w:r>
        <w:t xml:space="preserve"> </w:t>
      </w:r>
      <w:r>
        <w:t xml:space="preserve">“</w:t>
      </w:r>
      <w:r>
        <w:t xml:space="preserve">Widerspruch und Dialektik in der Spätphilosophie Fichtes.</w:t>
      </w:r>
      <w:r>
        <w:t xml:space="preserve">”</w:t>
      </w:r>
      <w:r>
        <w:t xml:space="preserve"> </w:t>
      </w:r>
      <w:r>
        <w:rPr>
          <w:iCs/>
          <w:i/>
        </w:rPr>
        <w:t xml:space="preserve">Fichte Studien</w:t>
      </w:r>
      <w:r>
        <w:t xml:space="preserve"> </w:t>
      </w:r>
      <w:r>
        <w:t xml:space="preserve">53.</w:t>
      </w:r>
    </w:p>
    <w:p>
      <w:pPr>
        <w:pStyle w:val="BodyText"/>
      </w:pPr>
      <w:r>
        <w:t xml:space="preserve">Schottky, Richard. 1991.</w:t>
      </w:r>
      <w:r>
        <w:t xml:space="preserve"> </w:t>
      </w:r>
      <w:r>
        <w:t xml:space="preserve">“</w:t>
      </w:r>
      <w:r>
        <w:t xml:space="preserve">Rechtsstaat und Kulturstaat bei Fichte. Eine Erwiderung.</w:t>
      </w:r>
      <w:r>
        <w:t xml:space="preserve">”</w:t>
      </w:r>
    </w:p>
    <w:p>
      <w:pPr>
        <w:pStyle w:val="BodyText"/>
      </w:pPr>
      <w:r>
        <w:t xml:space="preserve">Schwenzfeuer, Sebastian. 2020.</w:t>
      </w:r>
      <w:r>
        <w:t xml:space="preserve"> </w:t>
      </w:r>
      <w:r>
        <w:t xml:space="preserve">“</w:t>
      </w:r>
      <w:r>
        <w:t xml:space="preserve">Über den Gelehrten als Erzieher der Menschheit. Fichte im Kontext der Bildungsdiskurse bei Kant und Schiller.</w:t>
      </w:r>
      <w:r>
        <w:t xml:space="preserve">”</w:t>
      </w:r>
      <w:r>
        <w:t xml:space="preserve"> </w:t>
      </w:r>
      <w:r>
        <w:rPr>
          <w:iCs/>
          <w:i/>
        </w:rPr>
        <w:t xml:space="preserve">Fichte Studien</w:t>
      </w:r>
      <w:r>
        <w:t xml:space="preserve"> </w:t>
      </w:r>
      <w:r>
        <w:t xml:space="preserve">48.</w:t>
      </w:r>
    </w:p>
    <w:p>
      <w:pPr>
        <w:pStyle w:val="BodyText"/>
      </w:pPr>
      <w:r>
        <w:t xml:space="preserve">Serrano Marín, Vicente. 2020.</w:t>
      </w:r>
      <w:r>
        <w:t xml:space="preserve"> </w:t>
      </w:r>
      <w:r>
        <w:t xml:space="preserve">“</w:t>
      </w:r>
      <w:r>
        <w:t xml:space="preserve">Ética, historia y filosofía de la historia en Fichte.</w:t>
      </w:r>
      <w:r>
        <w:t xml:space="preserve">”</w:t>
      </w:r>
      <w:r>
        <w:t xml:space="preserve"> </w:t>
      </w:r>
      <w:r>
        <w:t xml:space="preserve">https://doi.org/10.17151/difil.2020.21.36.7</w:t>
      </w:r>
    </w:p>
    <w:p>
      <w:pPr>
        <w:pStyle w:val="BodyText"/>
      </w:pPr>
      <w:r>
        <w:t xml:space="preserve">Seyler, F. 2014.</w:t>
      </w:r>
      <w:r>
        <w:t xml:space="preserve"> </w:t>
      </w:r>
      <w:r>
        <w:t xml:space="preserve">“</w:t>
      </w:r>
      <w:r>
        <w:t xml:space="preserve">Fichtes</w:t>
      </w:r>
      <w:r>
        <w:t xml:space="preserve">”</w:t>
      </w:r>
      <w:r>
        <w:t xml:space="preserve">Anweisung zum seligen Leben” : ein Kommentar zur Religionslehre von 1806.”</w:t>
      </w:r>
    </w:p>
    <w:p>
      <w:pPr>
        <w:pStyle w:val="BodyText"/>
      </w:pPr>
      <w:r>
        <w:t xml:space="preserve">Solé, María Jimena. 2021.</w:t>
      </w:r>
      <w:r>
        <w:t xml:space="preserve"> </w:t>
      </w:r>
      <w:r>
        <w:t xml:space="preserve">“</w:t>
      </w:r>
      <w:r>
        <w:t xml:space="preserve">Fichte y la ilustración: de la defensa de la libertad de expresión a la exhortación al pensamiento autónomo.</w:t>
      </w:r>
      <w:r>
        <w:t xml:space="preserve">”</w:t>
      </w:r>
      <w:r>
        <w:t xml:space="preserve"> </w:t>
      </w:r>
      <w:r>
        <w:rPr>
          <w:iCs/>
          <w:i/>
        </w:rPr>
        <w:t xml:space="preserve">Revista de Estud(i)os sobre Fichte</w:t>
      </w:r>
      <w:r>
        <w:t xml:space="preserve"> </w:t>
      </w:r>
      <w:r>
        <w:t xml:space="preserve">21. https://doi.org/10.4000/ref.1640</w:t>
      </w:r>
    </w:p>
    <w:p>
      <w:pPr>
        <w:pStyle w:val="BodyText"/>
      </w:pPr>
      <w:r>
        <w:t xml:space="preserve">Solé, María Jimena, and Elizabeth Millán Brusslan, eds. 2023.</w:t>
      </w:r>
      <w:r>
        <w:t xml:space="preserve"> </w:t>
      </w:r>
      <w:r>
        <w:t xml:space="preserve">“</w:t>
      </w:r>
      <w:r>
        <w:t xml:space="preserve">Fichte in the Americas.</w:t>
      </w:r>
      <w:r>
        <w:t xml:space="preserve">”</w:t>
      </w:r>
    </w:p>
    <w:p>
      <w:pPr>
        <w:pStyle w:val="BodyText"/>
      </w:pPr>
      <w:r>
        <w:t xml:space="preserve">Stolzenberg, Jürgen, and Oliver-Pierre Rudolph, eds. 2010.</w:t>
      </w:r>
      <w:r>
        <w:t xml:space="preserve"> </w:t>
      </w:r>
      <w:r>
        <w:t xml:space="preserve">“</w:t>
      </w:r>
      <w:r>
        <w:t xml:space="preserve">Wissen, Freiheit, Geschichte: Die Philosophie Fichtes im 19. und 20. Jahrhundert.</w:t>
      </w:r>
      <w:r>
        <w:t xml:space="preserve">”</w:t>
      </w:r>
    </w:p>
    <w:p>
      <w:pPr>
        <w:pStyle w:val="BodyText"/>
      </w:pPr>
      <w:r>
        <w:t xml:space="preserve">Stolzenberg, Jürgen. 2010.</w:t>
      </w:r>
      <w:r>
        <w:t xml:space="preserve"> </w:t>
      </w:r>
      <w:r>
        <w:t xml:space="preserve">“</w:t>
      </w:r>
      <w:r>
        <w:t xml:space="preserve">Einleitung: Wissen, Freiheit, Geschichte. Die Philosophie Fichtes im 19. und 20. Jahrhundert.</w:t>
      </w:r>
      <w:r>
        <w:t xml:space="preserve">”</w:t>
      </w:r>
    </w:p>
    <w:p>
      <w:pPr>
        <w:pStyle w:val="BodyText"/>
      </w:pPr>
      <w:r>
        <w:t xml:space="preserve">Sweet, Paul R. 2000.</w:t>
      </w:r>
      <w:r>
        <w:t xml:space="preserve"> </w:t>
      </w:r>
      <w:r>
        <w:t xml:space="preserve">“</w:t>
      </w:r>
      <w:r>
        <w:t xml:space="preserve">Sir Isaiah Berlin, Fichte, and German Romanticism.</w:t>
      </w:r>
      <w:r>
        <w:t xml:space="preserve">”</w:t>
      </w:r>
    </w:p>
    <w:p>
      <w:pPr>
        <w:pStyle w:val="BodyText"/>
      </w:pPr>
      <w:r>
        <w:t xml:space="preserve">Torbidoni, Juan. 2020.</w:t>
      </w:r>
      <w:r>
        <w:t xml:space="preserve"> </w:t>
      </w:r>
      <w:r>
        <w:t xml:space="preserve">“</w:t>
      </w:r>
      <w:r>
        <w:t xml:space="preserve">Secularización: ¿Una categoría válida? Una reevaluación del debate Löwith-Blumenberg en torno al surgimiento de la modernidad.</w:t>
      </w:r>
      <w:r>
        <w:t xml:space="preserve">”</w:t>
      </w:r>
    </w:p>
    <w:p>
      <w:pPr>
        <w:pStyle w:val="BodyText"/>
      </w:pPr>
      <w:r>
        <w:t xml:space="preserve">Traub, Hartmut. 1992.</w:t>
      </w:r>
      <w:r>
        <w:t xml:space="preserve"> </w:t>
      </w:r>
      <w:r>
        <w:t xml:space="preserve">“</w:t>
      </w:r>
      <w:r>
        <w:t xml:space="preserve">Johann Gottlieb Fichtes Populärphilosophie 1804–1806.</w:t>
      </w:r>
      <w:r>
        <w:t xml:space="preserve">”</w:t>
      </w:r>
    </w:p>
    <w:p>
      <w:pPr>
        <w:pStyle w:val="BodyText"/>
      </w:pPr>
      <w:r>
        <w:t xml:space="preserve">Traub, Hartmut. 2003.</w:t>
      </w:r>
      <w:r>
        <w:t xml:space="preserve"> </w:t>
      </w:r>
      <w:r>
        <w:t xml:space="preserve">“</w:t>
      </w:r>
      <w:r>
        <w:t xml:space="preserve">J.G. Fichte, der König der Juden spekulativer Vernunft.</w:t>
      </w:r>
      <w:r>
        <w:t xml:space="preserve">”</w:t>
      </w:r>
    </w:p>
    <w:p>
      <w:pPr>
        <w:pStyle w:val="BodyText"/>
      </w:pPr>
      <w:r>
        <w:t xml:space="preserve">Trendelenburg, Adolf. 1862.</w:t>
      </w:r>
      <w:r>
        <w:t xml:space="preserve"> </w:t>
      </w:r>
      <w:r>
        <w:t xml:space="preserve">“</w:t>
      </w:r>
      <w:r>
        <w:t xml:space="preserve">Zur Erinnerung an Johann Gottlieb Fichte: Vortrag, gehalten in der Königl. Friedrich-Wilhelms-Universität zu Berlin am 19. Mai 1862.</w:t>
      </w:r>
      <w:r>
        <w:t xml:space="preserve">”</w:t>
      </w:r>
    </w:p>
    <w:p>
      <w:pPr>
        <w:pStyle w:val="BodyText"/>
      </w:pPr>
      <w:r>
        <w:t xml:space="preserve">Tyler, Colin. 2015.</w:t>
      </w:r>
      <w:r>
        <w:t xml:space="preserve"> </w:t>
      </w:r>
      <w:r>
        <w:t xml:space="preserve">“</w:t>
      </w:r>
      <w:r>
        <w:t xml:space="preserve">Individuality, Freedom and Socialism: The British Idealists’ Critiques of the Fichtean State.</w:t>
      </w:r>
      <w:r>
        <w:t xml:space="preserve">”</w:t>
      </w:r>
      <w:r>
        <w:t xml:space="preserve"> </w:t>
      </w:r>
      <w:r>
        <w:rPr>
          <w:iCs/>
          <w:i/>
        </w:rPr>
        <w:t xml:space="preserve">Political Studies</w:t>
      </w:r>
      <w:r>
        <w:t xml:space="preserve"> </w:t>
      </w:r>
      <w:r>
        <w:t xml:space="preserve">63: 319–335. https://doi.org/10.1111/1467-9248.12108</w:t>
      </w:r>
    </w:p>
    <w:p>
      <w:pPr>
        <w:pStyle w:val="BodyText"/>
      </w:pPr>
      <w:r>
        <w:t xml:space="preserve">Utteich, Luciano Carlos. 2020.</w:t>
      </w:r>
      <w:r>
        <w:t xml:space="preserve"> </w:t>
      </w:r>
      <w:r>
        <w:t xml:space="preserve">“</w:t>
      </w:r>
      <w:r>
        <w:t xml:space="preserve">Educación al revés de la letra en las Lecciones Sexta y Séptima de los Grundzüge (1806).</w:t>
      </w:r>
      <w:r>
        <w:t xml:space="preserve">”</w:t>
      </w:r>
      <w:r>
        <w:t xml:space="preserve"> </w:t>
      </w:r>
      <w:r>
        <w:rPr>
          <w:iCs/>
          <w:i/>
        </w:rPr>
        <w:t xml:space="preserve">Cadernos de Filosofia Alemã: Crítica e Modernidade</w:t>
      </w:r>
      <w:r>
        <w:t xml:space="preserve"> </w:t>
      </w:r>
      <w:r>
        <w:t xml:space="preserve">25 (2): 193–221. https://doi.org/10.11606/issn.2318-9800.v25i2p193-221</w:t>
      </w:r>
    </w:p>
    <w:p>
      <w:pPr>
        <w:pStyle w:val="BodyText"/>
      </w:pPr>
      <w:r>
        <w:t xml:space="preserve">Villacañas, José L. 1997.</w:t>
      </w:r>
      <w:r>
        <w:t xml:space="preserve"> </w:t>
      </w:r>
      <w:r>
        <w:t xml:space="preserve">“</w:t>
      </w:r>
      <w:r>
        <w:t xml:space="preserve">»Ethischer Neu-Fichteanismus und Geschichtsphilosophie«. Zur soziopolitischen Rezeption Fichtes im 20. Jahrhundert.</w:t>
      </w:r>
      <w:r>
        <w:t xml:space="preserve">”</w:t>
      </w:r>
    </w:p>
    <w:p>
      <w:pPr>
        <w:pStyle w:val="BodyText"/>
      </w:pPr>
      <w:r>
        <w:t xml:space="preserve">Voigts, M. 2001.</w:t>
      </w:r>
      <w:r>
        <w:t xml:space="preserve"> </w:t>
      </w:r>
      <w:r>
        <w:t xml:space="preserve">“</w:t>
      </w:r>
      <w:r>
        <w:t xml:space="preserve">J. G. Fichte und das Judentum: Eine Kritik des Buches Fichtes Idee der Nation und das Judentum von Hans-Joachim Becker.</w:t>
      </w:r>
      <w:r>
        <w:t xml:space="preserve">”</w:t>
      </w:r>
    </w:p>
    <w:p>
      <w:pPr>
        <w:pStyle w:val="BodyText"/>
      </w:pPr>
      <w:r>
        <w:t xml:space="preserve">Wang, Jun. 2026.</w:t>
      </w:r>
      <w:r>
        <w:t xml:space="preserve"> </w:t>
      </w:r>
      <w:r>
        <w:t xml:space="preserve">“</w:t>
      </w:r>
      <w:r>
        <w:t xml:space="preserve">From “Moral Religion</w:t>
      </w:r>
      <w:r>
        <w:t xml:space="preserve">”</w:t>
      </w:r>
      <w:r>
        <w:t xml:space="preserve"> </w:t>
      </w:r>
      <w:r>
        <w:t xml:space="preserve">to</w:t>
      </w:r>
      <w:r>
        <w:t xml:space="preserve"> </w:t>
      </w:r>
      <w:r>
        <w:t xml:space="preserve">“</w:t>
      </w:r>
      <w:r>
        <w:t xml:space="preserve">Ontological Religion</w:t>
      </w:r>
      <w:r>
        <w:t xml:space="preserve">”</w:t>
      </w:r>
      <w:r>
        <w:t xml:space="preserve">? A Genetic Clarification of Fichte’s Philosophy of Religion.”</w:t>
      </w:r>
      <w:r>
        <w:t xml:space="preserve"> </w:t>
      </w:r>
      <w:r>
        <w:rPr>
          <w:iCs/>
          <w:i/>
        </w:rPr>
        <w:t xml:space="preserve">Religions</w:t>
      </w:r>
      <w:r>
        <w:t xml:space="preserve"> </w:t>
      </w:r>
      <w:r>
        <w:t xml:space="preserve">17.</w:t>
      </w:r>
    </w:p>
    <w:p>
      <w:pPr>
        <w:pStyle w:val="BodyText"/>
      </w:pPr>
      <w:r>
        <w:t xml:space="preserve">Windelband, Wilhelm. 1890.</w:t>
      </w:r>
      <w:r>
        <w:t xml:space="preserve"> </w:t>
      </w:r>
      <w:r>
        <w:t xml:space="preserve">“</w:t>
      </w:r>
      <w:r>
        <w:t xml:space="preserve">Fichte’s Idee des deutschen Staates: Rede zur Feier des Geburtstages Seiner Majestät des Kaisers am 27. Januar 1890 in der Aula der Kaiser-Wilhelms-Universität Straßburg.</w:t>
      </w:r>
      <w:r>
        <w:t xml:space="preserve">”</w:t>
      </w:r>
    </w:p>
    <w:p>
      <w:pPr>
        <w:pStyle w:val="BodyText"/>
      </w:pPr>
      <w:r>
        <w:t xml:space="preserve">Wittekind, Folkart. 2024.</w:t>
      </w:r>
      <w:r>
        <w:t xml:space="preserve"> </w:t>
      </w:r>
      <w:r>
        <w:t xml:space="preserve">“</w:t>
      </w:r>
      <w:r>
        <w:t xml:space="preserve">Johann Gottlieb Fichte and Protestant Theology.</w:t>
      </w:r>
      <w:r>
        <w:t xml:space="preserve">”</w:t>
      </w:r>
      <w:r>
        <w:t xml:space="preserve"> </w:t>
      </w:r>
      <w:r>
        <w:rPr>
          <w:iCs/>
          <w:i/>
        </w:rPr>
        <w:t xml:space="preserve">Religions</w:t>
      </w:r>
      <w:r>
        <w:t xml:space="preserve"> </w:t>
      </w:r>
      <w:r>
        <w:t xml:space="preserve">15.</w:t>
      </w:r>
    </w:p>
    <w:p>
      <w:pPr>
        <w:pStyle w:val="BodyText"/>
      </w:pPr>
      <w:r>
        <w:t xml:space="preserve">Zöller, Günter. 2008.</w:t>
      </w:r>
      <w:r>
        <w:t xml:space="preserve"> </w:t>
      </w:r>
      <w:r>
        <w:t xml:space="preserve">“</w:t>
      </w:r>
      <w:r>
        <w:t xml:space="preserve">Two Hundred Years of Solitude: The Failed Reception of Fichte’s System of Ethics.</w:t>
      </w:r>
      <w:r>
        <w:t xml:space="preserve">”</w:t>
      </w:r>
      <w:r>
        <w:t xml:space="preserve"> </w:t>
      </w:r>
      <w:r>
        <w:rPr>
          <w:iCs/>
          <w:i/>
        </w:rPr>
        <w:t xml:space="preserve">Philosophy Today</w:t>
      </w:r>
      <w:r>
        <w:t xml:space="preserve"> </w:t>
      </w:r>
      <w:r>
        <w:t xml:space="preserve">52: 218–227. https://doi.org/10.5840/philtoday2008523/43</w:t>
      </w:r>
    </w:p>
    <w:p>
      <w:pPr>
        <w:pStyle w:val="BodyText"/>
      </w:pPr>
      <w:r>
        <w:t xml:space="preserve">Zöller, Günter. 2011.</w:t>
      </w:r>
      <w:r>
        <w:t xml:space="preserve"> </w:t>
      </w:r>
      <w:r>
        <w:t xml:space="preserve">“</w:t>
      </w:r>
      <w:r>
        <w:t xml:space="preserve">Der Staat und das Reich: Fichtes politische Geschichtsphilosophie.</w:t>
      </w:r>
      <w:r>
        <w:t xml:space="preserve">”</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www.frommann-holzboog.de/editionen/1202/12021/120210810?lang=en-gb" TargetMode="External" /></Relationships>
</file>

<file path=word/_rels/footnotes.xml.rels><?xml version="1.0" encoding="UTF-8"?><Relationships xmlns="http://schemas.openxmlformats.org/package/2006/relationships"><Relationship Type="http://schemas.openxmlformats.org/officeDocument/2006/relationships/hyperlink" Id="rId49" Target="https://www.frommann-holzboog.de/editionen/1202/12021/120210810?lang=en-g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Fichte’s Characteristics of the Present Age (Grundzüge des gegenwärtigen Zeitalters): Reception History and Contemporary Debates</dc:title>
  <dc:creator/>
  <cp:keywords/>
  <dcterms:created xsi:type="dcterms:W3CDTF">2026-10-10T09:41:56Z</dcterms:created>
  <dcterms:modified xsi:type="dcterms:W3CDTF">2026-10-10T09:41:56Z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ies>
</file>