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01" w:rsidRDefault="00A313A1" w:rsidP="00A313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Глава </w:t>
      </w:r>
      <w:r>
        <w:rPr>
          <w:b/>
          <w:sz w:val="28"/>
          <w:szCs w:val="28"/>
          <w:lang w:val="en-US"/>
        </w:rPr>
        <w:t xml:space="preserve">IX. </w:t>
      </w:r>
      <w:r>
        <w:rPr>
          <w:b/>
          <w:sz w:val="28"/>
          <w:szCs w:val="28"/>
        </w:rPr>
        <w:t>Диспансеризация.</w:t>
      </w:r>
    </w:p>
    <w:p w:rsidR="00A313A1" w:rsidRDefault="00A313A1" w:rsidP="00A313A1">
      <w:pPr>
        <w:jc w:val="center"/>
        <w:rPr>
          <w:b/>
          <w:sz w:val="28"/>
          <w:szCs w:val="28"/>
        </w:rPr>
      </w:pPr>
    </w:p>
    <w:p w:rsidR="00A313A1" w:rsidRDefault="00A313A1" w:rsidP="00A313A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Всего обратились за лечебной помощью 3010 пациентов с варикозной болезнью нижних конечностей. Из них преобладающее большинство составили лица женского пола: 2567 пациенток, что составляет 85,3% от всей популяции</w:t>
      </w:r>
      <w:r w:rsidR="001E7264">
        <w:rPr>
          <w:sz w:val="28"/>
          <w:szCs w:val="28"/>
        </w:rPr>
        <w:t xml:space="preserve"> (Рис. 9.1</w:t>
      </w:r>
      <w:r w:rsidR="00AC7543">
        <w:rPr>
          <w:sz w:val="28"/>
          <w:szCs w:val="28"/>
        </w:rPr>
        <w:t>)</w:t>
      </w:r>
      <w:r>
        <w:rPr>
          <w:sz w:val="28"/>
          <w:szCs w:val="28"/>
        </w:rPr>
        <w:t xml:space="preserve">. Соотношение мужчин и женщин составило 1:5,8. </w:t>
      </w: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2760" w:rsidP="00A313A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1141095</wp:posOffset>
            </wp:positionH>
            <wp:positionV relativeFrom="paragraph">
              <wp:posOffset>54610</wp:posOffset>
            </wp:positionV>
            <wp:extent cx="3086100" cy="2057400"/>
            <wp:effectExtent l="7620" t="6985" r="11430" b="12065"/>
            <wp:wrapTight wrapText="bothSides">
              <wp:wrapPolygon edited="0">
                <wp:start x="-67" y="-100"/>
                <wp:lineTo x="-67" y="21600"/>
                <wp:lineTo x="21667" y="21600"/>
                <wp:lineTo x="21667" y="-100"/>
                <wp:lineTo x="-67" y="-100"/>
              </wp:wrapPolygon>
            </wp:wrapTight>
            <wp:docPr id="1" name="Объе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8719A7" w:rsidP="00A313A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4pt;margin-top:14.3pt;width:243pt;height:45pt;z-index:251655168" filled="f" stroked="f">
            <v:textbox>
              <w:txbxContent>
                <w:p w:rsidR="001E7264" w:rsidRPr="00D426E6" w:rsidRDefault="001E7264" w:rsidP="001E7264">
                  <w:pPr>
                    <w:jc w:val="both"/>
                  </w:pPr>
                  <w:r w:rsidRPr="00D426E6">
                    <w:t xml:space="preserve">Рис. 9.1: </w:t>
                  </w:r>
                  <w:r w:rsidR="008719A7" w:rsidRPr="00D426E6">
                    <w:t>Процентное с</w:t>
                  </w:r>
                  <w:r w:rsidRPr="00D426E6">
                    <w:t xml:space="preserve">оотношение </w:t>
                  </w:r>
                  <w:r w:rsidR="008719A7" w:rsidRPr="00D426E6">
                    <w:t xml:space="preserve">пациентов </w:t>
                  </w:r>
                  <w:r w:rsidRPr="00D426E6">
                    <w:t xml:space="preserve">по половому признаку </w:t>
                  </w:r>
                </w:p>
              </w:txbxContent>
            </v:textbox>
          </v:shape>
        </w:pict>
      </w: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</w:rPr>
      </w:pPr>
    </w:p>
    <w:p w:rsidR="001E7264" w:rsidRDefault="001E7264" w:rsidP="00A313A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Возраст пациентов колебался от 12 до 84 лет. На диаграмме (Рис. 9.2) представлена характеристика пациентов по возрастному критерию.</w:t>
      </w:r>
      <w:r w:rsidR="00AC7543">
        <w:rPr>
          <w:sz w:val="28"/>
          <w:szCs w:val="28"/>
        </w:rPr>
        <w:t xml:space="preserve"> Преобладающее число больных (77%) обратилось за лечебной помощью в возрасте 21-50 лет.</w:t>
      </w:r>
    </w:p>
    <w:p w:rsidR="007336B8" w:rsidRDefault="007336B8" w:rsidP="00A313A1">
      <w:pPr>
        <w:jc w:val="both"/>
        <w:rPr>
          <w:sz w:val="28"/>
          <w:szCs w:val="28"/>
          <w:lang w:val="en-US"/>
        </w:rPr>
      </w:pPr>
    </w:p>
    <w:p w:rsidR="007336B8" w:rsidRDefault="007336B8" w:rsidP="00A313A1">
      <w:pPr>
        <w:jc w:val="both"/>
        <w:rPr>
          <w:sz w:val="28"/>
          <w:szCs w:val="28"/>
          <w:lang w:val="en-US"/>
        </w:rPr>
      </w:pPr>
    </w:p>
    <w:p w:rsidR="007336B8" w:rsidRDefault="001E2760" w:rsidP="00A313A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80645</wp:posOffset>
            </wp:positionV>
            <wp:extent cx="4359910" cy="2145665"/>
            <wp:effectExtent l="9525" t="13970" r="12065" b="12065"/>
            <wp:wrapTight wrapText="bothSides">
              <wp:wrapPolygon edited="0">
                <wp:start x="-38" y="-77"/>
                <wp:lineTo x="-38" y="21600"/>
                <wp:lineTo x="21638" y="21600"/>
                <wp:lineTo x="21638" y="-77"/>
                <wp:lineTo x="-38" y="-77"/>
              </wp:wrapPolygon>
            </wp:wrapTight>
            <wp:docPr id="19" name="Объект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7336B8" w:rsidRDefault="007336B8" w:rsidP="00A313A1">
      <w:pPr>
        <w:jc w:val="both"/>
        <w:rPr>
          <w:sz w:val="28"/>
          <w:szCs w:val="28"/>
          <w:lang w:val="en-US"/>
        </w:rPr>
      </w:pPr>
    </w:p>
    <w:p w:rsidR="007336B8" w:rsidRDefault="007336B8" w:rsidP="00A313A1">
      <w:pPr>
        <w:jc w:val="both"/>
        <w:rPr>
          <w:sz w:val="28"/>
          <w:szCs w:val="28"/>
          <w:lang w:val="en-US"/>
        </w:rPr>
      </w:pPr>
    </w:p>
    <w:p w:rsidR="007336B8" w:rsidRDefault="007336B8" w:rsidP="00A313A1">
      <w:pPr>
        <w:jc w:val="both"/>
        <w:rPr>
          <w:sz w:val="28"/>
          <w:szCs w:val="28"/>
          <w:lang w:val="en-US"/>
        </w:rPr>
      </w:pPr>
    </w:p>
    <w:p w:rsidR="007336B8" w:rsidRPr="007336B8" w:rsidRDefault="007336B8" w:rsidP="00A313A1">
      <w:pPr>
        <w:jc w:val="both"/>
        <w:rPr>
          <w:sz w:val="28"/>
          <w:szCs w:val="28"/>
          <w:lang w:val="en-US"/>
        </w:rPr>
      </w:pPr>
    </w:p>
    <w:p w:rsidR="00B04945" w:rsidRDefault="00B04945" w:rsidP="00B04945">
      <w:pPr>
        <w:keepNext/>
        <w:jc w:val="center"/>
      </w:pPr>
    </w:p>
    <w:p w:rsidR="007336B8" w:rsidRDefault="007336B8" w:rsidP="00B04945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B04945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B04945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B04945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B04945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B04945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B04945">
      <w:pPr>
        <w:pStyle w:val="a3"/>
        <w:jc w:val="center"/>
        <w:rPr>
          <w:b w:val="0"/>
          <w:sz w:val="24"/>
          <w:szCs w:val="24"/>
          <w:lang w:val="en-US"/>
        </w:rPr>
      </w:pPr>
    </w:p>
    <w:p w:rsidR="00B04945" w:rsidRPr="00D426E6" w:rsidRDefault="00B04945" w:rsidP="00B04945">
      <w:pPr>
        <w:pStyle w:val="a3"/>
        <w:jc w:val="center"/>
        <w:rPr>
          <w:b w:val="0"/>
          <w:sz w:val="24"/>
          <w:szCs w:val="24"/>
        </w:rPr>
      </w:pPr>
      <w:r w:rsidRPr="00D426E6">
        <w:rPr>
          <w:b w:val="0"/>
          <w:sz w:val="24"/>
          <w:szCs w:val="24"/>
        </w:rPr>
        <w:t>Рис. 9.2: Возрастная характеристика пациентов</w:t>
      </w:r>
    </w:p>
    <w:p w:rsidR="00AC7543" w:rsidRDefault="00AC7543" w:rsidP="00AC7543">
      <w:pPr>
        <w:jc w:val="both"/>
        <w:rPr>
          <w:sz w:val="28"/>
          <w:szCs w:val="28"/>
        </w:rPr>
      </w:pPr>
    </w:p>
    <w:p w:rsidR="007336B8" w:rsidRDefault="00AC7543" w:rsidP="00AC754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7336B8" w:rsidRDefault="007336B8" w:rsidP="00AC7543">
      <w:pPr>
        <w:jc w:val="both"/>
        <w:rPr>
          <w:sz w:val="28"/>
          <w:szCs w:val="28"/>
          <w:lang w:val="en-US"/>
        </w:rPr>
      </w:pPr>
    </w:p>
    <w:p w:rsidR="007336B8" w:rsidRDefault="007336B8" w:rsidP="00AC7543">
      <w:pPr>
        <w:jc w:val="both"/>
        <w:rPr>
          <w:sz w:val="28"/>
          <w:szCs w:val="28"/>
          <w:lang w:val="en-US"/>
        </w:rPr>
      </w:pPr>
    </w:p>
    <w:p w:rsidR="007336B8" w:rsidRDefault="007336B8" w:rsidP="00AC7543">
      <w:pPr>
        <w:jc w:val="both"/>
        <w:rPr>
          <w:sz w:val="28"/>
          <w:szCs w:val="28"/>
          <w:lang w:val="en-US"/>
        </w:rPr>
      </w:pPr>
    </w:p>
    <w:p w:rsidR="00DD2876" w:rsidRDefault="008719A7" w:rsidP="00AC754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Ниже представлена к</w:t>
      </w:r>
      <w:r w:rsidR="00AC7543">
        <w:rPr>
          <w:sz w:val="28"/>
          <w:szCs w:val="28"/>
        </w:rPr>
        <w:t xml:space="preserve">линическая характеристика больных (Рис. 9.3). Внутрикожный варикоз (ретикулярные вены и телеангиэктазии) имел 241 пациент, что составляет 8% от обратившихся. </w:t>
      </w:r>
      <w:r w:rsidR="00DD2876">
        <w:rPr>
          <w:sz w:val="28"/>
          <w:szCs w:val="28"/>
        </w:rPr>
        <w:t>Группу</w:t>
      </w:r>
      <w:r w:rsidR="00AC7543">
        <w:rPr>
          <w:sz w:val="28"/>
          <w:szCs w:val="28"/>
        </w:rPr>
        <w:t xml:space="preserve"> С</w:t>
      </w:r>
      <w:r w:rsidR="00DD2876">
        <w:rPr>
          <w:sz w:val="28"/>
          <w:szCs w:val="28"/>
          <w:vertAlign w:val="subscript"/>
        </w:rPr>
        <w:t xml:space="preserve">2 </w:t>
      </w:r>
      <w:r w:rsidR="00DD2876">
        <w:rPr>
          <w:sz w:val="28"/>
          <w:szCs w:val="28"/>
        </w:rPr>
        <w:t xml:space="preserve"> (классификация СЕАР) составило 1220 пациентов (40,5%), </w:t>
      </w:r>
      <w:r w:rsidR="00AC7543">
        <w:rPr>
          <w:sz w:val="28"/>
          <w:szCs w:val="28"/>
        </w:rPr>
        <w:t xml:space="preserve"> </w:t>
      </w:r>
      <w:r w:rsidR="00DD2876">
        <w:rPr>
          <w:sz w:val="28"/>
          <w:szCs w:val="28"/>
        </w:rPr>
        <w:t>С</w:t>
      </w:r>
      <w:r w:rsidR="00DD2876" w:rsidRPr="00DD2876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="00DD2876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</w:t>
      </w:r>
      <w:r w:rsidR="00DD2876">
        <w:rPr>
          <w:sz w:val="28"/>
          <w:szCs w:val="28"/>
        </w:rPr>
        <w:t>1295 (43%), С</w:t>
      </w:r>
      <w:r w:rsidR="00DD2876">
        <w:rPr>
          <w:sz w:val="28"/>
          <w:szCs w:val="28"/>
          <w:vertAlign w:val="subscript"/>
        </w:rPr>
        <w:t xml:space="preserve">4 </w:t>
      </w:r>
      <w:r w:rsidR="00DD2876">
        <w:rPr>
          <w:sz w:val="28"/>
          <w:szCs w:val="28"/>
        </w:rPr>
        <w:t xml:space="preserve">– 151 (5%). 103 пациента имели зажившие или открытые трофические язвы. </w:t>
      </w:r>
      <w:r>
        <w:rPr>
          <w:sz w:val="28"/>
          <w:szCs w:val="28"/>
        </w:rPr>
        <w:t xml:space="preserve">Таким образом, </w:t>
      </w:r>
      <w:r w:rsidR="00E01470">
        <w:rPr>
          <w:sz w:val="28"/>
          <w:szCs w:val="28"/>
        </w:rPr>
        <w:t>соотношение лиц, обратившихся в центр по косметическим показаниям и медицинским, примерно одинаковое.</w:t>
      </w:r>
      <w:r>
        <w:rPr>
          <w:sz w:val="28"/>
          <w:szCs w:val="28"/>
        </w:rPr>
        <w:t xml:space="preserve">  </w:t>
      </w:r>
    </w:p>
    <w:p w:rsidR="00DD2876" w:rsidRDefault="00DD2876" w:rsidP="00AC7543">
      <w:pPr>
        <w:jc w:val="both"/>
        <w:rPr>
          <w:sz w:val="28"/>
          <w:szCs w:val="28"/>
        </w:rPr>
      </w:pPr>
    </w:p>
    <w:p w:rsidR="00DD2876" w:rsidRDefault="001E2760" w:rsidP="00DD2876">
      <w:pPr>
        <w:keepNext/>
        <w:jc w:val="center"/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795655</wp:posOffset>
            </wp:positionH>
            <wp:positionV relativeFrom="paragraph">
              <wp:posOffset>0</wp:posOffset>
            </wp:positionV>
            <wp:extent cx="4572000" cy="2145665"/>
            <wp:effectExtent l="5080" t="9525" r="13970" b="6985"/>
            <wp:wrapTight wrapText="bothSides">
              <wp:wrapPolygon edited="0">
                <wp:start x="-48" y="-102"/>
                <wp:lineTo x="-48" y="21600"/>
                <wp:lineTo x="21648" y="21600"/>
                <wp:lineTo x="21648" y="-102"/>
                <wp:lineTo x="-48" y="-102"/>
              </wp:wrapPolygon>
            </wp:wrapTight>
            <wp:docPr id="20" name="Объект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336B8" w:rsidRDefault="007336B8" w:rsidP="00DD2876">
      <w:pPr>
        <w:pStyle w:val="a3"/>
        <w:jc w:val="center"/>
        <w:rPr>
          <w:b w:val="0"/>
          <w:sz w:val="24"/>
          <w:szCs w:val="24"/>
          <w:lang w:val="en-US"/>
        </w:rPr>
      </w:pPr>
    </w:p>
    <w:p w:rsidR="001E7264" w:rsidRPr="00D426E6" w:rsidRDefault="00DD2876" w:rsidP="00DD2876">
      <w:pPr>
        <w:pStyle w:val="a3"/>
        <w:jc w:val="center"/>
        <w:rPr>
          <w:b w:val="0"/>
          <w:sz w:val="24"/>
          <w:szCs w:val="24"/>
        </w:rPr>
      </w:pPr>
      <w:r w:rsidRPr="00D426E6">
        <w:rPr>
          <w:b w:val="0"/>
          <w:sz w:val="24"/>
          <w:szCs w:val="24"/>
        </w:rPr>
        <w:t>Рис. 9.3: Клиническая характеристика пациентов</w:t>
      </w:r>
    </w:p>
    <w:p w:rsidR="00210224" w:rsidRDefault="00210224" w:rsidP="00210224"/>
    <w:p w:rsidR="007336B8" w:rsidRDefault="006C0A37" w:rsidP="00D426E6">
      <w:pPr>
        <w:jc w:val="both"/>
        <w:rPr>
          <w:lang w:val="en-US"/>
        </w:rPr>
      </w:pPr>
      <w:r>
        <w:tab/>
      </w:r>
    </w:p>
    <w:p w:rsidR="007336B8" w:rsidRDefault="007336B8" w:rsidP="00D426E6">
      <w:pPr>
        <w:jc w:val="both"/>
        <w:rPr>
          <w:lang w:val="en-US"/>
        </w:rPr>
      </w:pPr>
    </w:p>
    <w:p w:rsidR="007336B8" w:rsidRDefault="007336B8" w:rsidP="00D426E6">
      <w:pPr>
        <w:jc w:val="both"/>
        <w:rPr>
          <w:lang w:val="en-US"/>
        </w:rPr>
      </w:pPr>
    </w:p>
    <w:p w:rsidR="007336B8" w:rsidRDefault="007336B8" w:rsidP="00D426E6">
      <w:pPr>
        <w:jc w:val="both"/>
        <w:rPr>
          <w:lang w:val="en-US"/>
        </w:rPr>
      </w:pPr>
    </w:p>
    <w:p w:rsidR="007336B8" w:rsidRDefault="007336B8" w:rsidP="00D426E6">
      <w:pPr>
        <w:jc w:val="both"/>
        <w:rPr>
          <w:lang w:val="en-US"/>
        </w:rPr>
      </w:pPr>
    </w:p>
    <w:p w:rsidR="007336B8" w:rsidRDefault="007336B8" w:rsidP="00D426E6">
      <w:pPr>
        <w:jc w:val="both"/>
        <w:rPr>
          <w:lang w:val="en-US"/>
        </w:rPr>
      </w:pPr>
    </w:p>
    <w:p w:rsidR="007336B8" w:rsidRDefault="007336B8" w:rsidP="00D426E6">
      <w:pPr>
        <w:jc w:val="both"/>
        <w:rPr>
          <w:lang w:val="en-US"/>
        </w:rPr>
      </w:pPr>
    </w:p>
    <w:p w:rsidR="007336B8" w:rsidRDefault="007336B8" w:rsidP="00D426E6">
      <w:pPr>
        <w:jc w:val="both"/>
        <w:rPr>
          <w:lang w:val="en-US"/>
        </w:rPr>
      </w:pPr>
    </w:p>
    <w:p w:rsidR="007336B8" w:rsidRDefault="007336B8" w:rsidP="00D426E6">
      <w:pPr>
        <w:jc w:val="both"/>
        <w:rPr>
          <w:lang w:val="en-US"/>
        </w:rPr>
      </w:pPr>
    </w:p>
    <w:p w:rsidR="007336B8" w:rsidRDefault="007336B8" w:rsidP="00D426E6">
      <w:pPr>
        <w:jc w:val="both"/>
        <w:rPr>
          <w:lang w:val="en-US"/>
        </w:rPr>
      </w:pPr>
    </w:p>
    <w:p w:rsidR="007336B8" w:rsidRDefault="007336B8" w:rsidP="00D426E6">
      <w:pPr>
        <w:jc w:val="both"/>
        <w:rPr>
          <w:lang w:val="en-US"/>
        </w:rPr>
      </w:pPr>
    </w:p>
    <w:p w:rsidR="00210224" w:rsidRDefault="006C0A37" w:rsidP="00D426E6">
      <w:pPr>
        <w:jc w:val="both"/>
        <w:rPr>
          <w:sz w:val="28"/>
          <w:szCs w:val="28"/>
        </w:rPr>
      </w:pPr>
      <w:r w:rsidRPr="006C0A37">
        <w:rPr>
          <w:sz w:val="28"/>
          <w:szCs w:val="28"/>
        </w:rPr>
        <w:t xml:space="preserve">Среди всех </w:t>
      </w:r>
      <w:r w:rsidR="00CC606D" w:rsidRPr="006C0A37">
        <w:rPr>
          <w:sz w:val="28"/>
          <w:szCs w:val="28"/>
        </w:rPr>
        <w:t>нача</w:t>
      </w:r>
      <w:r w:rsidR="00CC606D" w:rsidRPr="00CC606D">
        <w:rPr>
          <w:sz w:val="28"/>
          <w:szCs w:val="28"/>
        </w:rPr>
        <w:t>вших</w:t>
      </w:r>
      <w:r w:rsidR="00CC606D" w:rsidRPr="006C0A37">
        <w:rPr>
          <w:sz w:val="28"/>
          <w:szCs w:val="28"/>
        </w:rPr>
        <w:t xml:space="preserve"> склеротерапи</w:t>
      </w:r>
      <w:r w:rsidR="00CC606D">
        <w:rPr>
          <w:sz w:val="28"/>
          <w:szCs w:val="28"/>
        </w:rPr>
        <w:t>ю</w:t>
      </w:r>
      <w:r w:rsidR="00CC606D" w:rsidRPr="006C0A37">
        <w:rPr>
          <w:sz w:val="28"/>
          <w:szCs w:val="28"/>
        </w:rPr>
        <w:t xml:space="preserve"> </w:t>
      </w:r>
      <w:r w:rsidRPr="006C0A37">
        <w:rPr>
          <w:sz w:val="28"/>
          <w:szCs w:val="28"/>
        </w:rPr>
        <w:t xml:space="preserve">пациентов, </w:t>
      </w:r>
      <w:r>
        <w:rPr>
          <w:sz w:val="28"/>
          <w:szCs w:val="28"/>
        </w:rPr>
        <w:t xml:space="preserve">прервали ее по </w:t>
      </w:r>
      <w:r w:rsidR="00E01470">
        <w:rPr>
          <w:sz w:val="28"/>
          <w:szCs w:val="28"/>
        </w:rPr>
        <w:t xml:space="preserve">невыясненным </w:t>
      </w:r>
      <w:r>
        <w:rPr>
          <w:sz w:val="28"/>
          <w:szCs w:val="28"/>
        </w:rPr>
        <w:t xml:space="preserve">причинам 124, что составляет 4,1%. Прошли полный курс склеротерапии 2886. Количество посещений для склерозирования вен </w:t>
      </w:r>
      <w:r w:rsidR="004052B7">
        <w:rPr>
          <w:sz w:val="28"/>
          <w:szCs w:val="28"/>
        </w:rPr>
        <w:t>разнилось</w:t>
      </w:r>
      <w:r>
        <w:rPr>
          <w:sz w:val="28"/>
          <w:szCs w:val="28"/>
        </w:rPr>
        <w:t xml:space="preserve"> от 2 до 7, в среднем 2,8. Интервалы между посещениями составили в среднем 2,6 дня.     </w:t>
      </w:r>
    </w:p>
    <w:p w:rsidR="00E354C2" w:rsidRDefault="00A041E3" w:rsidP="006C0A3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окончания основного курса лечения </w:t>
      </w:r>
      <w:r w:rsidR="00E354C2">
        <w:rPr>
          <w:sz w:val="28"/>
          <w:szCs w:val="28"/>
        </w:rPr>
        <w:t xml:space="preserve">пациентам назначалась диспансеризация с рабочими интервалами 1, 2, 3 месяца, всего 6 месяцев. Это составляло этап активного диспансерного наблюдения, т.е. пациенту назначался и контролировался очередной визит к врачу. При неявке пациент вызывался на прием по телефону, реже письменно.  При этом во время первого посещения с пациентом проводилась беседа о необходимости полугодового наблюдения и лечения, что могло гарантировать эффективность </w:t>
      </w:r>
      <w:r w:rsidR="00794CBC">
        <w:rPr>
          <w:sz w:val="28"/>
          <w:szCs w:val="28"/>
        </w:rPr>
        <w:t>конечного результата</w:t>
      </w:r>
      <w:r w:rsidR="00E354C2">
        <w:rPr>
          <w:sz w:val="28"/>
          <w:szCs w:val="28"/>
        </w:rPr>
        <w:t xml:space="preserve">. Пациент это подтверждал собственноручной подписью. </w:t>
      </w:r>
    </w:p>
    <w:p w:rsidR="00A041E3" w:rsidRDefault="00E354C2" w:rsidP="006C0A3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794CBC">
        <w:rPr>
          <w:sz w:val="28"/>
          <w:szCs w:val="28"/>
        </w:rPr>
        <w:tab/>
        <w:t xml:space="preserve">На </w:t>
      </w:r>
      <w:r w:rsidR="00A041E3">
        <w:rPr>
          <w:sz w:val="28"/>
          <w:szCs w:val="28"/>
        </w:rPr>
        <w:t>первый контрольный осмотр (КО-</w:t>
      </w:r>
      <w:r w:rsidR="00A041E3">
        <w:rPr>
          <w:sz w:val="28"/>
          <w:szCs w:val="28"/>
          <w:lang w:val="en-US"/>
        </w:rPr>
        <w:t>I</w:t>
      </w:r>
      <w:r w:rsidR="00A041E3">
        <w:rPr>
          <w:sz w:val="28"/>
          <w:szCs w:val="28"/>
        </w:rPr>
        <w:t xml:space="preserve">) через месяц </w:t>
      </w:r>
      <w:r w:rsidR="00794CBC">
        <w:rPr>
          <w:sz w:val="28"/>
          <w:szCs w:val="28"/>
        </w:rPr>
        <w:t>я</w:t>
      </w:r>
      <w:r w:rsidR="00A041E3">
        <w:rPr>
          <w:sz w:val="28"/>
          <w:szCs w:val="28"/>
        </w:rPr>
        <w:t>вились 2</w:t>
      </w:r>
      <w:r>
        <w:rPr>
          <w:sz w:val="28"/>
          <w:szCs w:val="28"/>
        </w:rPr>
        <w:t>5</w:t>
      </w:r>
      <w:r w:rsidR="00A041E3">
        <w:rPr>
          <w:sz w:val="28"/>
          <w:szCs w:val="28"/>
        </w:rPr>
        <w:t>4</w:t>
      </w:r>
      <w:r>
        <w:rPr>
          <w:sz w:val="28"/>
          <w:szCs w:val="28"/>
        </w:rPr>
        <w:t xml:space="preserve">0 пациентов, что составляет 88%. 346 больных не </w:t>
      </w:r>
      <w:r w:rsidR="00794CBC">
        <w:rPr>
          <w:sz w:val="28"/>
          <w:szCs w:val="28"/>
        </w:rPr>
        <w:t>посетили специалиста по следующим причинам: удовлетворенность результатом лечения и отсутствием, по их мнению, необходимости повторного осмотра, отдаленность проживания, материальные соображения и др.</w:t>
      </w:r>
    </w:p>
    <w:p w:rsidR="004052B7" w:rsidRDefault="007336B8" w:rsidP="006C0A37">
      <w:pPr>
        <w:jc w:val="both"/>
        <w:rPr>
          <w:sz w:val="28"/>
          <w:szCs w:val="28"/>
        </w:rPr>
      </w:pPr>
      <w:r>
        <w:rPr>
          <w:noProof/>
        </w:rPr>
        <w:pict>
          <v:shape id="_x0000_s1035" type="#_x0000_t202" style="position:absolute;left:0;text-align:left;margin-left:63pt;margin-top:9.5pt;width:330.2pt;height:188pt;z-index:-251660288;mso-wrap-style:none" wrapcoords="-49 -86 -49 21514 21649 21514 21649 -86 -49 -86">
            <v:textbox style="mso-next-textbox:#_x0000_s1035;mso-fit-shape-to-text:t">
              <w:txbxContent>
                <w:p w:rsidR="00A02C95" w:rsidRPr="00A40963" w:rsidRDefault="001E2760" w:rsidP="00A02C95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4000500" cy="2286000"/>
                        <wp:effectExtent l="0" t="0" r="0" b="0"/>
                        <wp:docPr id="2" name="Объект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794CBC">
        <w:rPr>
          <w:sz w:val="28"/>
          <w:szCs w:val="28"/>
        </w:rPr>
        <w:tab/>
      </w:r>
    </w:p>
    <w:p w:rsidR="004052B7" w:rsidRDefault="004052B7" w:rsidP="006C0A37">
      <w:pPr>
        <w:jc w:val="both"/>
        <w:rPr>
          <w:sz w:val="28"/>
          <w:szCs w:val="28"/>
        </w:rPr>
      </w:pPr>
    </w:p>
    <w:p w:rsidR="004052B7" w:rsidRDefault="004052B7" w:rsidP="006C0A37">
      <w:pPr>
        <w:jc w:val="both"/>
        <w:rPr>
          <w:sz w:val="28"/>
          <w:szCs w:val="28"/>
        </w:rPr>
      </w:pPr>
    </w:p>
    <w:p w:rsidR="004052B7" w:rsidRDefault="004052B7" w:rsidP="006C0A37">
      <w:pPr>
        <w:jc w:val="both"/>
        <w:rPr>
          <w:sz w:val="28"/>
          <w:szCs w:val="28"/>
        </w:rPr>
      </w:pPr>
    </w:p>
    <w:p w:rsidR="004052B7" w:rsidRDefault="004052B7" w:rsidP="006C0A37">
      <w:pPr>
        <w:jc w:val="both"/>
        <w:rPr>
          <w:sz w:val="28"/>
          <w:szCs w:val="28"/>
        </w:rPr>
      </w:pPr>
    </w:p>
    <w:p w:rsidR="004052B7" w:rsidRDefault="004052B7" w:rsidP="006C0A37">
      <w:pPr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7336B8" w:rsidP="00701602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8" type="#_x0000_t202" style="position:absolute;left:0;text-align:left;margin-left:54pt;margin-top:9.15pt;width:324pt;height:40.8pt;z-index:251657216" filled="f" stroked="f">
            <v:textbox>
              <w:txbxContent>
                <w:p w:rsidR="00A02C95" w:rsidRPr="00D426E6" w:rsidRDefault="00A02C95" w:rsidP="00A02C95">
                  <w:pPr>
                    <w:jc w:val="both"/>
                  </w:pPr>
                  <w:r w:rsidRPr="00D426E6">
                    <w:t>Рис. 9.4: Активность явки пациентов на диспансерные осмотры</w:t>
                  </w:r>
                </w:p>
              </w:txbxContent>
            </v:textbox>
          </v:shape>
        </w:pict>
      </w: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A02C95" w:rsidRDefault="00A02C95" w:rsidP="00701602">
      <w:pPr>
        <w:ind w:firstLine="708"/>
        <w:jc w:val="both"/>
        <w:rPr>
          <w:sz w:val="28"/>
          <w:szCs w:val="28"/>
        </w:rPr>
      </w:pPr>
    </w:p>
    <w:p w:rsidR="00794CBC" w:rsidRPr="006551B1" w:rsidRDefault="00701602" w:rsidP="0070160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Явились на осмотр</w:t>
      </w:r>
      <w:r w:rsidR="00794CBC">
        <w:rPr>
          <w:sz w:val="28"/>
          <w:szCs w:val="28"/>
        </w:rPr>
        <w:t xml:space="preserve"> через 2 месяца (КО-</w:t>
      </w:r>
      <w:r w:rsidR="00794CBC">
        <w:rPr>
          <w:sz w:val="28"/>
          <w:szCs w:val="28"/>
          <w:lang w:val="en-US"/>
        </w:rPr>
        <w:t>II</w:t>
      </w:r>
      <w:r w:rsidR="00794CBC">
        <w:rPr>
          <w:sz w:val="28"/>
          <w:szCs w:val="28"/>
        </w:rPr>
        <w:t>)</w:t>
      </w:r>
      <w:r w:rsidR="00794CBC" w:rsidRPr="00794CBC">
        <w:rPr>
          <w:sz w:val="28"/>
          <w:szCs w:val="28"/>
        </w:rPr>
        <w:t xml:space="preserve"> </w:t>
      </w:r>
      <w:r w:rsidR="00F01B7F" w:rsidRPr="00F01B7F">
        <w:rPr>
          <w:sz w:val="28"/>
          <w:szCs w:val="28"/>
        </w:rPr>
        <w:t>2135 (</w:t>
      </w:r>
      <w:r w:rsidR="00F01B7F">
        <w:rPr>
          <w:sz w:val="28"/>
          <w:szCs w:val="28"/>
        </w:rPr>
        <w:t>73,9%),</w:t>
      </w:r>
      <w:r w:rsidR="00F01B7F" w:rsidRPr="00F01B7F">
        <w:rPr>
          <w:sz w:val="28"/>
          <w:szCs w:val="28"/>
        </w:rPr>
        <w:t xml:space="preserve"> 3 </w:t>
      </w:r>
      <w:r w:rsidR="00F01B7F">
        <w:rPr>
          <w:sz w:val="28"/>
          <w:szCs w:val="28"/>
        </w:rPr>
        <w:t>месяца  (КО-</w:t>
      </w:r>
      <w:r w:rsidR="00F01B7F">
        <w:rPr>
          <w:sz w:val="28"/>
          <w:szCs w:val="28"/>
          <w:lang w:val="en-US"/>
        </w:rPr>
        <w:t>III</w:t>
      </w:r>
      <w:r w:rsidR="00F01B7F" w:rsidRPr="00F01B7F">
        <w:rPr>
          <w:sz w:val="28"/>
          <w:szCs w:val="28"/>
        </w:rPr>
        <w:t xml:space="preserve">) </w:t>
      </w:r>
      <w:r w:rsidR="00F01B7F">
        <w:rPr>
          <w:sz w:val="28"/>
          <w:szCs w:val="28"/>
        </w:rPr>
        <w:t>1644 (56,9%), 4 месяца (КО-</w:t>
      </w:r>
      <w:r w:rsidR="00F01B7F">
        <w:rPr>
          <w:sz w:val="28"/>
          <w:szCs w:val="28"/>
          <w:lang w:val="en-US"/>
        </w:rPr>
        <w:t>IV</w:t>
      </w:r>
      <w:r w:rsidR="00F01B7F" w:rsidRPr="00F01B7F">
        <w:rPr>
          <w:sz w:val="28"/>
          <w:szCs w:val="28"/>
        </w:rPr>
        <w:t xml:space="preserve">) </w:t>
      </w:r>
      <w:r w:rsidR="00F01B7F">
        <w:rPr>
          <w:sz w:val="28"/>
          <w:szCs w:val="28"/>
        </w:rPr>
        <w:t xml:space="preserve"> 965 (33,4%), 5 месяцев – </w:t>
      </w:r>
      <w:r w:rsidR="00F01B7F" w:rsidRPr="00F01B7F">
        <w:rPr>
          <w:sz w:val="28"/>
          <w:szCs w:val="28"/>
        </w:rPr>
        <w:t>(</w:t>
      </w:r>
      <w:r w:rsidR="00F01B7F">
        <w:rPr>
          <w:sz w:val="28"/>
          <w:szCs w:val="28"/>
        </w:rPr>
        <w:t>КО-V) 644 (22,3%) пациента.</w:t>
      </w:r>
      <w:r w:rsidR="00487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активность посещения врача пациентами </w:t>
      </w:r>
      <w:r w:rsidR="00CC606D">
        <w:rPr>
          <w:sz w:val="28"/>
          <w:szCs w:val="28"/>
        </w:rPr>
        <w:t xml:space="preserve">с каждым </w:t>
      </w:r>
      <w:r>
        <w:rPr>
          <w:sz w:val="28"/>
          <w:szCs w:val="28"/>
        </w:rPr>
        <w:t>месяц</w:t>
      </w:r>
      <w:r w:rsidR="00CC606D">
        <w:rPr>
          <w:sz w:val="28"/>
          <w:szCs w:val="28"/>
        </w:rPr>
        <w:t>ем</w:t>
      </w:r>
      <w:r>
        <w:rPr>
          <w:sz w:val="28"/>
          <w:szCs w:val="28"/>
        </w:rPr>
        <w:t xml:space="preserve"> снижа</w:t>
      </w:r>
      <w:r w:rsidR="00CC606D">
        <w:rPr>
          <w:sz w:val="28"/>
          <w:szCs w:val="28"/>
        </w:rPr>
        <w:t>лась</w:t>
      </w:r>
      <w:r>
        <w:rPr>
          <w:sz w:val="28"/>
          <w:szCs w:val="28"/>
        </w:rPr>
        <w:t xml:space="preserve">. </w:t>
      </w:r>
      <w:r w:rsidR="009D01DA">
        <w:rPr>
          <w:sz w:val="28"/>
          <w:szCs w:val="28"/>
        </w:rPr>
        <w:t>Ультразвуковое сопровождение лечебного процесса использовалось у 143 (4,9%) пациентов. При этом часть из них являлась на первый прием уже с наличием на руках ультразвукового флебосканирования.</w:t>
      </w:r>
      <w:r w:rsidR="006551B1" w:rsidRPr="006551B1">
        <w:rPr>
          <w:sz w:val="28"/>
          <w:szCs w:val="28"/>
        </w:rPr>
        <w:t xml:space="preserve"> </w:t>
      </w:r>
      <w:r w:rsidR="006551B1">
        <w:rPr>
          <w:sz w:val="28"/>
          <w:szCs w:val="28"/>
        </w:rPr>
        <w:t>В период активного диспансерного наблюдения потребовались дополнительные склероинъекции в неокклюзированные подкожные вены и перфоранты 856 (29,6%) больным.</w:t>
      </w:r>
    </w:p>
    <w:p w:rsidR="006551B1" w:rsidRPr="006551B1" w:rsidRDefault="006551B1" w:rsidP="00701602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9" type="#_x0000_t202" style="position:absolute;left:0;text-align:left;margin-left:18pt;margin-top:5.85pt;width:423pt;height:71.75pt;z-index:251658240;mso-wrap-edited:f" wrapcoords="-36 0 -36 21600 21636 21600 21636 0 -36 0" fillcolor="#cff">
            <v:textbox>
              <w:txbxContent>
                <w:p w:rsidR="006551B1" w:rsidRPr="009A080E" w:rsidRDefault="006551B1" w:rsidP="006551B1">
                  <w:pPr>
                    <w:pStyle w:val="3"/>
                    <w:rPr>
                      <w:sz w:val="28"/>
                      <w:szCs w:val="28"/>
                    </w:rPr>
                  </w:pPr>
                  <w:r w:rsidRPr="009A080E">
                    <w:rPr>
                      <w:sz w:val="28"/>
                      <w:szCs w:val="28"/>
                    </w:rPr>
                    <w:t xml:space="preserve">Активное наблюдение и лечение сроком 6 месяцев является оптимальным периодом для достижения хороших ближайших и отдаленных результатов склеротерапии варикозных вен </w:t>
                  </w:r>
                </w:p>
                <w:p w:rsidR="006551B1" w:rsidRPr="009A080E" w:rsidRDefault="006551B1" w:rsidP="006551B1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  <w10:wrap type="tight"/>
          </v:shape>
        </w:pict>
      </w:r>
    </w:p>
    <w:p w:rsidR="006551B1" w:rsidRDefault="00F01B7F" w:rsidP="006C0A3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6551B1" w:rsidRDefault="006551B1" w:rsidP="006C0A37">
      <w:pPr>
        <w:jc w:val="both"/>
        <w:rPr>
          <w:sz w:val="28"/>
          <w:szCs w:val="28"/>
          <w:lang w:val="en-US"/>
        </w:rPr>
      </w:pPr>
    </w:p>
    <w:p w:rsidR="006551B1" w:rsidRDefault="006551B1" w:rsidP="006C0A37">
      <w:pPr>
        <w:jc w:val="both"/>
        <w:rPr>
          <w:sz w:val="28"/>
          <w:szCs w:val="28"/>
          <w:lang w:val="en-US"/>
        </w:rPr>
      </w:pPr>
    </w:p>
    <w:p w:rsidR="006551B1" w:rsidRDefault="006551B1" w:rsidP="006C0A37">
      <w:pPr>
        <w:jc w:val="both"/>
        <w:rPr>
          <w:sz w:val="28"/>
          <w:szCs w:val="28"/>
          <w:lang w:val="en-US"/>
        </w:rPr>
      </w:pPr>
    </w:p>
    <w:p w:rsidR="006551B1" w:rsidRDefault="006551B1" w:rsidP="006C0A37">
      <w:pPr>
        <w:jc w:val="both"/>
        <w:rPr>
          <w:sz w:val="28"/>
          <w:szCs w:val="28"/>
          <w:lang w:val="en-US"/>
        </w:rPr>
      </w:pPr>
    </w:p>
    <w:p w:rsidR="00CC606D" w:rsidRDefault="00F01B7F" w:rsidP="006551B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истечению 6 месяцев пациентов переводили на второй, пассивный этап диспансеризации. То есть больным рекомендовали посе</w:t>
      </w:r>
      <w:r w:rsidR="00487AFA">
        <w:rPr>
          <w:sz w:val="28"/>
          <w:szCs w:val="28"/>
        </w:rPr>
        <w:t>щ</w:t>
      </w:r>
      <w:r>
        <w:rPr>
          <w:sz w:val="28"/>
          <w:szCs w:val="28"/>
        </w:rPr>
        <w:t xml:space="preserve">ение  флеболога с интервалом 6 месяцев. Активность пациентов на данном этапе диспансеризации </w:t>
      </w:r>
      <w:r w:rsidR="00701602">
        <w:rPr>
          <w:sz w:val="28"/>
          <w:szCs w:val="28"/>
        </w:rPr>
        <w:t xml:space="preserve">выразилась </w:t>
      </w:r>
      <w:r w:rsidR="00E01470">
        <w:rPr>
          <w:sz w:val="28"/>
          <w:szCs w:val="28"/>
        </w:rPr>
        <w:t>низкими</w:t>
      </w:r>
      <w:r w:rsidR="00701602">
        <w:rPr>
          <w:sz w:val="28"/>
          <w:szCs w:val="28"/>
        </w:rPr>
        <w:t xml:space="preserve"> цифрами:</w:t>
      </w:r>
      <w:r>
        <w:rPr>
          <w:sz w:val="28"/>
          <w:szCs w:val="28"/>
        </w:rPr>
        <w:t xml:space="preserve"> </w:t>
      </w:r>
      <w:r w:rsidR="00701602">
        <w:rPr>
          <w:sz w:val="28"/>
          <w:szCs w:val="28"/>
        </w:rPr>
        <w:t>б</w:t>
      </w:r>
      <w:r w:rsidR="00487AFA">
        <w:rPr>
          <w:sz w:val="28"/>
          <w:szCs w:val="28"/>
        </w:rPr>
        <w:t>олее 1 года наблюдалось 522 пациента</w:t>
      </w:r>
      <w:r w:rsidR="000B691E">
        <w:rPr>
          <w:sz w:val="28"/>
          <w:szCs w:val="28"/>
        </w:rPr>
        <w:t xml:space="preserve">, что составляет </w:t>
      </w:r>
      <w:r w:rsidR="00E01470">
        <w:rPr>
          <w:sz w:val="28"/>
          <w:szCs w:val="28"/>
        </w:rPr>
        <w:t>17,3%.</w:t>
      </w:r>
      <w:r w:rsidR="00487AFA">
        <w:rPr>
          <w:sz w:val="28"/>
          <w:szCs w:val="28"/>
        </w:rPr>
        <w:t xml:space="preserve"> </w:t>
      </w:r>
      <w:r w:rsidR="000B691E">
        <w:rPr>
          <w:sz w:val="28"/>
          <w:szCs w:val="28"/>
        </w:rPr>
        <w:t>И</w:t>
      </w:r>
      <w:r w:rsidR="00487AFA">
        <w:rPr>
          <w:sz w:val="28"/>
          <w:szCs w:val="28"/>
        </w:rPr>
        <w:t xml:space="preserve">з них </w:t>
      </w:r>
      <w:r w:rsidR="000B691E">
        <w:rPr>
          <w:sz w:val="28"/>
          <w:szCs w:val="28"/>
        </w:rPr>
        <w:t xml:space="preserve">посещали флеболога </w:t>
      </w:r>
      <w:r w:rsidR="00487AFA">
        <w:rPr>
          <w:sz w:val="28"/>
          <w:szCs w:val="28"/>
        </w:rPr>
        <w:t xml:space="preserve">2 года </w:t>
      </w:r>
      <w:r w:rsidR="000B691E">
        <w:rPr>
          <w:sz w:val="28"/>
          <w:szCs w:val="28"/>
        </w:rPr>
        <w:t>–</w:t>
      </w:r>
      <w:r w:rsidR="00487AFA">
        <w:rPr>
          <w:sz w:val="28"/>
          <w:szCs w:val="28"/>
        </w:rPr>
        <w:t xml:space="preserve"> 402 </w:t>
      </w:r>
      <w:r w:rsidR="00487AFA">
        <w:rPr>
          <w:sz w:val="28"/>
          <w:szCs w:val="28"/>
        </w:rPr>
        <w:lastRenderedPageBreak/>
        <w:t>(77%)</w:t>
      </w:r>
      <w:r w:rsidR="000B691E">
        <w:rPr>
          <w:sz w:val="28"/>
          <w:szCs w:val="28"/>
        </w:rPr>
        <w:t xml:space="preserve"> пациента</w:t>
      </w:r>
      <w:r w:rsidR="00487AFA">
        <w:rPr>
          <w:sz w:val="28"/>
          <w:szCs w:val="28"/>
        </w:rPr>
        <w:t xml:space="preserve">, 3 года </w:t>
      </w:r>
      <w:r w:rsidR="000B691E">
        <w:rPr>
          <w:sz w:val="28"/>
          <w:szCs w:val="28"/>
        </w:rPr>
        <w:t>–</w:t>
      </w:r>
      <w:r w:rsidR="00487AFA">
        <w:rPr>
          <w:sz w:val="28"/>
          <w:szCs w:val="28"/>
        </w:rPr>
        <w:t xml:space="preserve"> 317 (60,7%), 4 года </w:t>
      </w:r>
      <w:r w:rsidR="000B691E">
        <w:rPr>
          <w:sz w:val="28"/>
          <w:szCs w:val="28"/>
        </w:rPr>
        <w:t>–</w:t>
      </w:r>
      <w:r w:rsidR="00487AFA">
        <w:rPr>
          <w:sz w:val="28"/>
          <w:szCs w:val="28"/>
        </w:rPr>
        <w:t xml:space="preserve"> 260 (49,8%), </w:t>
      </w:r>
      <w:r w:rsidR="00701602">
        <w:rPr>
          <w:sz w:val="28"/>
          <w:szCs w:val="28"/>
        </w:rPr>
        <w:t>5</w:t>
      </w:r>
      <w:r w:rsidR="00487AFA">
        <w:rPr>
          <w:sz w:val="28"/>
          <w:szCs w:val="28"/>
        </w:rPr>
        <w:t xml:space="preserve"> </w:t>
      </w:r>
      <w:r w:rsidR="00701602">
        <w:rPr>
          <w:sz w:val="28"/>
          <w:szCs w:val="28"/>
        </w:rPr>
        <w:t>лет</w:t>
      </w:r>
      <w:r w:rsidR="00487AFA">
        <w:rPr>
          <w:sz w:val="28"/>
          <w:szCs w:val="28"/>
        </w:rPr>
        <w:t xml:space="preserve"> </w:t>
      </w:r>
      <w:r w:rsidR="000B691E">
        <w:rPr>
          <w:sz w:val="28"/>
          <w:szCs w:val="28"/>
        </w:rPr>
        <w:t>–</w:t>
      </w:r>
      <w:r w:rsidR="00487AFA">
        <w:rPr>
          <w:sz w:val="28"/>
          <w:szCs w:val="28"/>
        </w:rPr>
        <w:t xml:space="preserve"> 1</w:t>
      </w:r>
      <w:r w:rsidR="009C330C">
        <w:rPr>
          <w:sz w:val="28"/>
          <w:szCs w:val="28"/>
        </w:rPr>
        <w:t>7</w:t>
      </w:r>
      <w:r w:rsidR="00487AFA">
        <w:rPr>
          <w:sz w:val="28"/>
          <w:szCs w:val="28"/>
        </w:rPr>
        <w:t>6 (</w:t>
      </w:r>
      <w:r w:rsidR="009C330C">
        <w:rPr>
          <w:sz w:val="28"/>
          <w:szCs w:val="28"/>
        </w:rPr>
        <w:t>33</w:t>
      </w:r>
      <w:r w:rsidR="00487AFA">
        <w:rPr>
          <w:sz w:val="28"/>
          <w:szCs w:val="28"/>
        </w:rPr>
        <w:t>,</w:t>
      </w:r>
      <w:r w:rsidR="009C330C">
        <w:rPr>
          <w:sz w:val="28"/>
          <w:szCs w:val="28"/>
        </w:rPr>
        <w:t>7</w:t>
      </w:r>
      <w:r w:rsidR="00487AFA">
        <w:rPr>
          <w:sz w:val="28"/>
          <w:szCs w:val="28"/>
        </w:rPr>
        <w:t xml:space="preserve">%), более </w:t>
      </w:r>
      <w:r w:rsidR="00701602">
        <w:rPr>
          <w:sz w:val="28"/>
          <w:szCs w:val="28"/>
        </w:rPr>
        <w:t xml:space="preserve">5 лет </w:t>
      </w:r>
      <w:r w:rsidR="000B691E">
        <w:rPr>
          <w:sz w:val="28"/>
          <w:szCs w:val="28"/>
        </w:rPr>
        <w:t>(максимально 14) –</w:t>
      </w:r>
      <w:r w:rsidR="00487AFA">
        <w:rPr>
          <w:sz w:val="28"/>
          <w:szCs w:val="28"/>
        </w:rPr>
        <w:t xml:space="preserve"> 1</w:t>
      </w:r>
      <w:r w:rsidR="009C330C">
        <w:rPr>
          <w:sz w:val="28"/>
          <w:szCs w:val="28"/>
        </w:rPr>
        <w:t>49</w:t>
      </w:r>
      <w:r w:rsidR="00487AFA">
        <w:rPr>
          <w:sz w:val="28"/>
          <w:szCs w:val="28"/>
        </w:rPr>
        <w:t xml:space="preserve"> (2</w:t>
      </w:r>
      <w:r w:rsidR="00AB4D1D">
        <w:rPr>
          <w:sz w:val="28"/>
          <w:szCs w:val="28"/>
        </w:rPr>
        <w:t>8</w:t>
      </w:r>
      <w:r w:rsidR="00487AFA">
        <w:rPr>
          <w:sz w:val="28"/>
          <w:szCs w:val="28"/>
        </w:rPr>
        <w:t>,</w:t>
      </w:r>
      <w:r w:rsidR="00AB4D1D">
        <w:rPr>
          <w:sz w:val="28"/>
          <w:szCs w:val="28"/>
        </w:rPr>
        <w:t>5</w:t>
      </w:r>
      <w:r w:rsidR="00487AFA">
        <w:rPr>
          <w:sz w:val="28"/>
          <w:szCs w:val="28"/>
        </w:rPr>
        <w:t>%).</w:t>
      </w:r>
    </w:p>
    <w:p w:rsidR="00F01B7F" w:rsidRDefault="009D01DA" w:rsidP="00CC60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этапе</w:t>
      </w:r>
      <w:r w:rsidR="00CC606D">
        <w:rPr>
          <w:sz w:val="28"/>
          <w:szCs w:val="28"/>
        </w:rPr>
        <w:t xml:space="preserve"> пассивной диспансеризации</w:t>
      </w:r>
      <w:r>
        <w:rPr>
          <w:sz w:val="28"/>
          <w:szCs w:val="28"/>
        </w:rPr>
        <w:t xml:space="preserve"> </w:t>
      </w:r>
      <w:r w:rsidR="00F01B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проведен повторный курс склеротерапии в связи с реканализацией и неоварикозом 161 пациенту (5,6%). Направлены на оперативное вмешательство в территориальные медицинские учреждения в связи с неудовлетворительным или недостаточным результатом лечения 117 больных.     </w:t>
      </w:r>
    </w:p>
    <w:p w:rsidR="009D01DA" w:rsidRDefault="007336B8" w:rsidP="000B691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2" type="#_x0000_t202" style="position:absolute;left:0;text-align:left;margin-left:0;margin-top:130.3pt;width:468pt;height:99pt;z-index:251659264" fillcolor="#cff" stroked="f">
            <v:textbox>
              <w:txbxContent>
                <w:p w:rsidR="006551B1" w:rsidRPr="006551B1" w:rsidRDefault="006551B1" w:rsidP="006551B1">
                  <w:pPr>
                    <w:jc w:val="both"/>
                    <w:rPr>
                      <w:sz w:val="28"/>
                      <w:szCs w:val="28"/>
                    </w:rPr>
                  </w:pPr>
                  <w:r w:rsidRPr="006551B1">
                    <w:rPr>
                      <w:sz w:val="28"/>
                      <w:szCs w:val="28"/>
                    </w:rPr>
                    <w:t>Однократный курс лечения и отсутствие эффективной и долгосрочной диспансеризации, несмотря на технически правильно выполненную склеротерапию, является основной причиной плохих ближайших и отдаленных результатов склеротерапии варикозных вен.</w:t>
                  </w:r>
                  <w:r>
                    <w:rPr>
                      <w:sz w:val="28"/>
                      <w:szCs w:val="28"/>
                    </w:rPr>
                    <w:t xml:space="preserve"> Это приводит к дискредитации метода как в глазах пациентов, так и во врачебной среде. </w:t>
                  </w:r>
                </w:p>
                <w:p w:rsidR="006551B1" w:rsidRDefault="006551B1"/>
              </w:txbxContent>
            </v:textbox>
          </v:shape>
        </w:pict>
      </w:r>
      <w:r w:rsidR="00487AFA">
        <w:rPr>
          <w:sz w:val="28"/>
          <w:szCs w:val="28"/>
        </w:rPr>
        <w:tab/>
      </w:r>
      <w:r w:rsidR="00CC606D">
        <w:rPr>
          <w:sz w:val="28"/>
          <w:szCs w:val="28"/>
        </w:rPr>
        <w:t>Используемая нами схема активно-пассивной диспансеризации</w:t>
      </w:r>
      <w:r w:rsidR="009D01DA">
        <w:rPr>
          <w:sz w:val="28"/>
          <w:szCs w:val="28"/>
        </w:rPr>
        <w:t xml:space="preserve"> является прообразом пожизненной диспансеризации, так необходимой больным с хроническим прогрессирующим заболеванием, каковым</w:t>
      </w:r>
      <w:r w:rsidR="009E600F">
        <w:rPr>
          <w:sz w:val="28"/>
          <w:szCs w:val="28"/>
        </w:rPr>
        <w:t xml:space="preserve"> является варикозная болезнь. Проводимое больным этапное лечение позволяет поддерживать ноги, в лучшем случае, в здоровом и красивом состоянии, в худшем (при лечении осложненного варикоза) – обеспечить неосложненное течение заболевания, что значительно улучшает качество жизни пациентов.  </w:t>
      </w:r>
      <w:r w:rsidR="00701602">
        <w:rPr>
          <w:sz w:val="28"/>
          <w:szCs w:val="28"/>
        </w:rPr>
        <w:t>К сожалению, активность пациентов на различных этапах диспансеризации  довольно низкая.</w:t>
      </w:r>
    </w:p>
    <w:p w:rsidR="00A041E3" w:rsidRDefault="00007747" w:rsidP="00007747">
      <w:pPr>
        <w:jc w:val="both"/>
        <w:rPr>
          <w:sz w:val="28"/>
          <w:szCs w:val="28"/>
          <w:lang w:val="en-US"/>
        </w:rPr>
      </w:pPr>
      <w:r w:rsidRPr="00701602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6551B1" w:rsidRPr="006551B1" w:rsidRDefault="006551B1" w:rsidP="00007747">
      <w:pPr>
        <w:jc w:val="both"/>
        <w:rPr>
          <w:sz w:val="28"/>
          <w:szCs w:val="28"/>
          <w:lang w:val="en-US"/>
        </w:rPr>
      </w:pPr>
    </w:p>
    <w:sectPr w:rsidR="006551B1" w:rsidRPr="00655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A313A1"/>
    <w:rsid w:val="00007747"/>
    <w:rsid w:val="000B691E"/>
    <w:rsid w:val="001E2760"/>
    <w:rsid w:val="001E7264"/>
    <w:rsid w:val="00210224"/>
    <w:rsid w:val="003224B8"/>
    <w:rsid w:val="0034251B"/>
    <w:rsid w:val="004052B7"/>
    <w:rsid w:val="00487AFA"/>
    <w:rsid w:val="006551B1"/>
    <w:rsid w:val="006C0A37"/>
    <w:rsid w:val="00701602"/>
    <w:rsid w:val="007336B8"/>
    <w:rsid w:val="00777676"/>
    <w:rsid w:val="00794CBC"/>
    <w:rsid w:val="008719A7"/>
    <w:rsid w:val="009C330C"/>
    <w:rsid w:val="009D01DA"/>
    <w:rsid w:val="009E600F"/>
    <w:rsid w:val="00A02C95"/>
    <w:rsid w:val="00A041E3"/>
    <w:rsid w:val="00A313A1"/>
    <w:rsid w:val="00A86E35"/>
    <w:rsid w:val="00AB4D1D"/>
    <w:rsid w:val="00AC7543"/>
    <w:rsid w:val="00B04945"/>
    <w:rsid w:val="00BE5474"/>
    <w:rsid w:val="00CC606D"/>
    <w:rsid w:val="00D426E6"/>
    <w:rsid w:val="00DD2876"/>
    <w:rsid w:val="00E01470"/>
    <w:rsid w:val="00E31F01"/>
    <w:rsid w:val="00E354C2"/>
    <w:rsid w:val="00F0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B04945"/>
    <w:rPr>
      <w:b/>
      <w:bCs/>
      <w:sz w:val="20"/>
      <w:szCs w:val="20"/>
    </w:rPr>
  </w:style>
  <w:style w:type="paragraph" w:styleId="3">
    <w:name w:val="Body Text Indent 3"/>
    <w:basedOn w:val="a"/>
    <w:rsid w:val="006551B1"/>
    <w:pPr>
      <w:ind w:firstLine="708"/>
      <w:jc w:val="both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view3D>
      <c:hPercent val="89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1783439490445857"/>
          <c:y val="5.8252427184466035E-2"/>
          <c:w val="0.58280254777070029"/>
          <c:h val="0.7718446601941753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Проценты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Sheet1!$B$1:$C$1</c:f>
              <c:strCache>
                <c:ptCount val="2"/>
                <c:pt idx="0">
                  <c:v>ж</c:v>
                </c:pt>
                <c:pt idx="1">
                  <c:v>м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85.3</c:v>
                </c:pt>
                <c:pt idx="1">
                  <c:v>14.7</c:v>
                </c:pt>
              </c:numCache>
            </c:numRef>
          </c:val>
        </c:ser>
        <c:gapDepth val="0"/>
        <c:shape val="box"/>
        <c:axId val="88579456"/>
        <c:axId val="85910656"/>
        <c:axId val="0"/>
      </c:bar3DChart>
      <c:catAx>
        <c:axId val="88579456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5910656"/>
        <c:crosses val="autoZero"/>
        <c:auto val="1"/>
        <c:lblAlgn val="ctr"/>
        <c:lblOffset val="100"/>
        <c:tickLblSkip val="1"/>
        <c:tickMarkSkip val="1"/>
      </c:catAx>
      <c:valAx>
        <c:axId val="85910656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8579456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73566878980891692"/>
          <c:y val="0.45145631067961184"/>
          <c:w val="0.25159235668789809"/>
          <c:h val="0.10194174757281556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noFill/>
    <a:ln w="9525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900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hPercent val="173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1160714285714286"/>
          <c:y val="4.1860465116279069E-2"/>
          <c:w val="0.65401785714285732"/>
          <c:h val="0.8046511627906977"/>
        </c:manualLayout>
      </c:layout>
      <c:bar3DChart>
        <c:barDir val="bar"/>
        <c:grouping val="stacked"/>
        <c:ser>
          <c:idx val="0"/>
          <c:order val="0"/>
          <c:tx>
            <c:strRef>
              <c:f>Sheet1!$A$2</c:f>
              <c:strCache>
                <c:ptCount val="1"/>
                <c:pt idx="0">
                  <c:v>Проценты</c:v>
                </c:pt>
              </c:strCache>
            </c:strRef>
          </c:tx>
          <c:spPr>
            <a:solidFill>
              <a:srgbClr val="9999FF"/>
            </a:solidFill>
            <a:ln w="12693">
              <a:solidFill>
                <a:srgbClr val="000000"/>
              </a:solidFill>
              <a:prstDash val="solid"/>
            </a:ln>
          </c:spPr>
          <c:cat>
            <c:strRef>
              <c:f>Sheet1!$B$1:$H$1</c:f>
              <c:strCache>
                <c:ptCount val="7"/>
                <c:pt idx="0">
                  <c:v>до 20</c:v>
                </c:pt>
                <c:pt idx="1">
                  <c:v>21-30</c:v>
                </c:pt>
                <c:pt idx="2">
                  <c:v>31-40</c:v>
                </c:pt>
                <c:pt idx="3">
                  <c:v>41-50</c:v>
                </c:pt>
                <c:pt idx="4">
                  <c:v>51-60</c:v>
                </c:pt>
                <c:pt idx="5">
                  <c:v>61-70</c:v>
                </c:pt>
                <c:pt idx="6">
                  <c:v>&gt;70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3.6</c:v>
                </c:pt>
                <c:pt idx="1">
                  <c:v>20.5</c:v>
                </c:pt>
                <c:pt idx="2">
                  <c:v>32.1</c:v>
                </c:pt>
                <c:pt idx="3">
                  <c:v>24.4</c:v>
                </c:pt>
                <c:pt idx="4">
                  <c:v>13.1</c:v>
                </c:pt>
                <c:pt idx="5">
                  <c:v>4.9000000000000004</c:v>
                </c:pt>
                <c:pt idx="6">
                  <c:v>1.3</c:v>
                </c:pt>
              </c:numCache>
            </c:numRef>
          </c:val>
        </c:ser>
        <c:gapWidth val="100"/>
        <c:gapDepth val="0"/>
        <c:shape val="box"/>
        <c:axId val="90780416"/>
        <c:axId val="90781952"/>
        <c:axId val="0"/>
      </c:bar3DChart>
      <c:catAx>
        <c:axId val="90780416"/>
        <c:scaling>
          <c:orientation val="minMax"/>
        </c:scaling>
        <c:axPos val="l"/>
        <c:numFmt formatCode="General" sourceLinked="1"/>
        <c:tickLblPos val="low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49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90781952"/>
        <c:crosses val="autoZero"/>
        <c:auto val="1"/>
        <c:lblAlgn val="ctr"/>
        <c:lblOffset val="100"/>
        <c:tickLblSkip val="1"/>
        <c:tickMarkSkip val="1"/>
      </c:catAx>
      <c:valAx>
        <c:axId val="90781952"/>
        <c:scaling>
          <c:orientation val="minMax"/>
        </c:scaling>
        <c:axPos val="b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49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90780416"/>
        <c:crosses val="autoZero"/>
        <c:crossBetween val="between"/>
      </c:valAx>
      <c:spPr>
        <a:noFill/>
        <a:ln w="25385">
          <a:noFill/>
        </a:ln>
      </c:spPr>
    </c:plotArea>
    <c:legend>
      <c:legendPos val="r"/>
      <c:layout>
        <c:manualLayout>
          <c:xMode val="edge"/>
          <c:yMode val="edge"/>
          <c:x val="0.79910714285714268"/>
          <c:y val="0.45116279069767451"/>
          <c:w val="0.19196428571428578"/>
          <c:h val="0.10232558139534884"/>
        </c:manualLayout>
      </c:layout>
      <c:spPr>
        <a:noFill/>
        <a:ln w="3173">
          <a:solidFill>
            <a:srgbClr val="000000"/>
          </a:solidFill>
          <a:prstDash val="solid"/>
        </a:ln>
      </c:spPr>
      <c:txPr>
        <a:bodyPr/>
        <a:lstStyle/>
        <a:p>
          <a:pPr>
            <a:defRPr sz="869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noFill/>
    <a:ln w="9525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949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7.8723404255319179E-2"/>
          <c:y val="0.10232558139534884"/>
          <c:w val="0.64255319148936152"/>
          <c:h val="0.71162790697674438"/>
        </c:manualLayout>
      </c:layout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Проценты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Sheet1!$B$1:$G$1</c:f>
              <c:strCache>
                <c:ptCount val="6"/>
                <c:pt idx="0">
                  <c:v>С 1</c:v>
                </c:pt>
                <c:pt idx="1">
                  <c:v>С 2</c:v>
                </c:pt>
                <c:pt idx="2">
                  <c:v>С 3</c:v>
                </c:pt>
                <c:pt idx="3">
                  <c:v>С 4</c:v>
                </c:pt>
                <c:pt idx="4">
                  <c:v>С 5</c:v>
                </c:pt>
                <c:pt idx="5">
                  <c:v>С 6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8</c:v>
                </c:pt>
                <c:pt idx="1">
                  <c:v>40.5</c:v>
                </c:pt>
                <c:pt idx="2">
                  <c:v>43</c:v>
                </c:pt>
                <c:pt idx="3">
                  <c:v>5</c:v>
                </c:pt>
                <c:pt idx="4">
                  <c:v>1.2</c:v>
                </c:pt>
                <c:pt idx="5">
                  <c:v>2.2000000000000002</c:v>
                </c:pt>
              </c:numCache>
            </c:numRef>
          </c:val>
        </c:ser>
        <c:marker val="1"/>
        <c:axId val="90829952"/>
        <c:axId val="90831872"/>
      </c:lineChart>
      <c:catAx>
        <c:axId val="90829952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90831872"/>
        <c:crosses val="autoZero"/>
        <c:auto val="1"/>
        <c:lblAlgn val="ctr"/>
        <c:lblOffset val="100"/>
        <c:tickLblSkip val="1"/>
        <c:tickMarkSkip val="1"/>
      </c:catAx>
      <c:valAx>
        <c:axId val="90831872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90829952"/>
        <c:crosses val="autoZero"/>
        <c:crossBetween val="midCat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68085106382979"/>
          <c:y val="0.40465116279069768"/>
          <c:w val="0.22340425531914893"/>
          <c:h val="0.10232558139534884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70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noFill/>
    <a:ln w="9525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950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hPercent val="80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3170731707317083E-2"/>
          <c:y val="6.9565217391304376E-2"/>
          <c:w val="0.59024390243902469"/>
          <c:h val="0.77391304347826073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Число больных (%)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Sheet1!$B$1:$F$1</c:f>
              <c:strCache>
                <c:ptCount val="5"/>
                <c:pt idx="0">
                  <c:v>КО-I</c:v>
                </c:pt>
                <c:pt idx="1">
                  <c:v>KO-II</c:v>
                </c:pt>
                <c:pt idx="2">
                  <c:v>KO-III</c:v>
                </c:pt>
                <c:pt idx="3">
                  <c:v>KO-IY</c:v>
                </c:pt>
                <c:pt idx="4">
                  <c:v>KO-Y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88</c:v>
                </c:pt>
                <c:pt idx="1">
                  <c:v>73.900000000000006</c:v>
                </c:pt>
                <c:pt idx="2">
                  <c:v>56.9</c:v>
                </c:pt>
                <c:pt idx="3">
                  <c:v>33.4</c:v>
                </c:pt>
                <c:pt idx="4">
                  <c:v>22.3</c:v>
                </c:pt>
              </c:numCache>
            </c:numRef>
          </c:val>
        </c:ser>
        <c:gapDepth val="0"/>
        <c:shape val="box"/>
        <c:axId val="92261760"/>
        <c:axId val="101721216"/>
        <c:axId val="0"/>
      </c:bar3DChart>
      <c:catAx>
        <c:axId val="92261760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01721216"/>
        <c:crosses val="autoZero"/>
        <c:auto val="1"/>
        <c:lblAlgn val="ctr"/>
        <c:lblOffset val="100"/>
        <c:tickLblSkip val="1"/>
        <c:tickMarkSkip val="1"/>
      </c:catAx>
      <c:valAx>
        <c:axId val="101721216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9226176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9024390243902478"/>
          <c:y val="0.41739130434782618"/>
          <c:w val="0.3000000000000001"/>
          <c:h val="0.16521739130434793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1000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user</cp:lastModifiedBy>
  <cp:revision>2</cp:revision>
  <dcterms:created xsi:type="dcterms:W3CDTF">2017-10-01T08:40:00Z</dcterms:created>
  <dcterms:modified xsi:type="dcterms:W3CDTF">2017-10-01T08:40:00Z</dcterms:modified>
</cp:coreProperties>
</file>