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EDA – Executive Summary</w:t>
      </w:r>
    </w:p>
    <w:p>
      <w:r>
        <w:br/>
        <w:t>This report summarizes the Exploratory Data Analysis (EDA) performed on the cleaned logistics dataset (week1_cleaned_data.csv).</w:t>
        <w:br/>
        <w:t>The objective was to understand where and why SLA breaches occur before building predictive models.</w:t>
        <w:br/>
        <w:br/>
        <w:t>Key Findings:</w:t>
        <w:br/>
        <w:t>- SLA breaches are concentrated among specific carriers and routes.</w:t>
        <w:br/>
        <w:t>- Certain shipping modes show higher delay variability.</w:t>
        <w:br/>
        <w:t>- Higher shipping cost does not always guarantee lower SLA breach risk.</w:t>
        <w:br/>
        <w:t>- Priority and fragile shipments exhibit different risk patterns.</w:t>
        <w:br/>
        <w:t>- Delivery delay days strongly correlate with SLA breach flag.</w:t>
        <w:br/>
        <w:br/>
        <w:t>Business Interpretation:</w:t>
        <w:br/>
        <w:t xml:space="preserve">Risk is driven more by operational inefficiencies (carrier, route, mode) rather than cost alone. </w:t>
        <w:br/>
        <w:t>These insights should guide feature selection and modeling in Week 3.</w:t>
        <w:br/>
        <w:br/>
        <w:t>Conclusion:</w:t>
        <w:br/>
        <w:t>The EDA clearly identifies where SLA failures are concentrated and provides strong direction for predictive modeling.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