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425" w:lineRule="exact"/>
        <w:jc w:val="center"/>
      </w:pPr>
      <w:r>
        <w:rPr>
          <w:rFonts w:ascii="Arial" w:hAnsi="Arial" w:cs="Arial" w:eastAsia="Arial"/>
          <w:b/>
          <w:color w:val="000000"/>
          <w:sz w:val="34"/>
        </w:rPr>
        <w:t>Universidad Mariano Gálvez de Guatemala</w:t>
      </w:r>
    </w:p>
    <w:p>
      <w:pPr>
        <w:spacing w:before="0" w:after="0" w:line="275" w:lineRule="exact"/>
        <w:jc w:val="center"/>
      </w:pPr>
      <w:r>
        <w:rPr>
          <w:rFonts w:ascii="Arial" w:hAnsi="Arial" w:cs="Arial" w:eastAsia="Arial"/>
          <w:b w:val="0"/>
          <w:color w:val="000000"/>
          <w:sz w:val="22"/>
        </w:rPr>
        <w:t>Facultad de Ingeniería en Sistemas de Información</w:t>
      </w:r>
    </w:p>
    <w:p>
      <w:pPr>
        <w:spacing w:before="0" w:after="360" w:line="275" w:lineRule="exact"/>
        <w:jc w:val="center"/>
      </w:pPr>
      <w:r>
        <w:rPr>
          <w:rFonts w:ascii="Arial" w:hAnsi="Arial" w:cs="Arial" w:eastAsia="Arial"/>
          <w:b w:val="0"/>
          <w:color w:val="000000"/>
          <w:sz w:val="22"/>
        </w:rPr>
        <w:t>y Ciencias de la Computación</w:t>
      </w:r>
    </w:p>
    <w:p>
      <w:pPr>
        <w:spacing w:line="240" w:lineRule="auto" w:after="36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51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cir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5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50" w:lineRule="exact"/>
        <w:jc w:val="center"/>
      </w:pPr>
      <w:r>
        <w:rPr>
          <w:rFonts w:ascii="Arial" w:hAnsi="Arial" w:cs="Arial" w:eastAsia="Arial"/>
          <w:b/>
          <w:color w:val="000000"/>
          <w:sz w:val="20"/>
        </w:rPr>
        <w:t>ER-AFD  /  DOCUMENTO 02 DE 03</w:t>
      </w:r>
    </w:p>
    <w:p>
      <w:pPr>
        <w:pStyle w:val="Title"/>
        <w:spacing w:before="0" w:after="140" w:line="700" w:lineRule="exact"/>
        <w:jc w:val="center"/>
      </w:pPr>
      <w:r>
        <w:rPr>
          <w:rFonts w:ascii="Arial" w:hAnsi="Arial" w:cs="Arial" w:eastAsia="Arial"/>
          <w:b/>
          <w:color w:val="000000"/>
          <w:sz w:val="56"/>
        </w:rPr>
        <w:t>Casos de prueba</w:t>
      </w:r>
    </w:p>
    <w:p>
      <w:pPr>
        <w:pStyle w:val="Subtitle"/>
        <w:spacing w:before="0" w:after="140" w:line="350" w:lineRule="exact"/>
        <w:jc w:val="center"/>
      </w:pPr>
      <w:r>
        <w:rPr>
          <w:rFonts w:ascii="Arial" w:hAnsi="Arial" w:cs="Arial" w:eastAsia="Arial"/>
          <w:b w:val="0"/>
          <w:color w:val="000000"/>
          <w:sz w:val="28"/>
        </w:rPr>
        <w:t>Convertidor de expresiones regulares a AFD</w:t>
      </w:r>
    </w:p>
    <w:p>
      <w:pPr>
        <w:spacing w:before="0" w:after="640" w:line="275" w:lineRule="exact"/>
        <w:jc w:val="center"/>
      </w:pPr>
      <w:r>
        <w:rPr>
          <w:rFonts w:ascii="Arial" w:hAnsi="Arial" w:cs="Arial" w:eastAsia="Arial"/>
          <w:b w:val="0"/>
          <w:color w:val="000000"/>
          <w:sz w:val="22"/>
        </w:rPr>
        <w:t>Construcción explícita ER → AFND → AFD</w:t>
      </w:r>
    </w:p>
    <w:p>
      <w:pPr>
        <w:spacing w:before="0" w:after="160" w:line="225" w:lineRule="exact"/>
        <w:jc w:val="center"/>
      </w:pPr>
      <w:r>
        <w:rPr>
          <w:rFonts w:ascii="Arial" w:hAnsi="Arial" w:cs="Arial" w:eastAsia="Arial"/>
          <w:b w:val="0"/>
          <w:color w:val="000000"/>
          <w:sz w:val="18"/>
        </w:rPr>
        <w:t>PRESENTADO POR</w:t>
      </w:r>
    </w:p>
    <w:p>
      <w:pPr>
        <w:spacing w:before="0" w:after="180" w:line="375" w:lineRule="exact"/>
        <w:jc w:val="center"/>
      </w:pPr>
      <w:r>
        <w:rPr>
          <w:rFonts w:ascii="Arial" w:hAnsi="Arial" w:cs="Arial" w:eastAsia="Arial"/>
          <w:b/>
          <w:color w:val="000000"/>
          <w:sz w:val="30"/>
        </w:rPr>
        <w:t>SELVIN KLEBER GIRÓN ALVAREZ</w:t>
      </w:r>
    </w:p>
    <w:p>
      <w:pPr>
        <w:spacing w:before="0" w:after="900" w:line="275" w:lineRule="exact"/>
        <w:jc w:val="center"/>
      </w:pPr>
      <w:r>
        <w:rPr>
          <w:rFonts w:ascii="Arial" w:hAnsi="Arial" w:cs="Arial" w:eastAsia="Arial"/>
          <w:b w:val="0"/>
          <w:color w:val="000000"/>
          <w:sz w:val="22"/>
        </w:rPr>
        <w:t>Carné: 3190-15-15973</w:t>
      </w:r>
    </w:p>
    <w:p>
      <w:pPr>
        <w:spacing w:before="0" w:after="440" w:line="275" w:lineRule="exact"/>
        <w:jc w:val="center"/>
      </w:pPr>
      <w:r>
        <w:rPr>
          <w:rFonts w:ascii="Arial" w:hAnsi="Arial" w:cs="Arial" w:eastAsia="Arial"/>
          <w:b w:val="0"/>
          <w:color w:val="000000"/>
          <w:sz w:val="22"/>
        </w:rPr>
        <w:t>Guatemala, 20 de octubre de 2026</w:t>
      </w:r>
    </w:p>
    <w:p>
      <w:pPr>
        <w:spacing w:before="0" w:after="0" w:line="225" w:lineRule="exact"/>
        <w:jc w:val="center"/>
      </w:pPr>
      <w:r>
        <w:rPr>
          <w:rFonts w:ascii="Arial" w:hAnsi="Arial" w:cs="Arial" w:eastAsia="Arial"/>
          <w:b w:val="0"/>
          <w:color w:val="000000"/>
          <w:sz w:val="18"/>
        </w:rPr>
        <w:t>Proyecto del curso · Implementación en Python</w:t>
      </w:r>
    </w:p>
    <w:p>
      <w:pPr>
        <w:pStyle w:val="Heading1"/>
      </w:pPr>
      <w:r>
        <w:rPr/>
        <w:t>1. Método y entorno de prueba</w:t>
      </w:r>
    </w:p>
    <w:p>
      <w:pPr/>
      <w:r>
        <w:rPr/>
        <w:t>El objetivo fue comprobar aceptación, rechazo, precedencia de operadores, clases, escapes y tratamiento de entradas inválidas. Se compararon los resultados con valores esperados y se verificaron los códigos reales devueltos por los procesos.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3400"/>
        <w:gridCol w:w="6920"/>
      </w:tblGrid>
      <w:tr>
        <w:trPr>
          <w:cantSplit/>
          <w:tblHeader w:val="true"/>
        </w:trPr>
        <w:tc>
          <w:tcPr>
            <w:tcW w:type="dxa" w:w="34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92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Valor registrado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Fecha</w:t>
            </w:r>
          </w:p>
        </w:tc>
        <w:tc>
          <w:tcPr>
            <w:tcW w:type="dxa" w:w="6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20 de octubre de 2026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Sistema</w:t>
            </w:r>
          </w:p>
        </w:tc>
        <w:tc>
          <w:tcPr>
            <w:tcW w:type="dxa" w:w="69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Windows 11, compilación 26300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Python</w:t>
            </w:r>
          </w:p>
        </w:tc>
        <w:tc>
          <w:tcPr>
            <w:tcW w:type="dxa" w:w="6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3.12.10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Archivo de pruebas</w:t>
            </w:r>
          </w:p>
        </w:tc>
        <w:tc>
          <w:tcPr>
            <w:tcW w:type="dxa" w:w="69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pruebas.py; biblioteca estándar unittest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Comando automatizado</w:t>
            </w:r>
          </w:p>
        </w:tc>
        <w:tc>
          <w:tcPr>
            <w:tcW w:type="dxa" w:w="6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python -X utf8 pruebas.py</w:t>
            </w:r>
          </w:p>
        </w:tc>
      </w:tr>
    </w:tbl>
    <w:p>
      <w:pPr>
        <w:spacing w:after="80" w:line="40" w:lineRule="exact" w:before="0"/>
      </w:pPr>
    </w:p>
    <w:p>
      <w:pPr>
        <w:pStyle w:val="Heading2"/>
      </w:pPr>
      <w:r>
        <w:rPr/>
        <w:t>Cobertura registrada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5000"/>
        <w:gridCol w:w="1400"/>
        <w:gridCol w:w="3920"/>
      </w:tblGrid>
      <w:tr>
        <w:trPr>
          <w:cantSplit/>
          <w:tblHeader w:val="true"/>
        </w:trPr>
        <w:tc>
          <w:tcPr>
            <w:tcW w:type="dxa" w:w="50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4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92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Métodos automatizados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10</w:t>
            </w:r>
          </w:p>
        </w:tc>
        <w:tc>
          <w:tcPr>
            <w:tcW w:type="dxa" w:w="3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10 correctos; suite OK.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 de casos funcionales</w:t>
            </w:r>
          </w:p>
        </w:tc>
        <w:tc>
          <w:tcPr>
            <w:tcW w:type="dxa" w:w="140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42</w:t>
            </w:r>
          </w:p>
        </w:tc>
        <w:tc>
          <w:tcPr>
            <w:tcW w:type="dxa" w:w="39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152 evaluaciones dirigidas coincidentes.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ER inválidas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24</w:t>
            </w:r>
          </w:p>
        </w:tc>
        <w:tc>
          <w:tcPr>
            <w:tcW w:type="dxa" w:w="3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Rechazadas con ValueError y posición.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Combinaciones de cadenas</w:t>
            </w:r>
          </w:p>
        </w:tc>
        <w:tc>
          <w:tcPr>
            <w:tcW w:type="dxa" w:w="140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1,023</w:t>
            </w:r>
          </w:p>
        </w:tc>
        <w:tc>
          <w:tcPr>
            <w:tcW w:type="dxa" w:w="39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Coinciden con las condiciones de referencia.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Complementos ASCII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256</w:t>
            </w:r>
          </w:p>
        </w:tc>
        <w:tc>
          <w:tcPr>
            <w:tcW w:type="dxa" w:w="39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Coinciden con el complemento esperado.</w:t>
            </w:r>
          </w:p>
        </w:tc>
      </w:tr>
    </w:tbl>
    <w:p>
      <w:pPr>
        <w:spacing w:after="80" w:line="40" w:lineRule="exact" w:before="0"/>
      </w:pPr>
    </w:p>
    <w:p>
      <w:pPr/>
      <w:r>
        <w:rPr>
          <w:color w:val="546174"/>
          <w:sz w:val="18"/>
        </w:rPr>
        <w:t>Las categorías son verificaciones diferentes y no deben sumarse como si fueran expresiones distintas. Los porcentajes de coincidencia se limitan a estos casos.</w:t>
      </w:r>
    </w:p>
    <w:p>
      <w:pPr>
        <w:pStyle w:val="Heading2"/>
      </w:pPr>
      <w:r>
        <w:rPr/>
        <w:t>Cómo se obtuvieron las capturas</w:t>
      </w:r>
    </w:p>
    <w:p>
      <w:pPr/>
      <w:r>
        <w:rPr/>
        <w:t>Se ejecutaron procesos reales de Python y se guardaron stdout, stderr y el código de salida. Las imágenes son capturas de una vista de lectura en navegador de esos registros; no son capturas de una terminal Linux. Algunas vistas separan AFND y AFD para mejorar la lectura. Los registros completos se conservan en doc/evidencias.</w:t>
      </w:r>
    </w:p>
    <w:p>
      <w:pPr>
        <w:pStyle w:val="Heading1"/>
      </w:pPr>
      <w:r>
        <w:rPr/>
        <w:t>2. Aceptación: construcción del AFND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2900"/>
        <w:gridCol w:w="1700"/>
        <w:gridCol w:w="2860"/>
        <w:gridCol w:w="2860"/>
      </w:tblGrid>
      <w:tr>
        <w:trPr>
          <w:cantSplit/>
          <w:tblHeader w:val="true"/>
        </w:trPr>
        <w:tc>
          <w:tcPr>
            <w:tcW w:type="dxa" w:w="29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ER</w:t>
            </w:r>
          </w:p>
        </w:tc>
        <w:tc>
          <w:tcPr>
            <w:tcW w:type="dxa" w:w="17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(a|b)*abb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aabb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Aceptada, código 1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Aceptada, código 1</w:t>
            </w:r>
          </w:p>
        </w:tc>
      </w:tr>
    </w:tbl>
    <w:p>
      <w:pPr>
        <w:spacing w:after="80" w:line="40" w:lineRule="exact" w:before="0"/>
      </w:pP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3852333"/>
            <wp:docPr id="2" name="Picture 2" descr="01 af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5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1. Primera parte del registro de aceptación: estados, alfabeto, final y transiciones del AFND.</w:t>
      </w:r>
    </w:p>
    <w:p>
      <w:pPr/>
      <w:r>
        <w:rPr/>
        <w:t>El AFND tiene 14 estados y conserva las transiciones ε introducidas por la unión, la cerradura y las concatenaciones. q0 es inicial y q13 es final.</w:t>
      </w:r>
    </w:p>
    <w:p>
      <w:pPr/>
      <w:r>
        <w:rPr>
          <w:color w:val="546174"/>
          <w:sz w:val="18"/>
        </w:rPr>
        <w:t>El archivo aceptacion.txt contiene la salida completa de esta misma ejecución, incluida la conversión a AFD y la evaluación que continúa en la siguiente página.</w:t>
      </w:r>
    </w:p>
    <w:p>
      <w:pPr>
        <w:pStyle w:val="Heading1"/>
      </w:pPr>
      <w:r>
        <w:rPr/>
        <w:t>3. Aceptación: AFD y recorrido</w:t>
      </w:r>
    </w:p>
    <w:p>
      <w:pPr/>
      <w:r>
        <w:rPr/>
        <w:t>La ER y la cadena son las mismas del caso anterior. El AFD tiene cinco estados alcanzables y el único estado final es Q4.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4433455"/>
            <wp:docPr id="3" name="Picture 3" descr="02 afd recorr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fd_recorr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2. Segunda parte del mismo registro: matriz del AFD y recorrido de aabb.</w:t>
      </w:r>
    </w:p>
    <w:p>
      <w:pPr/>
      <w:r>
        <w:rPr/>
        <w:t>El recorrido observado es Q0 → Q1 → Q1 → Q3 → Q4. La cadena se consume completamente y termina en Q4; por eso se acepta y el proceso devuelve 1.</w:t>
      </w:r>
    </w:p>
    <w:p>
      <w:pPr>
        <w:pStyle w:val="Heading1"/>
      </w:pPr>
      <w:r>
        <w:rPr/>
        <w:t>4. Rechazo de una cadena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2900"/>
        <w:gridCol w:w="1700"/>
        <w:gridCol w:w="2860"/>
        <w:gridCol w:w="2860"/>
      </w:tblGrid>
      <w:tr>
        <w:trPr>
          <w:cantSplit/>
          <w:tblHeader w:val="true"/>
        </w:trPr>
        <w:tc>
          <w:tcPr>
            <w:tcW w:type="dxa" w:w="29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ER</w:t>
            </w:r>
          </w:p>
        </w:tc>
        <w:tc>
          <w:tcPr>
            <w:tcW w:type="dxa" w:w="17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(a|b)*abb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abba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Rechazada, código 0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Rechazada, código 0</w:t>
            </w:r>
          </w:p>
        </w:tc>
      </w:tr>
    </w:tbl>
    <w:p>
      <w:pPr>
        <w:spacing w:after="80" w:line="40" w:lineRule="exact" w:before="0"/>
      </w:pP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4433455"/>
            <wp:docPr id="4" name="Picture 4" descr="03 rechaz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haz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3. La cadena abba termina en Q1, que no es final.</w:t>
      </w:r>
    </w:p>
    <w:p>
      <w:pPr/>
      <w:r>
        <w:rPr/>
        <w:t>El autómata pasa por Q4 después de leer abb, pero todavía falta la última a. Al consumirla avanza a Q1. El estado final se comprueba al terminar toda la entrada, por lo que el resultado correcto es rechazo.</w:t>
      </w:r>
    </w:p>
    <w:p>
      <w:pPr/>
      <w:r>
        <w:rPr>
          <w:color w:val="546174"/>
          <w:sz w:val="18"/>
        </w:rPr>
        <w:t>Registro completo: doc/evidencias/rechazo.txt.</w:t>
      </w:r>
    </w:p>
    <w:p>
      <w:pPr>
        <w:pStyle w:val="Heading1"/>
      </w:pPr>
      <w:r>
        <w:rPr/>
        <w:t>5. Cadena vacía y épsilon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2900"/>
        <w:gridCol w:w="1700"/>
        <w:gridCol w:w="2860"/>
        <w:gridCol w:w="2860"/>
      </w:tblGrid>
      <w:tr>
        <w:trPr>
          <w:cantSplit/>
          <w:tblHeader w:val="true"/>
        </w:trPr>
        <w:tc>
          <w:tcPr>
            <w:tcW w:type="dxa" w:w="29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ER</w:t>
            </w:r>
          </w:p>
        </w:tc>
        <w:tc>
          <w:tcPr>
            <w:tcW w:type="dxa" w:w="17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8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Obtenido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ε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Vacía: ""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Aceptada, código 1</w:t>
            </w:r>
          </w:p>
        </w:tc>
        <w:tc>
          <w:tcPr>
            <w:tcW w:type="dxa" w:w="28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Aceptada, código 1</w:t>
            </w:r>
          </w:p>
        </w:tc>
      </w:tr>
    </w:tbl>
    <w:p>
      <w:pPr>
        <w:spacing w:after="80" w:line="40" w:lineRule="exact" w:before="0"/>
      </w:pP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3413606"/>
            <wp:docPr id="5" name="Picture 5" descr="04 epsil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psil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413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4. El cierre ε de q0 alcanza el final, por lo que Q0 ya es un estado de aceptación.</w:t>
      </w:r>
    </w:p>
    <w:p>
      <w:pPr/>
      <w:r>
        <w:rPr/>
        <w:t>No se consume ningún carácter y no hay filas de recorrido. La presencia de ε en la ER indica una transición sin consumo; no significa que deba escribirse la letra e en la cadena.</w:t>
      </w:r>
    </w:p>
    <w:p>
      <w:pPr>
        <w:pStyle w:val="Heading2"/>
      </w:pPr>
      <w:r>
        <w:rPr/>
        <w:t>Otros casos vacíos comprobados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3300"/>
        <w:gridCol w:w="1900"/>
        <w:gridCol w:w="5120"/>
      </w:tblGrid>
      <w:tr>
        <w:trPr>
          <w:cantSplit/>
          <w:tblHeader w:val="true"/>
        </w:trPr>
        <w:tc>
          <w:tcPr>
            <w:tcW w:type="dxa" w:w="33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Expresión</w:t>
            </w:r>
          </w:p>
        </w:tc>
        <w:tc>
          <w:tcPr>
            <w:tcW w:type="dxa" w:w="190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</w:t>
            </w:r>
          </w:p>
        </w:tc>
        <w:tc>
          <w:tcPr>
            <w:tcW w:type="dxa" w:w="512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Resultado esperado y obtenido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a*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""</w:t>
            </w:r>
          </w:p>
        </w:tc>
        <w:tc>
          <w:tcPr>
            <w:tcW w:type="dxa" w:w="512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</w:t>
            </w:r>
          </w:p>
        </w:tc>
        <w:tc>
          <w:tcPr>
            <w:tcW w:type="dxa" w:w="190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""</w:t>
            </w:r>
          </w:p>
        </w:tc>
        <w:tc>
          <w:tcPr>
            <w:tcW w:type="dxa" w:w="512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Rechazada.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(ε|a)b</w:t>
            </w:r>
          </w:p>
        </w:tc>
        <w:tc>
          <w:tcPr>
            <w:tcW w:type="dxa" w:w="190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b</w:t>
            </w:r>
          </w:p>
        </w:tc>
        <w:tc>
          <w:tcPr>
            <w:tcW w:type="dxa" w:w="512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Aceptada.</w:t>
            </w:r>
          </w:p>
        </w:tc>
      </w:tr>
    </w:tbl>
    <w:p>
      <w:pPr>
        <w:spacing w:after="80" w:line="40" w:lineRule="exact" w:before="0"/>
      </w:pPr>
    </w:p>
    <w:p>
      <w:pPr>
        <w:pStyle w:val="Heading1"/>
      </w:pPr>
      <w:r>
        <w:rPr/>
        <w:t>6. Punto y literal coincidentes</w:t>
      </w:r>
    </w:p>
    <w:p>
      <w:pPr/>
      <w:r>
        <w:rPr/>
        <w:t xml:space="preserve">Caso: ER </w:t>
      </w:r>
      <w:r>
        <w:rPr>
          <w:b/>
        </w:rPr>
        <w:t>.b|ac</w:t>
      </w:r>
      <w:r>
        <w:rPr/>
        <w:t xml:space="preserve">, cadena </w:t>
      </w:r>
      <w:r>
        <w:rPr>
          <w:b/>
        </w:rPr>
        <w:t>ac</w:t>
      </w:r>
      <w:r>
        <w:rPr/>
        <w:t>. Se esperaba aceptación y se obtuvo aceptación con código 1. La transición inicial debe considerar tanto el punto como la letra a.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6488545"/>
            <wp:docPr id="6" name="Picture 6" descr="05 solapami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olapami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48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5. La tabla muestra clases disjuntas y acepta ac mediante Q0 → Q2 → Q5.</w:t>
      </w:r>
    </w:p>
    <w:p>
      <w:pPr/>
      <w:r>
        <w:rPr>
          <w:color w:val="546174"/>
          <w:sz w:val="18"/>
        </w:rPr>
        <w:t>Registro completo: doc/evidencias/solapamiento.txt. También se verificó que aa y bc sean rechazadas para esta misma ER.</w:t>
      </w:r>
    </w:p>
    <w:p>
      <w:pPr>
        <w:pStyle w:val="Heading1"/>
      </w:pPr>
      <w:r>
        <w:rPr/>
        <w:t>7. Entradas inválidas y respuesta</w:t>
      </w:r>
    </w:p>
    <w:p>
      <w:pPr/>
      <w:r>
        <w:rPr/>
        <w:t>Estos casos deben detenerse con un mensaje entendible y código 2. No deben confundirse con una cadena válida que simplemente no pertenece al lenguaje.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4098636"/>
            <wp:docPr id="7" name="Picture 7" descr="06 erro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r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09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6. Errores reales de rango, hexadecimal, paréntesis y entrada no ASCII.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2240"/>
        <w:gridCol w:w="4760"/>
        <w:gridCol w:w="3320"/>
      </w:tblGrid>
      <w:tr>
        <w:trPr>
          <w:cantSplit/>
          <w:tblHeader w:val="true"/>
        </w:trPr>
        <w:tc>
          <w:tcPr>
            <w:tcW w:type="dxa" w:w="224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47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332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[z-a]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Rango descendente.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Error controlado; código 2.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\hGG</w:t>
            </w:r>
          </w:p>
        </w:tc>
        <w:tc>
          <w:tcPr>
            <w:tcW w:type="dxa" w:w="476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Dos caracteres que no son dígitos hexadecimales.</w:t>
            </w:r>
          </w:p>
        </w:tc>
        <w:tc>
          <w:tcPr>
            <w:tcW w:type="dxa" w:w="33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Error controlado; código 2.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(ab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Paréntesis sin cerrar.</w:t>
            </w:r>
          </w:p>
        </w:tc>
        <w:tc>
          <w:tcPr>
            <w:tcW w:type="dxa" w:w="3320"/>
            <w:vAlign w:val="center"/>
            <w:shd w:fill="FFFFF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Error controlado; código 2.</w:t>
            </w:r>
          </w:p>
        </w:tc>
      </w:tr>
      <w:tr>
        <w:trPr>
          <w:cantSplit/>
        </w:trPr>
        <w:tc>
          <w:tcPr>
            <w:tcW w:type="dxa" w:w="224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 a; cadena ñ</w:t>
            </w:r>
          </w:p>
        </w:tc>
        <w:tc>
          <w:tcPr>
            <w:tcW w:type="dxa" w:w="476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La cadena no pertenece a ASCII.</w:t>
            </w:r>
          </w:p>
        </w:tc>
        <w:tc>
          <w:tcPr>
            <w:tcW w:type="dxa" w:w="3320"/>
            <w:vAlign w:val="center"/>
            <w:shd w:fill="EDF2F7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color w:val="14263F"/>
                <w:sz w:val="18"/>
              </w:rPr>
              <w:t>Error controlado; código 2.</w:t>
            </w:r>
          </w:p>
        </w:tc>
      </w:tr>
    </w:tbl>
    <w:p>
      <w:pPr>
        <w:spacing w:after="80" w:line="40" w:lineRule="exact" w:before="0"/>
      </w:pPr>
    </w:p>
    <w:p>
      <w:pPr/>
      <w:r>
        <w:rPr>
          <w:color w:val="546174"/>
          <w:sz w:val="18"/>
        </w:rPr>
        <w:t>Además, la suite verificó argumentos faltantes, un grupo de 300 paréntesis anidados, escapes incompletos, conjuntos vacíos y extremos de rango inválidos. Los escenarios de consola comprobados no mostraron un traceback al usuario.</w:t>
      </w:r>
    </w:p>
    <w:p>
      <w:pPr>
        <w:pStyle w:val="Heading1"/>
      </w:pPr>
      <w:r>
        <w:rPr/>
        <w:t>8. Casos por operador y escape</w:t>
      </w:r>
    </w:p>
    <w:p>
      <w:pPr/>
      <w:r>
        <w:rPr/>
        <w:t>En cada fila se comprobó que la primera cadena se acepte y la segunda se rechace. Todos los resultados de esta selección coincidieron con lo esperado.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30" w:type="dxa"/>
          <w:right w:w="130" w:type="dxa"/>
        </w:tblCellMar>
      </w:tblPr>
      <w:tblGrid>
        <w:gridCol w:w="3560"/>
        <w:gridCol w:w="3380"/>
        <w:gridCol w:w="3380"/>
      </w:tblGrid>
      <w:tr>
        <w:trPr>
          <w:cantSplit/>
          <w:tblHeader w:val="true"/>
        </w:trPr>
        <w:tc>
          <w:tcPr>
            <w:tcW w:type="dxa" w:w="356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Expresión regular</w:t>
            </w:r>
          </w:p>
        </w:tc>
        <w:tc>
          <w:tcPr>
            <w:tcW w:type="dxa" w:w="338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 aceptada</w:t>
            </w:r>
          </w:p>
        </w:tc>
        <w:tc>
          <w:tcPr>
            <w:tcW w:type="dxa" w:w="3380"/>
            <w:vAlign w:val="center"/>
            <w:shd w:fill="14263F"/>
          </w:tcPr>
          <w:p>
            <w:pPr>
              <w:spacing w:after="0" w:line="242" w:lineRule="exact"/>
            </w:pPr>
            <w:r>
              <w:rPr>
                <w:rFonts w:ascii="Arial" w:hAnsi="Arial" w:cs="Arial" w:eastAsia="Arial"/>
                <w:b/>
                <w:color w:val="FFFFFF"/>
                <w:sz w:val="18"/>
              </w:rPr>
              <w:t>Cadena rechazada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abc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a|bc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bc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ac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(a|b)c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ac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abc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a*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"" (vacía)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ab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[abc]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b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[^abc]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d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[a-z][0-9]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a0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A0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[a-zA-Z]*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hola1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\*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*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\p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p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\\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/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\.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.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\N\N*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12345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1a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\h20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" " (espacio)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\h41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\A\A*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\a\a*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\z\z*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</w:t>
            </w:r>
          </w:p>
        </w:tc>
        <w:tc>
          <w:tcPr>
            <w:tcW w:type="dxa" w:w="3380"/>
            <w:vAlign w:val="center"/>
            <w:shd w:fill="EDF2F7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Hola1</w:t>
            </w:r>
          </w:p>
        </w:tc>
      </w:tr>
      <w:tr>
        <w:trPr>
          <w:cantSplit/>
        </w:trPr>
        <w:tc>
          <w:tcPr>
            <w:tcW w:type="dxa" w:w="356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hola\ mundo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 mundo</w:t>
            </w:r>
          </w:p>
        </w:tc>
        <w:tc>
          <w:tcPr>
            <w:tcW w:type="dxa" w:w="3380"/>
            <w:vAlign w:val="center"/>
            <w:shd w:fill="FFFFFF"/>
          </w:tcPr>
          <w:p>
            <w:pPr>
              <w:spacing w:after="0" w:line="242" w:lineRule="exact"/>
              <w:jc w:val="center"/>
            </w:pPr>
            <w:r>
              <w:rPr>
                <w:rFonts w:ascii="Arial" w:hAnsi="Arial" w:cs="Arial" w:eastAsia="Arial"/>
                <w:color w:val="14263F"/>
                <w:sz w:val="18"/>
              </w:rPr>
              <w:t>holamundo</w:t>
            </w:r>
          </w:p>
        </w:tc>
      </w:tr>
    </w:tbl>
    <w:p>
      <w:pPr>
        <w:spacing w:after="80" w:line="40" w:lineRule="exact" w:before="0"/>
      </w:pPr>
    </w:p>
    <w:p>
      <w:pPr/>
      <w:r>
        <w:rPr>
          <w:color w:val="546174"/>
          <w:sz w:val="18"/>
        </w:rPr>
        <w:t>La selección se complementa con las pruebas de punto, épsilon, combinaciones y entradas inválidas presentadas en las demás páginas. Los 152 resultados dirigidos se conservan en ejecuciones.json.</w:t>
      </w:r>
    </w:p>
    <w:p>
      <w:pPr>
        <w:pStyle w:val="Heading1"/>
      </w:pPr>
      <w:r>
        <w:rPr/>
        <w:t>9. Batería automatizada y cierre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350000" cy="3994727"/>
            <wp:docPr id="8" name="Picture 8" descr="07 prueb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ueb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99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/>
        <w:t>Figura 7. Ejecución real de pruebas.py: diez métodos correctos y código de salida 0.</w:t>
      </w:r>
    </w:p>
    <w:p>
      <w:pPr/>
      <w:r>
        <w:rPr/>
        <w:t>La suite comprueba casos dirigidos, errores de sintaxis, orden del alfabeto, clases disjuntas, complementos ASCII, combinaciones, lanzadores, códigos de salida y codificación de consola. Para repetirla desde la raíz del proyecto:</w:t>
      </w:r>
    </w:p>
    <w:p>
      <w:pPr>
        <w:spacing w:line="260" w:lineRule="exact" w:after="220"/>
        <w:ind w:left="160"/>
      </w:pPr>
      <w:r>
        <w:rPr>
          <w:rFonts w:ascii="Consolas" w:hAnsi="Consolas" w:cs="Consolas" w:eastAsia="Consolas"/>
          <w:color w:val="14263F"/>
          <w:sz w:val="18"/>
        </w:rPr>
        <w:t>python pruebas.py</w:t>
      </w:r>
    </w:p>
    <w:p>
      <w:pPr/>
      <w:r>
        <w:rPr/>
        <w:t>Se corrigieron dos fallos detectados durante las verificaciones previas: la salida de símbolos griegos con una codificación de Windows incompatible y el traceback por exceso de anidamiento. La suite incluye casos que vuelven a comprobar ambos comportamientos.</w:t>
      </w:r>
    </w:p>
    <w:p>
      <w:pPr/>
      <w:r>
        <w:rPr>
          <w:color w:val="546174"/>
          <w:sz w:val="18"/>
        </w:rPr>
        <w:t>La verificación corresponde a Windows y Python 3.12.10. No se presenta como prueba de rendimiento ni como validación del Makefile en Linux. Las imágenes y registros se entregan en capturas/ y evidencias/ para permitir su revisión.</w:t>
      </w:r>
    </w:p>
    <w:sectPr w:rsidR="00FC693F" w:rsidRPr="0006063C" w:rsidSect="00034616">
      <w:footerReference w:type="default" r:id="rId9"/>
      <w:pgSz w:w="12240" w:h="15840"/>
      <w:pgMar w:top="1040" w:right="960" w:bottom="960" w:left="960" w:header="360" w:footer="40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fldSimple w:instr="PAGE">
      <w: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ER AFD</dc:title>
  <dc:subject/>
  <dc:creator>SELVIN KLEBER GIRÓN ALVAREZ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es-GT</dc:language>
</cp:coreProperties>
</file>